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Справка. Международная практика использования новостных индексов в надзорном процессе</w:t>
      </w:r>
    </w:p>
    <w:p>
      <w:r>
        <w:t>Справка подготовлена для обсуждения на совместном ВКС с департаментом, разрабатывающим проект новостного индекса. Документ обзорный: конкретные кейсы внедрения, методологическая основа, выводы для проекта. Сведения об источниках приведены в конце.</w:t>
      </w:r>
    </w:p>
    <w:p>
      <w:r>
        <w:t>Монетарное ведомство Сингапура (MAS, Monetary Authority of Singapore) считается одним из наиболее продвинутых пользователей надзорных технологий. В обзоре Совета по финансовой стабильности (FSB, Financial Stability Board) 2020 года MAS фигурирует в нескольких кейсах: новостной, аналитический и рейтинговый мониторинг сведён на едином дашборде кредитного риска, с автоматической обработкой нескольких языков. MAS явно учитывает, что тональность новостей различается по юрисдикциям, поэтому инструмент собирает и анализирует новости на разных языках и агрегирует результаты на один экран. В 2021–2022 годах BIS Innovation Hub и MAS совместно разработали прототип Project Ellipse: интегрированную платформу надзорных данных и аналитики, объединяющую структурированные отчётные данные с неструктурированными (новости, статьи). Платформа применяет машинное обучение и обработку естественного языка для анализа тональности и корреляций рисков, обеспечивая надзорных сотрудников индикаторами раннего предупреждения в реальном времени. MAS адаптирует прототип для собственных надзорных нужд, код опубликован на BIS Open Tech как общественное благо.</w:t>
      </w:r>
    </w:p>
    <w:p>
      <w:r>
        <w:t>Банк Франции и надзорный орган ACPR (Autorité de contrôle prudentiel et de résolution) разработали систему J-VEILLE для автоматизированного разбора судебных решений. Надзорное ведомство ежегодно получает лишь 7 000 публичных жалоб о недобросовестных практиках финансовых институтов, тогда как суды выносят около 100 000 решений в год, затрагивающих поднадзорные организации. J-VEILLE извлекает релевантную информацию из судебных решений с помощью NLP-алгоритма и вспомогательных источников (надзорный список организаций, правовые ресурсы), что позволяет надзору видеть полную картину, а не только публичную часть. Проект входит в семейство «Augmented supervisor» наряду с инструментами ISITEXT, DIXIT, KARTODOC и SAM.</w:t>
      </w:r>
    </w:p>
    <w:p>
      <w:r>
        <w:t>Пруденциальный надзорный орган Банка Англии (PRA, Prudential Regulation Authority) работает с огромным объёмом текстовой отчётности: только крупнейшие финансовые институты еженедельно направляют более 1,7 млн слов управленческой информации. PRA применяет технологии извлечения данных из неструктурированных текстов для проверки и анализа этой отчётности. Также PRA выступал партнёром Project Ellipse совместно с BIS и MAS.</w:t>
      </w:r>
    </w:p>
    <w:p>
      <w:r>
        <w:t>Европейский центральный банк отвечает за надзор более чем за 2 400 менее значимых институтов (LSI, Less Significant Institutions) в странах Единого надзорного механизма. Для приоритизации надзорных усилий ЕЦБ разработал систему раннего предупреждения, использующую машинное обучение с учителем на основе квартальных надзорных данных (COREP, FINREP), банковских переменных и макроэкономических индикаторов. ЕЦБ также развивает платформу Virtual Lab, цифровую инфраструктуру для удалённого сотрудничества надзорных органов.</w:t>
      </w:r>
    </w:p>
    <w:p>
      <w:r>
        <w:t>Банк Нидерландов (DNB, De Nederlandsche Bank) разработал интерактивный дашборд SAS-VA для мониторинга рисков, связанных с пандемией COVID-19, на уровне отдельных секторов и регионов. Дашборд визуализирует кредитный риск и воздействие экономического шока на занятость по регионам.</w:t>
      </w:r>
    </w:p>
    <w:p>
      <w:r>
        <w:t>Банк Испании (BdE, Banco de España) запустил пилот в 2019 году для анализа внутренней зелёной экономики с помощью текстовых технологий. По оценке BIS, BdE имеет одну из наиболее продвинутых SupTech-стратегий среди надзорных органов, с явной дорожной картой, поддержкой руководства и координацией между надзорным и цифровым подразделениями. Основной фокус там приходится на кредитный риск на основе гранулярных данных CIRBE.</w:t>
      </w:r>
    </w:p>
    <w:p>
      <w:r>
        <w:t>Помимо надзорных кейсов, существует развитая методологическая база построения новостных индексов неопределённости. Бейкер, Блум и Дэвис разработали индекс экономической политической неопределённости (EPU, Economic Policy Uncertainty), основанный на частоте упоминаний в газетах терминов, связанных с экономикой, политикой и неопределённостью. Индекс строится для США и более чем 20 других стран. Метод прост: отбор статей из крупных газет по тройному критерию (экономика + политика + неопределённость), нормировка доли таких статей к общему объёму потока. Этот метод стал стандартом де-факто для построения отраслевых и страновых индексов неопределённости. Ахир, Блум и Ферчери пошли дальше и построили Всемирный индекс неопределённости (WUI, World Uncertainty Index) для 143 стран на квартальной основе с 1952 года, используя отчёты Economist Intelligence Unit и частоту упоминаний слова «uncertainty» в контексте каждой страны. Чэн, Мо, Тан и Ли предложили индекс неопределённости регуляторной политики на рынке недвижимости (REPU, Real Estate Policy Uncertainty) для Китая: из новостного корпуса отбираются статьи, одновременно содержащие ключевые слова по жилью (housing, mortgage, real estate), политике и регулированию (policy, regulation, decree, subsidy, ban) и неопределённости (uncertainty, uncertain, unstable, volatile, unpredictable). Доля таких статей в общем потоке образует месячный индекс. Векторная авторегрессия показывает, что рост REPU предвещает снижение темпов роста инвестиций в жилищное строительство, площади продаж и добавленной стоимости отрасли недвижимости. Методология REPU послужила основой для построенного нами российского аналога (REPU-РФ) через GDELT DOC API. Наконец, Федеральный резервный банк Сан-Франциско с 2020 года публикует открытый ежедневный индекс экономического настроения на основе словарной разметки новостей. Схема: 24 крупные американские газеты через агрегатор Factiva, отбор статей о теме «экономика» длиной от 200 слов, оценка статьи по словарю с новостной поправкой, агрегирование по дням с поправкой на изменение состава корпуса и сглаживанием взвешенным средним. Словари, программный код и ряды опубликованы открыто. Индекс опережает опросные меры потребительского настроения и коррелирует с макроэкономическими переменными (занятость, промышленное производство, инфляция).</w:t>
      </w:r>
    </w:p>
    <w:p>
      <w:r>
        <w:t>Отдельная линия работ посвящена классификации коммуникаций центральных банков. Силва, Мория и Вейрюн из МВФ обработали 74 882 документа (около 21 миллиона предложений) от 169 центральных банков за период с 1884 по 2025 год. Метод: дообучение открытой языковой модели на центрально-банковских текстах, классификация на уровне предложения по четырём измерениям (тема, позиция, сентимент, аудитория). Предложены четыре метрики: баланс «ястребиных» и «голубиных» формулировок (Net Policy Sentiment), индекс прямолинейности, индекс объяснительности и баланс уверенности с обозначением рисков (Net Confidence). Найдено, что прямолинейная коммуникация предсказывает будущие движения рыночных ставок, а опережающая коммуникация рисков предсказывает будущую волатильность рынков. Пфайфер и Мароль создали CentralBankRoBERTa, языковую модель на базе RoBERTa, дообученную на корпусе центрально-банковских коммуникаций. Модель решает две задачи: классификацию экономических агентов (пять макроэкономических ролей) и бинарную сентимент-классификацию («ястребиный» или «голубиный»). Модель открыта и применима как базовый компонент для автоматизированного анализа коммуникаций. Гамбакорта, Квон, Пак, Пателли и Чжу из BIS представили CB-LMs, языковые модели, переобученные на масштабной коллекции центрально-банковских текстов. Исследованы два подхода: дообучение (LoRA, low-rank adaptation) и генерация. Дообучённые компактные модели превосходят zero-shot генеративные модели (включая ChatGPT-3.5) в задачах классификации сентимента, достигая точности выше 85 процентов. Вывод: для надзорных задач дообучение компактной модели эффективнее и дешевле, чем использование больших генеративных моделей.</w:t>
      </w:r>
    </w:p>
    <w:p>
      <w:r>
        <w:t>Технологическая классификация надзорных инструментов тоже разработана. Ди Кастри, Холь, Куленкампф и Пренио выделили четыре поколения надзорных технологий: первое это ручная обработка данных с описательной аналитикой; второе это цифровая автоматизация отдельных процессов; третье это архитектура больших данных; четвёртое это добавление искусственного интеллекта. SupTech охватывает третье и четвёртое поколения: сбор данных на базе больших данных и аналитика на базе AI/ML. Обзор 39 финансовых ведомств показал, что SupTech-инициативы сосредоточены в областях анализа недобросовестных практик, отчётности и управления данными; большинство инициатив экспериментальные. Совет по финансовой стабильности в октябре 2020 года опубликовал обзор 61 кейса использования надзорных технологий. Ключевые выводы: AI/ML наиболее распространённый инструмент; SupTech улучшает надзор, обеспечивая индикаторы риска в реальном времени и прогнозную аналитику; языковая адаптация главный барьер для неанглоязычных юрисдикций (требуется дообучение или пересоздание решений); интеграция с надзорным процессом важнее алгоритма. Бродерс и Пренио ранее заложили таксономию SupTech и описали опыт первых пользователей, подчеркнув необходимость обмена знаниями на глобальном уровне.</w:t>
      </w:r>
    </w:p>
    <w:p>
      <w:r>
        <w:t>Лофран и Макдоналд создали финансовый словарь тональности на основе 50 115 годовых отчётов 10-K за 1994–2008 годы. Ключевая находка: почти три четверти слов, отмеченных как негативные в общем словаре Harvard General Inquirer, не являются негативными в финансовом контексте. Разработаны шесть категорий: негативные, позитивные, неопределённости, судебные, сильные модальные, слабые модальные. Словарь открыт и стал стандартом для словарного анализа финансовых текстов. Принципиальный вывод: общий словарь тональности неприменим к финансовому тексту без адаптации, необходим отраслевой словарь.</w:t>
      </w:r>
    </w:p>
    <w:p>
      <w:r>
        <w:t>Приведённые кейсы дают несколько прямых уроков для проекта. Во-первых, многоязычность это ключевое требование: MAS явно фиксирует необходимость обработки новостей на разных языках и агрегации на единый экран, и для российского проекта это означает, что словарь или модель должны работать с русскоязычным корпусом напрямую, а не через перевод. Во-вторых, интеграция важнее алгоритма: все реализованные кейсы (MAS, ACPR, PRA, ЕЦБ) встраивают новостной сентимент в более широкий надзорный дашборд с количественными данными по институции, новостной индекс это компонент, а не самостоятельный инструмент. В-третьих, каскадная методология («словарь», затем «языковая модель размечает выборку», затем «дообучение компактного трансформера», затем «локальный расчёт») это рабочий подход, превосходящий прямую генерацию большой моделью по точности и воспроизводимости при меньшей стоимости, что подтверждено и МВФ, и BIS. В-четвёртых, событийная валидация: индекс REPU валидирован по датам крупных регуляторных решений, и аналогичный подход применим к российскому рынку (пик REPU-РФ в июле 2024 пришелся на закрытие массовой льготной ипотеки). В-пятых, открытые ресурсы: словарь Лофрана и Макдоналда, код ФРБ Сан-Франциско, CentralBankRoBERTa и прототип Project Ellipse открыты и доступны для адаптации.</w:t>
      </w:r>
    </w:p>
    <w:p>
      <w:r>
        <w:t>Источники. FSB (2020), The Use of Supervisory and Regulatory Technology by Authorities and Regulated Institutions, fsb.org/uploads/P091020.pdf. BIS Innovation Hub и MAS (2022), Project Ellipse, bis.org. BIS (2022), press release p220331.htm. BIS (2024), Banco de España Evaluation Programme, bde.es. Baker, Bloom, Davis (2016), Measuring Economic Policy Uncertainty, QJE 131(4). Ahir, Bloom, Furceri (2022), The World Uncertainty Index, NBER WP 29763. Chen, Mo, Tang, Li (2023), Measuring Real Estate Policy Uncertainty in China, China Economic Quarterly International 3(1). FRBSF (2020), Daily News Sentiment Index, frbsf.org. Shapiro, Sudhof, Wilson (2020), Measuring News Sentiment, FRBSF WP 2017-01. Silva, Moriya, Veyrune (2025), From Text to Quantified Insights, IMF WP/25/109. Pfeifer, Marohl (2023), CentralBankRoBERTa, J. Finance and Data Science 9. Gambacorta, Kwon, Park, Patelli, Zhu (2025), CB-LMs, BIS WP 1215. di Castri, Hohl, Kulenkampff, Prenio (2019), The Suptech Generations, FSI Insights 19. Broeders, Prenio (2018), Innovative Technology in Financial Supervision, FSI Insights 9. Loughran, McDonald (2011), When Is a Liability Not a Liability, J. Finance 66(1).</w:t>
      </w:r>
    </w:p>
    <w:sectPr w:rsidR="00FC693F" w:rsidRPr="0006063C" w:rsidSect="00034616">
      <w:pgSz w:w="11906" w:h="16838"/>
      <w:pgMar w:top="1134" w:right="850"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