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Территориальное присутствие центральных банков: мировой опыт и предложения для Банка России</w:t>
      </w:r>
    </w:p>
    <w:p>
      <w:pPr>
        <w:pStyle w:val="Heading2"/>
      </w:pPr>
      <w:r>
        <w:t>Что изменилось в версии 2 / What changed in version 2</w:t>
      </w:r>
    </w:p>
    <w:p>
      <w:pPr>
        <w:pStyle w:val="ListBullet"/>
      </w:pPr>
      <w:r>
        <w:t>Раздел «Действующая российская рамка» переписан. Теперь он опирается на Положение Банка России от 14.01.2026 № 880-П «О территориальных учреждениях Банка России», а не на общие страницы сайта. Положение № 538-П признано утратившим силу.</w:t>
      </w:r>
    </w:p>
    <w:p>
      <w:pPr>
        <w:pStyle w:val="ListBullet"/>
      </w:pPr>
      <w:r>
        <w:t>В рамку включены действующие публичные продукты территориальных учреждений: доклад «Региональная экономика: комментарии ГУ» и материалы по финансовой доступности.</w:t>
      </w:r>
    </w:p>
    <w:p>
      <w:pPr>
        <w:pStyle w:val="ListBullet"/>
      </w:pPr>
      <w:r>
        <w:t>Пять текущих задач территориальных учреждений из постановки — визуальный контроль финансовых организаций, рассмотрение административных дел, региональный анализ и исследования в целях ДКП, финансовая грамотность, финансовая доступность — явно соотнесены с пунктами 880-П.</w:t>
      </w:r>
    </w:p>
    <w:p>
      <w:pPr>
        <w:pStyle w:val="ListBullet"/>
      </w:pPr>
      <w:r>
        <w:t>В международные модели добавлены два аналога экспертной функции: сеть территориальных исследований Banca d'Italia и функция community development Федеральной резервной системы.</w:t>
      </w:r>
    </w:p>
    <w:p>
      <w:pPr>
        <w:pStyle w:val="ListBullet"/>
      </w:pPr>
      <w:r>
        <w:t>Региональная политика теперь включает шесть направлений вместо пяти. Новое и главное направление — региональная команда представителей Банка России как центр экспертизы и финансовых консультаций для региональных органов власти. Прежние пять направлений сжаты и разведены с новым, чтобы не дублировать его.</w:t>
      </w:r>
    </w:p>
    <w:p>
      <w:pPr>
        <w:pStyle w:val="ListBullet"/>
      </w:pPr>
      <w:r>
        <w:t>Раздел о полномочиях переписан как юридически аккуратный разбор. Он разделяет то, что уже покрывается 880-П, то, что требует организационного решения, и то, что Банк России делать не вправе. Отдельно зафиксировано, что функции «консультирование органов государственной власти» в 880-П нет.</w:t>
      </w:r>
    </w:p>
    <w:p>
      <w:pPr>
        <w:pStyle w:val="ListBullet"/>
      </w:pPr>
      <w:r>
        <w:t>В пилот добавлены метрики консультационного канала, отделённые от метрик аналитического канала.</w:t>
      </w:r>
    </w:p>
    <w:p>
      <w:pPr>
        <w:pStyle w:val="ListBullet"/>
      </w:pPr>
      <w:r>
        <w:t>В ограничения добавлены риски нового направления: ответственность за совет, регуляторный захват, утечка надзорной информации, политизация, подмена ответственности региональных властей, конфликт интересов с поднадзорными организациями.</w:t>
      </w:r>
    </w:p>
    <w:p>
      <w:pPr>
        <w:pStyle w:val="ListBullet"/>
      </w:pPr>
      <w:r>
        <w:t>Исправлена маркировка второго абзаца краткого вывода v1: он был помечен [П], хотя прямо назван авторским синтезом. Теперь стоит [СИНТЕЗ].</w:t>
      </w:r>
    </w:p>
    <w:p>
      <w:pPr>
        <w:pStyle w:val="ListBullet"/>
      </w:pPr>
      <w:r>
        <w:t>Приложение о Всемирном банке приведено в соответствие с основным текстом.</w:t>
      </w:r>
    </w:p>
    <w:p>
      <w:pPr>
        <w:pStyle w:val="ListBullet"/>
      </w:pPr>
      <w:r>
        <w:t>Список источников дополнен.</w:t>
      </w:r>
    </w:p>
    <w:p>
      <w:pPr>
        <w:pStyle w:val="Heading2"/>
      </w:pPr>
      <w:r>
        <w:t>Краткий вывод / Executive summary</w:t>
      </w:r>
    </w:p>
    <w:p>
      <w:r>
        <w:t>[П] Территориальная сеть центрального банка не предполагает обязательной передачи регионам права определять денежно-кредитную политику (ДКП). В изученных моделях сеть выполняет разные сочетания функций:</w:t>
      </w:r>
    </w:p>
    <w:p>
      <w:pPr>
        <w:pStyle w:val="ListBullet"/>
      </w:pPr>
      <w:r>
        <w:t>операционное обслуживание и наличное обращение;</w:t>
      </w:r>
    </w:p>
    <w:p>
      <w:pPr>
        <w:pStyle w:val="ListBullet"/>
      </w:pPr>
      <w:r>
        <w:t>надзорные и расчётные задачи;</w:t>
      </w:r>
    </w:p>
    <w:p>
      <w:pPr>
        <w:pStyle w:val="ListBullet"/>
      </w:pPr>
      <w:r>
        <w:t>сбор местной экономической информации;</w:t>
      </w:r>
    </w:p>
    <w:p>
      <w:pPr>
        <w:pStyle w:val="ListBullet"/>
      </w:pPr>
      <w:r>
        <w:t>взаимодействие с финансовыми организациями;</w:t>
      </w:r>
    </w:p>
    <w:p>
      <w:pPr>
        <w:pStyle w:val="ListBullet"/>
      </w:pPr>
      <w:r>
        <w:t>коммуникация с общественностью.</w:t>
      </w:r>
    </w:p>
    <w:p>
      <w:r>
        <w:t>Наиболее непосредственно переносимая практика — регулярный сбор качественных сведений о региональной конъюнктуре, встроенный в работу центральных комитетов. Так устроена работа у Федеральной резервной системы США, Банка Англии и Reserve Bank of Australia. Часть центральных банков, в частности Banca d'Italia и Федеральная резервная система, ведёт также публичную территориальную экспертизу: региональные доклады, данные и аналитические инструменты для местных сообществ.</w:t>
      </w:r>
    </w:p>
    <w:p>
      <w:r>
        <w:t>[П] Задачи территориальных учреждений Банка России с 2026 года определены Положением № 880-П. Это участие в информационно-аналитической поддержке и коммуникациях по ДКП, в организации наличного денежного обращения, в обеспечении стабильности и развитии национальной платёжной системы, а также в развитии финансового рынка в субъекте (субъектах) Российской Федерации. Положение закрепляет представительство Банка России в отношениях с органами власти субъектов, коммуникации с ними, работу по финансовой доступности, финансовой грамотности и разъяснению решений Банка России. Отдельной функции консультирования органов государственной власти в Положении нет. [Источник: Положение Банка России № 880-П, п. 1.4, 1.5, 2.1.6, 2.11–2.13]</w:t>
      </w:r>
    </w:p>
    <w:p>
      <w:r>
        <w:t>[СИНТЕЗ] Для Банка России предлагается не «региональная денежная политика» с разными ставками, а региональная политика присутствия. Её основа — единый мандат и единые решения по ДКП. Их подкрепляют систематический региональный мониторинг, прозрачный учёт неоднородности трансмиссии и доступные каналы обратной связи. Главное новое предложение v2 — оформить уже существующие функции территориальных учреждений как региональный центр экспертизы и финансовых консультаций для органов власти. Предмет консультаций ограничен разъяснением регулирования, методологии и данных Банка России. Консультации не включают рекомендаций по сделкам, инструментам, эмитентам и заимствованиям. Для такого центра, по оценке автора, достаточно организационного решения: регламента, выделенной роли и обучения. Изменение закона не требуется. Окончательная юридическая квалификация остаётся за профильными подразделениями Банка России. Предложение — авторский синтез практик и правовой рамки, а не результат причинной оценки.</w:t>
      </w:r>
    </w:p>
    <w:p>
      <w:pPr>
        <w:pStyle w:val="Heading2"/>
      </w:pPr>
      <w:r>
        <w:t>Международные модели / International models</w:t>
      </w:r>
    </w:p>
    <w:p>
      <w:pPr>
        <w:pStyle w:val="Heading3"/>
      </w:pPr>
      <w:r>
        <w:t>США: территориальные резервные банки и Beige Book</w:t>
      </w:r>
    </w:p>
    <w:p>
      <w:r>
        <w:t>[П] Федеральная резервная система состоит из Совета управляющих и 12 Федеральных резервных банков. Резервные банки вместе с отделениями образуют операционную часть системы и действуют в географических округах. Совет управляющих руководит системой и надзирает за резервными банками. Президент каждого из 12 банков участвует в обсуждении в FOMC (Федеральный комитет по открытому рынку). Право голоса распределяется по установленной ротации, глава Нью-Йоркского ФРБ голосует постоянно. Это не сеть обычных региональных филиалов: у резервных банков отдельная институциональная конструкция и собственные органы управления. Поэтому их модель нельзя переносить в российскую организационную структуру без оговорок. [Источник: Federal Reserve, https://www.federalreserve.gov/aboutthefed/structure-federal-reserve-system.htm]</w:t>
      </w:r>
    </w:p>
    <w:p>
      <w:r>
        <w:t>[П] Практика, непосредственно полезная для России, — Beige Book (сводка региональной конъюнктуры ФРС). Восемь раз в год каждый резервный банк собирает сведения о текущих условиях в своём округе. Источники — директора банка, контакты с бизнесом, экономисты, рыночные эксперты и другие участники. Сводка публикуется по округам и секторам. Это качественный материал для общенациональной оценки, а не региональный индекс цен и не самостоятельное основание для решения по ставке. [Источник: Federal Reserve, https://www.federalreserve.gov/monetarypolicy/publications/beige-book-default.htm]</w:t>
      </w:r>
    </w:p>
    <w:p>
      <w:pPr>
        <w:pStyle w:val="Heading3"/>
      </w:pPr>
      <w:r>
        <w:t>США: функция community development</w:t>
      </w:r>
    </w:p>
    <w:p>
      <w:r>
        <w:t>[П] Двенадцать резервных банков ведут функцию community development (развитие местных сообществ). Они:</w:t>
      </w:r>
    </w:p>
    <w:p>
      <w:pPr>
        <w:pStyle w:val="ListBullet"/>
      </w:pPr>
      <w:r>
        <w:t>предоставляют публике и местным сообществам данные и аналитические инструменты;</w:t>
      </w:r>
    </w:p>
    <w:p>
      <w:pPr>
        <w:pStyle w:val="ListBullet"/>
      </w:pPr>
      <w:r>
        <w:t>проводят исследования;</w:t>
      </w:r>
    </w:p>
    <w:p>
      <w:pPr>
        <w:pStyle w:val="ListBullet"/>
      </w:pPr>
      <w:r>
        <w:t>организуют конвенинг (convening — встречи заинтересованных сторон).</w:t>
      </w:r>
    </w:p>
    <w:p>
      <w:r>
        <w:t>При этом рекомендаций по конкретным сделкам они не дают. [Источники: Federal Reserve, https://www.federalreserve.gov/consumerscommunities/comm-dev-system-map.htm; https://www.federalreserve.gov/consumerscommunities/cdf.htm]</w:t>
      </w:r>
    </w:p>
    <w:p>
      <w:r>
        <w:t>[СИНТЕЗ] Для российского направления «центр экспертизы» эта модель важна как пример жёсткого разведения двух вещей. С одной стороны — публичные данные, исследования и организация диалога. С другой — консультирование по сделкам, которого функция не ведёт. Переносится именно эта граница, а не американская институциональная конструкция и не набор программ.</w:t>
      </w:r>
    </w:p>
    <w:p>
      <w:pPr>
        <w:pStyle w:val="Heading3"/>
      </w:pPr>
      <w:r>
        <w:t>Великобритания: сеть агентов Банка Англии</w:t>
      </w:r>
    </w:p>
    <w:p>
      <w:r>
        <w:t>[П] Банк Англии сообщает о 12 агентствах по стране. Агенты проводят конфиденциальные встречи с предприятиями и общественными организациями и организуют местные мероприятия. Полученные сведения они передают комитетам по денежной политике, финансовой стабильности и пруденциальному регулированию. На официальной странице заявлены масштабы работы:</w:t>
      </w:r>
    </w:p>
    <w:p>
      <w:pPr>
        <w:pStyle w:val="ListBullet"/>
      </w:pPr>
      <w:r>
        <w:t>порядка 6 000 обсуждений в год;</w:t>
      </w:r>
    </w:p>
    <w:p>
      <w:pPr>
        <w:pStyle w:val="ListBullet"/>
      </w:pPr>
      <w:r>
        <w:t>порядка 500 презентаций в год;</w:t>
      </w:r>
    </w:p>
    <w:p>
      <w:pPr>
        <w:pStyle w:val="ListBullet"/>
      </w:pPr>
      <w:r>
        <w:t>около 60 поездок политиков по стране в год.</w:t>
      </w:r>
    </w:p>
    <w:p>
      <w:r>
        <w:t>Эти показатели описывают организационный охват, но не доказывают качество работы сети или её влияние на решения. Публикуемое резюме деловых условий (Agents' Summary) представляет общенациональную обратную связь. Это не мнение каждого региона и не официальная позиция Банка. [Источник: Bank of England, https://www.bankofengland.co.uk/about/people/agents]</w:t>
      </w:r>
    </w:p>
    <w:p>
      <w:pPr>
        <w:pStyle w:val="Heading3"/>
      </w:pPr>
      <w:r>
        <w:t>Германия и еврозона: территориальная операционная сеть и надзорная координация</w:t>
      </w:r>
    </w:p>
    <w:p>
      <w:r>
        <w:t>[П] Bundesbank описывает сеть региональных управлений и филиалов. Региональные управления:</w:t>
      </w:r>
    </w:p>
    <w:p>
      <w:pPr>
        <w:pStyle w:val="ListBullet"/>
      </w:pPr>
      <w:r>
        <w:t>участвуют в банковском надзоре;</w:t>
      </w:r>
    </w:p>
    <w:p>
      <w:pPr>
        <w:pStyle w:val="ListBullet"/>
      </w:pPr>
      <w:r>
        <w:t>анализируют кредитоспособность компаний, предоставляющих залог для рефинансирования;</w:t>
      </w:r>
    </w:p>
    <w:p>
      <w:pPr>
        <w:pStyle w:val="ListBullet"/>
      </w:pPr>
      <w:r>
        <w:t>участвуют в мероприятиях по денежной политике и финансовым рынкам.</w:t>
      </w:r>
    </w:p>
    <w:p>
      <w:r>
        <w:t>Филиалы обеспечивают наличное обращение. Официальная страница организации говорит примерно о 40 локациях, поэтому точное число филиалов здесь не фиксируется.</w:t>
      </w:r>
    </w:p>
    <w:p>
      <w:r>
        <w:t>В банковском надзоре еврозоны значимые банки находятся под прямым надзором ЕЦБ, а национальные органы надзирают за менее значимыми организациями в рамках общей системы. Совместные надзорные группы объединяют сотрудников ЕЦБ и национальных органов. Модель показывает разделение территориального исполнения и общего централизованного надзорного контура. Региональной автономии в ДКП она не означает. [Источники: Bundesbank, https://www.bundesbank.de/en/bundesbank/organisation и https://www.bundesbank.de/en/bundesbank/regional-offices-branches; ECB Banking Supervision, https://www.bankingsupervision.europa.eu/framework/approach/Joint-supervisory-teams/html/index.en.html]</w:t>
      </w:r>
    </w:p>
    <w:p>
      <w:pPr>
        <w:pStyle w:val="Heading3"/>
      </w:pPr>
      <w:r>
        <w:t>Италия: сеть территориальных исследований Banca d'Italia</w:t>
      </w:r>
    </w:p>
    <w:p>
      <w:r>
        <w:t>[П] У Banca d'Italia есть сеть территориальных исследований (territorial research network). Она готовит ежегодные отчёты об экономике каждого региона, которые публикуются в июне, и последующие тематические материалы. [Источник: Banca d'Italia, https://www.bancaditalia.it/compiti/ricerca-economica/rete-territoriale-ricerca/index.html]</w:t>
      </w:r>
    </w:p>
    <w:p>
      <w:r>
        <w:t>[СИНТЕЗ] Итальянский пример показывает, что территориальная экспертиза центрального банка может быть регулярным публичным продуктом с фиксированным календарём. Её адресат — все заинтересованные пользователи, включая региональные органы власти, а не отдельный заказчик. Для России это аргумент в пользу публичной аналитики как основы экспертного направления. Индивидуальный консалтинг по запросу таким аргументом не подкрепляется. Состав, методология и сроки итальянских отчётов в настоящем обзоре подробно не проверялись.</w:t>
      </w:r>
    </w:p>
    <w:p>
      <w:pPr>
        <w:pStyle w:val="Heading3"/>
      </w:pPr>
      <w:r>
        <w:t>Австралия: компактная программа связей с бизнесом</w:t>
      </w:r>
    </w:p>
    <w:p>
      <w:r>
        <w:t>[П] Reserve Bank of Australia ведёт программу связей с предприятиями, отраслевыми объединениями, органами власти и общественными организациями. Часть работы выполняют небольшие региональные офисы, часть — сотрудники центрального офиса. Банк описывает эти контакты как дополнение к официальной статистике и моделям при оценке текущей конъюнктуры и краткосрочных шоков, а не как регуляторное полномочие. Потенциально переносим принцип стандартизированной сети контактов, но не австралийское число или размещение офисов. [Источник: RBA Bulletin, "The Reserve Bank's Liaison Program turns 21", https://www.rba.gov.au/publications/bulletin/2022/sep/the-reserve-banks-liaison-program-turns-21.html]</w:t>
      </w:r>
    </w:p>
    <w:p>
      <w:pPr>
        <w:pStyle w:val="Heading3"/>
      </w:pPr>
      <w:r>
        <w:t>Китай: реформа структуры и территориального уровня</w:t>
      </w:r>
    </w:p>
    <w:p>
      <w:r>
        <w:t>[П] В 2023 году Китай реформировал территориальную организацию Народного банка Китая. Хронология:</w:t>
      </w:r>
    </w:p>
    <w:p>
      <w:pPr>
        <w:pStyle w:val="ListBullet"/>
      </w:pPr>
      <w:r>
        <w:t>до 1998 года действовало 31 провинциальное отделение;</w:t>
      </w:r>
    </w:p>
    <w:p>
      <w:pPr>
        <w:pStyle w:val="ListBullet"/>
      </w:pPr>
      <w:r>
        <w:t>затем их заменили девятью межпровинциальными региональными филиалами;</w:t>
      </w:r>
    </w:p>
    <w:p>
      <w:pPr>
        <w:pStyle w:val="ListBullet"/>
      </w:pPr>
      <w:r>
        <w:t>план 2023 года предусматривал возвращение к провинциальному уровню и упразднение уездных подразделений.</w:t>
      </w:r>
    </w:p>
    <w:p>
      <w:r>
        <w:t>Публикация о запуске новой сети 18 августа 2023 года сообщает о 31 провинциальном филиале, пяти филиалах в городах с отдельным плановым статусом и 317 филиалах уровня префектур/городов. Это подтверждает запуск объявленной структуры по сообщениям People's Daily/Xinhua. Независимой оценкой фактической работы каждого подразделения или результатов реформы эти сообщения не являются. Материал на gov.cn — комментарий авторов, перепечатанный China Daily, а не первичный текст плана. Число 317 приводится в сообщениях People's Daily/Xinhua и здесь не выдаётся за независимо проверенное юридическое число. [Источники: комментарий China Daily, перепечатанный gov.cn, https://english.www.gov.cn/policies/policywatch/202304/17/content_WS643ca32ac6d03ffcca6ec573.html; People's Daily, 19.08.2023, https://paper.people.com.cn/rmrbhwb/html/2023-08/19/content_26012188.htm; Xinhua, 18.08.2023, http://www.news.cn/fortune/2023-08/18/c_1129810276.htm]</w:t>
      </w:r>
    </w:p>
    <w:p>
      <w:r>
        <w:t>[СИНТЕЗ] Китайский случай — контекстно обусловленная перестройка географии и распределения надзорных функций. Готовой моделью для российского независимого центрального банка он не является.</w:t>
      </w:r>
    </w:p>
    <w:p>
      <w:pPr>
        <w:pStyle w:val="Heading3"/>
      </w:pPr>
      <w:r>
        <w:t>Индия: крупная сеть офисов и местные советы</w:t>
      </w:r>
    </w:p>
    <w:p>
      <w:r>
        <w:t>[П] RBI сообщает о присутствии в 34 локациях. Офисная сеть и Local Boards (местные советы) — разные институты. Официальная страница RBI подтверждает четыре местных совета и по одному директору Центрального совета от каждого. Статья 9 RBI Act устанавливает, что Local Board консультирует Центральный совет по переданным вопросам и выполняет делегированные обязанности; состав и назначение членов определяются законом. Формулировка о представлении интересов кооперативных и indigenous banks (местных частных банков) приводится в историческом годовом отчёте RBI за 2010–11 годы. Поэтому её не следует подавать как проверенное актуальное описание. Эти советы не являются региональными органами денежно-кредитной политики. [Источники: RBI, Offices, https://rbi.org.in/Scripts/RegionalOffices.aspx; RBI, About Us, https://rbi.org.in/Scripts/AboutUsDisplay.aspx; RBI Annual Report 2010–11, https://www.rbi.org.in/scripts/AnnualReportPublications.aspx?Id=1007; RBI Act, section 9, https://rbidocs.rbi.org.in/rdocs/Publications/PDFs/RBIA1934170510.pdf]</w:t>
      </w:r>
    </w:p>
    <w:p>
      <w:r>
        <w:t>[П] По закону RBI каждый Local Board состоит из пяти членов, которых назначает Центральное правительство на четыре года. Повторные назначения возможны, но общий срок не должен превышать восьми лет. Статья 9 RBI Act — более точный источник о составе и полномочиях советов, чем исторический отчёт за 2010–11 годы. [Источник: RBI Act, section 9, https://rbidocs.rbi.org.in/rdocs/Publications/PDFs/RBIA1934170510.pdf; RBI, About Us, https://rbi.org.in/Scripts/AboutUsDisplay.aspx]</w:t>
      </w:r>
    </w:p>
    <w:p>
      <w:r>
        <w:t>[СИНТЕЗ] Для Банка России переносимо не устройство индийских советов, а идея формализованного консультативного канала, который поднимает региональные проблемы к центральному руководству. Возможный аналог — экспертные советы при территориальных учреждениях с опубликованными правилами:</w:t>
      </w:r>
    </w:p>
    <w:p>
      <w:pPr>
        <w:pStyle w:val="ListBullet"/>
      </w:pPr>
      <w:r>
        <w:t>отбора участников;</w:t>
      </w:r>
    </w:p>
    <w:p>
      <w:pPr>
        <w:pStyle w:val="ListBullet"/>
      </w:pPr>
      <w:r>
        <w:t>управления конфликтами интересов;</w:t>
      </w:r>
    </w:p>
    <w:p>
      <w:pPr>
        <w:pStyle w:val="ListBullet"/>
      </w:pPr>
      <w:r>
        <w:t>передачи предложений наверх.</w:t>
      </w:r>
    </w:p>
    <w:p>
      <w:r>
        <w:t>Полномочия принимать решения по ставке таким советам не нужны.</w:t>
      </w:r>
    </w:p>
    <w:p>
      <w:pPr>
        <w:pStyle w:val="Heading3"/>
      </w:pPr>
      <w:r>
        <w:t>Бразилия: региональные встречи и национальная платёжная инфраструктура</w:t>
      </w:r>
    </w:p>
    <w:p>
      <w:r>
        <w:t>[П] Официальная страница Banco Central do Brasil сообщает о девяти региональных представительствах. Их задачи — обеспечение наличными, изучение региональной конъюнктуры и инспектирование финансовых учреждений, включая банки. Та же страница содержит инфографику сентября 2024 года. Отчёт BCB за 2021 год также фиксирует девять региональных офисов. В нём упоминаются встречи с региональными торговыми ассоциациями, компаниями и местными экономическими аналитиками, обозначенные в английском тексте как biannual (два раза в год). Эта периодичность подтверждена для отчётного периода, но не как текущая практика. [Источники: BCB, Representações regionais, https://www.bcb.gov.br/acessoinformacao/regionais; BCB, Our Results 2021, https://www.bcb.gov.br/en/publications/our_results_2021]</w:t>
      </w:r>
    </w:p>
    <w:p>
      <w:r>
        <w:t>[П] Официальная страница BCB формулирует основной мандат через обеспечение ценовой стабильности и содействие здоровой, эффективной и конкурентной финансовой системе. Финансовая стабильность в изученном источнике не выделена как отдельная равноправная цель. Надзорные компетенции в некоторых сферах разделены с Комиссией по ценным бумагам (CVM). Исследованные материалы не дают оснований приписывать региональным подразделениям автономные полномочия по денежно-кредитным решениям. [Источники: BCB, About, https://www.bcb.gov.br/en/about; BCB, Our Results 2021, https://www.bcb.gov.br/en/publications/our_results_2021]</w:t>
      </w:r>
    </w:p>
    <w:p>
      <w:r>
        <w:t>[П] Бразильский Pix (национальная система мгновенных платежей) — пример инфраструктурной, а не территориальной политики. BCB создал систему, работающую круглосуточно и рассчитанную на доступ широкого круга участников. Банк связывает её с конкуренцией и финансовой доступностью. Для России это основание сравнивать с СБП принципы открытого доступа и удобства платежей. Выводить из Pix необходимость региональных подразделений нельзя. [Источник: BCB, https://www.bcb.gov.br/en/financialstability/pix_en]</w:t>
      </w:r>
    </w:p>
    <w:p>
      <w:pPr>
        <w:pStyle w:val="Heading3"/>
      </w:pPr>
      <w:r>
        <w:t>Прочие примеры и границы проверки</w:t>
      </w:r>
    </w:p>
    <w:p>
      <w:r>
        <w:t>[П] Официальная страница Банка Японии указывает на внутреннюю сеть отделений и местных офисов. Функции этой сети в региональном экономическом мониторинге по собранным материалам проверены недостаточно, поэтому количественные показатели не используются как аргумент эффективности. [Справочно: Bank of Japan, https://www.boj.or.jp/en/about/outline/index.htm] Актуальную структуру и функции сети PBC после реформы не следует выводить из сообщений о плане 2023 года: фактическое исполнение отдельных элементов не установлено.</w:t>
      </w:r>
    </w:p>
    <w:p>
      <w:pPr>
        <w:pStyle w:val="Heading2"/>
      </w:pPr>
      <w:r>
        <w:t>Рекомендации IMF, Всемирного банка и OECD / Recommendations by the IMF, World Bank and OECD</w:t>
      </w:r>
    </w:p>
    <w:p>
      <w:pPr>
        <w:pStyle w:val="Heading3"/>
      </w:pPr>
      <w:r>
        <w:t>IMF</w:t>
      </w:r>
    </w:p>
    <w:p>
      <w:r>
        <w:t>[П] В проведённом поиске не обнаружена универсальная рекомендация IMF создавать, сохранять или упразднять региональные офисы центральных банков. Поиск ограничен двумя материалами:</w:t>
      </w:r>
    </w:p>
    <w:p>
      <w:pPr>
        <w:pStyle w:val="ListBullet"/>
      </w:pPr>
      <w:r>
        <w:t>IMF Country Report 11/336 — страновая оценка соблюдения Россией Базельских основных принципов банковского надзора, основанная на информации по состоянию на апрель 2011 года;</w:t>
      </w:r>
    </w:p>
    <w:p>
      <w:pPr>
        <w:pStyle w:val="ListBullet"/>
      </w:pPr>
      <w:r>
        <w:t>глава Pierre Duquesne «The Supervisory Role of the Central Bank» — авторская работа в сборнике IMF, а не институциональная рекомендация.</w:t>
      </w:r>
    </w:p>
    <w:p>
      <w:r>
        <w:t>Duquesne обсуждает организационную связь денежно-кредитной политики и банковского надзора. Он отмечает разнообразие подходов стран и отсутствие теоретического основания требовать полного разделения этих функций. Вывода о территориальной сети в главе нет. [Источники: IMF Country Report 11/336, https://www.imf.org/external/pubs/ft/scr/2011/cr11336.pdf; Duquesne, https://www.elibrary.imf.org/display/book/9781557756459/ch047.xml?tabs=Abstract]</w:t>
      </w:r>
    </w:p>
    <w:p>
      <w:r>
        <w:t>[СИНТЕЗ] Ясное распределение ответственности и единые стандарты можно принять как принципы предлагаемого дизайна. Специальными рекомендациями IMF о региональных подразделениях они не являются.</w:t>
      </w:r>
    </w:p>
    <w:p>
      <w:pPr>
        <w:pStyle w:val="Heading3"/>
      </w:pPr>
      <w:r>
        <w:t>Всемирный банк</w:t>
      </w:r>
    </w:p>
    <w:p>
      <w:r>
        <w:t xml:space="preserve">[П] В проведённом поиске не обнаружена универсальная рекомендация Всемирного банка о числе, размещении или полномочиях региональных отделений центрального банка. Проверенный материал — Bolzico, Mascaró и Granata, </w:t>
      </w:r>
      <w:r>
        <w:rPr>
          <w:i/>
        </w:rPr>
        <w:t>Practical Guidelines for Effective Bank Resolution</w:t>
      </w:r>
      <w:r>
        <w:t xml:space="preserve"> (Policy Research Working Paper 4389, 2007). Он посвящён рамке урегулирования несостоятельности банков в Латинской Америке и не является формальной политикой Всемирного банка.</w:t>
      </w:r>
    </w:p>
    <w:p>
      <w:r>
        <w:t>Авторы описывают шесть опор такой рамки. Они обсуждают:</w:t>
      </w:r>
    </w:p>
    <w:p>
      <w:pPr>
        <w:pStyle w:val="ListBullet"/>
      </w:pPr>
      <w:r>
        <w:t>автономию органов урегулирования от рыночного и государственного влияния;</w:t>
      </w:r>
    </w:p>
    <w:p>
      <w:pPr>
        <w:pStyle w:val="ListBullet"/>
      </w:pPr>
      <w:r>
        <w:t>распределение обязанностей между учреждениями;</w:t>
      </w:r>
    </w:p>
    <w:p>
      <w:pPr>
        <w:pStyle w:val="ListBullet"/>
      </w:pPr>
      <w:r>
        <w:t>необходимые правовые, финансовые и кадровые возможности.</w:t>
      </w:r>
    </w:p>
    <w:p>
      <w:r>
        <w:t>Надзорное подразделение в составе центрального банка упоминается как одна из возможных организационных схем. Авторы не предписывают эту модель и не делают вывода о необходимости региональных надзорных офисов. В документе прямо отмечено отсутствие общего согласия о наилучшем распределении функций по урегулированию между ведомствами.</w:t>
      </w:r>
    </w:p>
    <w:p>
      <w:r>
        <w:t>Текст проверен по официальной карточке Всемирного банка и текстовой версии; прямая PDF-ссылка вернула 403. Вывод об отсутствии универсальной рекомендации ограничен рассмотренными материалами, а не всей документацией Всемирного банка. [Источники: карточка World Bank, https://documents.worldbank.org/en/publication/documents-reports/documentdetail/454181468269686072; полный текст, https://documents1.worldbank.org/curated/en/454181468269686072/text/wps4389.txt; PDF, https://documents1.worldbank.org/curated/en/454181468269686072/pdf/wps4389.pdf; прямая ссылка, вернувшая 403, https://openknowledge.worldbank.org/bitstreams/f747a8f9-7257-53b2-b561-22709e9c3a21/download]</w:t>
      </w:r>
    </w:p>
    <w:p>
      <w:r>
        <w:t>[СИНТЕЗ] Из обсуждения автономии и ресурсов органов урегулирования нельзя выводить необходимость территориальной децентрализации. Аналогия с устройством надзорных подразделений центрального банка требует отдельного аргумента и является авторским умозаключением, а не рекомендацией Всемирного банка. Пилот региональных консультаций или мониторинга для Банка России также остаётся предложением автора.</w:t>
      </w:r>
    </w:p>
    <w:p>
      <w:r>
        <w:t>[СИНТЕЗ] Для Банка России уместен функциональный вопрос: какие проверки, данные и контакты требуют местного присутствия, а что эффективнее централизовать при единых процедурах. Это вывод данного обзора, а не рекомендация Всемирного банка. Само по себе число офисов не доказывает качество надзора.</w:t>
      </w:r>
    </w:p>
    <w:p>
      <w:pPr>
        <w:pStyle w:val="Heading3"/>
      </w:pPr>
      <w:r>
        <w:t>OECD</w:t>
      </w:r>
    </w:p>
    <w:p>
      <w:r>
        <w:t>[П] OECD Recommendation on Regional Development Policy (OECD/LEGAL/0492) принята Советом OECD на министерском уровне 8 июня 2023 года. Она формулирует десять взаимодополняющих опор региональной политики:</w:t>
      </w:r>
    </w:p>
    <w:p>
      <w:pPr>
        <w:pStyle w:val="ListBullet"/>
      </w:pPr>
      <w:r>
        <w:t>стратегия;</w:t>
      </w:r>
    </w:p>
    <w:p>
      <w:pPr>
        <w:pStyle w:val="ListBullet"/>
      </w:pPr>
      <w:r>
        <w:t>территориальный масштаб;</w:t>
      </w:r>
    </w:p>
    <w:p>
      <w:pPr>
        <w:pStyle w:val="ListBullet"/>
      </w:pPr>
      <w:r>
        <w:t>совместная выработка;</w:t>
      </w:r>
    </w:p>
    <w:p>
      <w:pPr>
        <w:pStyle w:val="ListBullet"/>
      </w:pPr>
      <w:r>
        <w:t>устойчивость;</w:t>
      </w:r>
    </w:p>
    <w:p>
      <w:pPr>
        <w:pStyle w:val="ListBullet"/>
      </w:pPr>
      <w:r>
        <w:t>данные;</w:t>
      </w:r>
    </w:p>
    <w:p>
      <w:pPr>
        <w:pStyle w:val="ListBullet"/>
      </w:pPr>
      <w:r>
        <w:t>многоуровневое управление;</w:t>
      </w:r>
    </w:p>
    <w:p>
      <w:pPr>
        <w:pStyle w:val="ListBullet"/>
      </w:pPr>
      <w:r>
        <w:t>потенциал;</w:t>
      </w:r>
    </w:p>
    <w:p>
      <w:pPr>
        <w:pStyle w:val="ListBullet"/>
      </w:pPr>
      <w:r>
        <w:t>ресурсы;</w:t>
      </w:r>
    </w:p>
    <w:p>
      <w:pPr>
        <w:pStyle w:val="ListBullet"/>
      </w:pPr>
      <w:r>
        <w:t>добросовестность;</w:t>
      </w:r>
    </w:p>
    <w:p>
      <w:pPr>
        <w:pStyle w:val="ListBullet"/>
      </w:pPr>
      <w:r>
        <w:t>результативность.</w:t>
      </w:r>
    </w:p>
    <w:p>
      <w:r>
        <w:t>Инструментарий OECD адресован прежде всего национальным правительствам и также релевантен субнациональным властям. Специальной рекомендации центральным банкам в нём не выявлено. Для Банка России эти положения служат лишь общей рамкой для диалога и работы с территориальными данными, но не предписанием децентрализовать ДКП. [Источники: OECD Toolkit, https://www.oecd.org/en/about/projects/implementing-the-oecd-recommendation-on-regional-development-policy-toolkit.html; OECD Recommendation, https://legalinstruments.oecd.org/en/instruments/OECD-LEGAL-0492]</w:t>
      </w:r>
    </w:p>
    <w:p>
      <w:r>
        <w:t>[СИНТЕЗ] Из рекомендации следуют четыре прикладных принципа:</w:t>
      </w:r>
    </w:p>
    <w:p>
      <w:pPr>
        <w:pStyle w:val="ListBullet"/>
      </w:pPr>
      <w:r>
        <w:t>соразмерять масштаб анализа с географией проблемы;</w:t>
      </w:r>
    </w:p>
    <w:p>
      <w:pPr>
        <w:pStyle w:val="ListBullet"/>
      </w:pPr>
      <w:r>
        <w:t>выстраивать взаимодействие нескольких уровней власти и негосударственных участников с ясным разграничением ролей;</w:t>
      </w:r>
    </w:p>
    <w:p>
      <w:pPr>
        <w:pStyle w:val="ListBullet"/>
      </w:pPr>
      <w:r>
        <w:t>опираться на сопоставимые территориальные данные;</w:t>
      </w:r>
    </w:p>
    <w:p>
      <w:pPr>
        <w:pStyle w:val="ListBullet"/>
      </w:pPr>
      <w:r>
        <w:t>заранее задавать ресурсы, показатели результата и механизмы оценки.</w:t>
      </w:r>
    </w:p>
    <w:p>
      <w:r>
        <w:t>Для центрального банка это означает аккуратное участие в региональном диалоге и публикацию аналитики. Функций регионального развития, распределения бюджетных ресурсов или установления территориальных целей инфляции центральный банк на себя не принимает. Принцип многоуровневого управления с ясным разграничением ролей прямо относится к новому направлению: Банк России участвует в диалоге с региональными органами власти в пределах собственного мандата и не берёт на себя их ответственность.</w:t>
      </w:r>
    </w:p>
    <w:p>
      <w:pPr>
        <w:pStyle w:val="Heading2"/>
      </w:pPr>
      <w:r>
        <w:t>Действующая российская рамка / Existing Russian framework</w:t>
      </w:r>
    </w:p>
    <w:p>
      <w:pPr>
        <w:pStyle w:val="Heading3"/>
      </w:pPr>
      <w:r>
        <w:t>Законодательный мандат и независимость</w:t>
      </w:r>
    </w:p>
    <w:p>
      <w:r>
        <w:t>[П] Законодательный мандат Банка России включает:</w:t>
      </w:r>
    </w:p>
    <w:p>
      <w:pPr>
        <w:pStyle w:val="ListBullet"/>
      </w:pPr>
      <w:r>
        <w:t>защиту и обеспечение устойчивости рубля;</w:t>
      </w:r>
    </w:p>
    <w:p>
      <w:pPr>
        <w:pStyle w:val="ListBullet"/>
      </w:pPr>
      <w:r>
        <w:t>развитие и укрепление банковской системы;</w:t>
      </w:r>
    </w:p>
    <w:p>
      <w:pPr>
        <w:pStyle w:val="ListBullet"/>
      </w:pPr>
      <w:r>
        <w:t>обеспечение стабильности и развитие национальной платёжной системы;</w:t>
      </w:r>
    </w:p>
    <w:p>
      <w:pPr>
        <w:pStyle w:val="ListBullet"/>
      </w:pPr>
      <w:r>
        <w:t>развитие финансового рынка и обеспечение его стабильности.</w:t>
      </w:r>
    </w:p>
    <w:p>
      <w:r>
        <w:t>Банк России осуществляет функции независимо от федеральных и региональных органов власти. Поэтому региональная политика может усиливать информационную, аналитическую, надзорную и коммуникационную работу только в рамках федерального мандата. Региональных ставок, региональных целей инфляции или подчинённости территориальных решений региональным властям она создавать не должна. [Источник: Банк России, https://www.cbr.ru/about_br/bankstatus/; Федеральный закон № 86-ФЗ, официальный текст: https://www.pravo.gov.ru/proxy/ips/?docbody=&amp;nd=102077052]</w:t>
      </w:r>
    </w:p>
    <w:p>
      <w:r>
        <w:t>[П] У Банка России есть территориальные учреждения, включая главные управления, отделения и отделения — национальные банки. На региональных страницах публикуются новости и материалы по инфляции в регионах. [Источник: Банк России, https://www.cbr.ru/about_br/tubr/]</w:t>
      </w:r>
    </w:p>
    <w:p>
      <w:pPr>
        <w:pStyle w:val="Heading3"/>
      </w:pPr>
      <w:r>
        <w:t>Положение № 880-П: статус и задачи территориальных учреждений</w:t>
      </w:r>
    </w:p>
    <w:p>
      <w:r>
        <w:t>[П] Статус и функции территориальных учреждений (ТУ) определены Положением Банка России от 14.01.2026 № 880-П «О территориальных учреждениях Банка России». Реквизиты акта:</w:t>
      </w:r>
    </w:p>
    <w:p>
      <w:pPr>
        <w:pStyle w:val="ListBullet"/>
      </w:pPr>
      <w:r>
        <w:t>опубликовано в «Вестнике Банка России» № 3 (2592) от 28.01.2026;</w:t>
      </w:r>
    </w:p>
    <w:p>
      <w:pPr>
        <w:pStyle w:val="ListBullet"/>
      </w:pPr>
      <w:r>
        <w:t>принято на основании ст. 84 Федерального закона № 86-ФЗ по решению Совета директоров (протокол от 26.12.2025 № ПСД-44);</w:t>
      </w:r>
    </w:p>
    <w:p>
      <w:pPr>
        <w:pStyle w:val="ListBullet"/>
      </w:pPr>
      <w:r>
        <w:t>признаёт утратившим силу Положение № 538-П от 11.04.2016 (п. 5.2).</w:t>
      </w:r>
    </w:p>
    <w:p>
      <w:r>
        <w:t>Дата вступления в силу в использованной фактуре не зафиксирована [?]; нужна дополнительная проверка по тексту акта. [Источник: Положение № 880-П, https://www.cbr.ru/Queries/UniDbQuery/File/90134/7455]</w:t>
      </w:r>
    </w:p>
    <w:p>
      <w:r>
        <w:t>[П] Территориальное учреждение — обособленное подразделение Банка России. Оно входит в единую централизованную систему с вертикальной структурой управления и не имеет статуса юридического лица (п. 1.1). Задачи ТУ сформулированы в п. 1.4: «участие в информационно-аналитической поддержке и коммуникациях по денежно-кредитной политике, участие в организации наличного денежного обращения, участие в обеспечении стабильности и развитии национальной платежной системы, а также участие в развитии финансового рынка Российской Федерации в субъекте (субъектах) Российской Федерации». [Источник: Положение № 880-П, п. 1.1, 1.4]</w:t>
      </w:r>
    </w:p>
    <w:p>
      <w:r>
        <w:t>[СИНТЕЗ] Формулировка задач построена через слово «участие». ТУ не определяют ДКП, не устанавливают правила наличного обращения и платёжной системы и не формируют политику развития финансового рынка. Они участвуют в реализации решений, которые принимаются централизованно. Для данного обзора из этого следует принципиальный вывод: ТУ — «сенсор и исполнитель» единой политики, а не самостоятельный центр её выработки. Любое расширение экспертной роли ТУ должно укладываться в эту вертикальную конструкцию.</w:t>
      </w:r>
    </w:p>
    <w:p>
      <w:pPr>
        <w:pStyle w:val="Heading3"/>
      </w:pPr>
      <w:r>
        <w:t>Функции, релевантные региональной политике</w:t>
      </w:r>
    </w:p>
    <w:p>
      <w:r>
        <w:t>[П] Для темы обзора существенны следующие функции, закреплённые в 880-П:</w:t>
      </w:r>
    </w:p>
    <w:p>
      <w:pPr>
        <w:pStyle w:val="ListBullet"/>
      </w:pPr>
      <w:r>
        <w:rPr>
          <w:b/>
        </w:rPr>
        <w:t>п. 1.5</w:t>
      </w:r>
      <w:r>
        <w:t xml:space="preserve"> — взаимодействие с территориальными органами федеральных органов власти, органами государственной власти субъектов, органами местного самоуправления, СМИ, юридическими и физическими лицами и представительство Банка России в отношениях с ними;</w:t>
      </w:r>
    </w:p>
    <w:p>
      <w:pPr>
        <w:pStyle w:val="ListBullet"/>
      </w:pPr>
      <w:r>
        <w:rPr>
          <w:b/>
        </w:rPr>
        <w:t>п. 2.1.1</w:t>
      </w:r>
      <w:r>
        <w:t xml:space="preserve"> — сбор, обработка и анализ данных о социально-экономических и финансовых условиях подведомственной территории, тематические исследования и задачи по темам специализации в целях информационно-аналитической поддержки решений по ДКП;</w:t>
      </w:r>
    </w:p>
    <w:p>
      <w:pPr>
        <w:pStyle w:val="ListBullet"/>
      </w:pPr>
      <w:r>
        <w:rPr>
          <w:b/>
        </w:rPr>
        <w:t>п. 2.1.2</w:t>
      </w:r>
      <w:r>
        <w:t xml:space="preserve"> — моделирование и прогнозирование экономики подведомственной территории, подготовка материалов к предварительным совещаниям перед заседанием Совета директоров по ключевой ставке;</w:t>
      </w:r>
    </w:p>
    <w:p>
      <w:pPr>
        <w:pStyle w:val="ListBullet"/>
      </w:pPr>
      <w:r>
        <w:rPr>
          <w:b/>
        </w:rPr>
        <w:t>п. 2.1.3</w:t>
      </w:r>
      <w:r>
        <w:t xml:space="preserve"> — мониторинг предприятий, оперативные опросы, ведение базы данных;</w:t>
      </w:r>
    </w:p>
    <w:p>
      <w:pPr>
        <w:pStyle w:val="ListBullet"/>
      </w:pPr>
      <w:r>
        <w:rPr>
          <w:b/>
        </w:rPr>
        <w:t>п. 2.1.4</w:t>
      </w:r>
      <w:r>
        <w:t xml:space="preserve"> — отраслевой анализ;</w:t>
      </w:r>
    </w:p>
    <w:p>
      <w:pPr>
        <w:pStyle w:val="ListBullet"/>
      </w:pPr>
      <w:r>
        <w:rPr>
          <w:b/>
        </w:rPr>
        <w:t>п. 2.1.6</w:t>
      </w:r>
      <w:r>
        <w:t xml:space="preserve"> — коммуникации с органами государственной власти субъектов, научным и экспертным сообществом, отраслевыми союзами и бизнес-ассоциациями, предприятиями;</w:t>
      </w:r>
    </w:p>
    <w:p>
      <w:pPr>
        <w:pStyle w:val="ListBullet"/>
      </w:pPr>
      <w:r>
        <w:rPr>
          <w:b/>
        </w:rPr>
        <w:t>п. 2.1.7</w:t>
      </w:r>
      <w:r>
        <w:t xml:space="preserve"> — обследования условий банковского кредитования;</w:t>
      </w:r>
    </w:p>
    <w:p>
      <w:pPr>
        <w:pStyle w:val="ListBullet"/>
      </w:pPr>
      <w:r>
        <w:rPr>
          <w:b/>
        </w:rPr>
        <w:t>п. 2.7</w:t>
      </w:r>
      <w:r>
        <w:t xml:space="preserve"> — регистрация выпусков эмиссионных ценных бумаг, контроль и надзор за соблюдением эмитентами и участниками корпоративных отношений требований законодательства об акционерных обществах и о ценных бумагах, включая проверки, — «в случае если эти функции не переданы в хаб»;</w:t>
      </w:r>
    </w:p>
    <w:p>
      <w:pPr>
        <w:pStyle w:val="ListBullet"/>
      </w:pPr>
      <w:r>
        <w:rPr>
          <w:b/>
        </w:rPr>
        <w:t>п. 2.9.5</w:t>
      </w:r>
      <w:r>
        <w:t xml:space="preserve"> — производство по делам об административных правонарушениях в рамках полномочий;</w:t>
      </w:r>
    </w:p>
    <w:p>
      <w:pPr>
        <w:pStyle w:val="ListBullet"/>
      </w:pPr>
      <w:r>
        <w:rPr>
          <w:b/>
        </w:rPr>
        <w:t>п. 2.10</w:t>
      </w:r>
      <w:r>
        <w:t xml:space="preserve"> — статистическая деятельность, взаимодействие с Росстатом и респондентами;</w:t>
      </w:r>
    </w:p>
    <w:p>
      <w:pPr>
        <w:pStyle w:val="ListBullet"/>
      </w:pPr>
      <w:r>
        <w:rPr>
          <w:b/>
        </w:rPr>
        <w:t>п. 2.11</w:t>
      </w:r>
      <w:r>
        <w:t xml:space="preserve"> — доступность финансовых услуг в сельской местности и на отдалённых, малонаселённых и труднодоступных территориях: взаимодействие с органами власти, кредитными и некредитными организациями, операторами связи; сбор и анализ информации об инфраструктуре; подготовка информационно-аналитических материалов;</w:t>
      </w:r>
    </w:p>
    <w:p>
      <w:pPr>
        <w:pStyle w:val="ListBullet"/>
      </w:pPr>
      <w:r>
        <w:rPr>
          <w:b/>
        </w:rPr>
        <w:t>п. 2.12</w:t>
      </w:r>
      <w:r>
        <w:t xml:space="preserve"> — информационная политика: информирование общественности, разъяснение решений Банка России, работа на доверие органов исполнительной и законодательной власти, обучающие мероприятия для региональных СМИ;</w:t>
      </w:r>
    </w:p>
    <w:p>
      <w:pPr>
        <w:pStyle w:val="ListBullet"/>
      </w:pPr>
      <w:r>
        <w:rPr>
          <w:b/>
        </w:rPr>
        <w:t>п. 2.13</w:t>
      </w:r>
      <w:r>
        <w:t xml:space="preserve"> — финансовая грамотность и финансовая культура: участие в актуализации и реализации региональных программ, обеспечение функционирования региональных межведомственных координационных органов, консультационная и методологическая поддержка педагогического сообщества, взаимодействие с органами власти и Ассоциацией развития финансовой грамотности;</w:t>
      </w:r>
    </w:p>
    <w:p>
      <w:pPr>
        <w:pStyle w:val="ListBullet"/>
      </w:pPr>
      <w:r>
        <w:rPr>
          <w:b/>
        </w:rPr>
        <w:t>п. 2.17.14</w:t>
      </w:r>
      <w:r>
        <w:t xml:space="preserve"> — обеспечение комплексной безопасности: организация и выполнение мероприятий по поддержке принятия надзорных решений Банком России.</w:t>
      </w:r>
    </w:p>
    <w:p>
      <w:r>
        <w:t>[Источник: Положение № 880-П, https://www.cbr.ru/Queries/UniDbQuery/File/90134/7455]</w:t>
      </w:r>
    </w:p>
    <w:p>
      <w:r>
        <w:t>[П] В перечне задач и функций 880-П нет отдельной функции «консультирование органов государственной власти». Слово «консультационная» встречается в п. 2.13 применительно к поддержке педагогического сообщества в сфере финансовой грамотности, а не к органам власти. [Источник: Положение № 880-П, п. 1.4, разд. 2]</w:t>
      </w:r>
    </w:p>
    <w:p>
      <w:r>
        <w:t>[СИНТЕЗ] Пять задач, которыми территориальные учреждения заняты сегодня по формулировке постановки, соотносятся с Положением так:</w:t>
      </w:r>
    </w:p>
    <w:p>
      <w:pPr>
        <w:pStyle w:val="ListBullet"/>
      </w:pPr>
      <w:r>
        <w:rPr>
          <w:b/>
        </w:rPr>
        <w:t>визуальный контроль финансовых организаций</w:t>
      </w:r>
      <w:r>
        <w:t xml:space="preserve"> — п. 2.7 (контроль и надзор за эмитентами и участниками корпоративных отношений, включая проверки, если функции не переданы в хаб) и п. 2.17.14 (мероприятия по поддержке принятия надзорных решений). Само словосочетание «визуальный контроль» в тексте Положения не встречается [?] — это внутреннее или разговорное наименование, его точное соответствие норме требует сверки с распорядительными актами;</w:t>
      </w:r>
    </w:p>
    <w:p>
      <w:pPr>
        <w:pStyle w:val="ListBullet"/>
      </w:pPr>
      <w:r>
        <w:rPr>
          <w:b/>
        </w:rPr>
        <w:t>рассмотрение административных дел</w:t>
      </w:r>
      <w:r>
        <w:t xml:space="preserve"> — п. 2.9.5 (производство по делам об административных правонарушениях в рамках полномочий) и ст. 23.74 КоАП РФ, где Банк России назван органом, рассматривающим такие дела;</w:t>
      </w:r>
    </w:p>
    <w:p>
      <w:pPr>
        <w:pStyle w:val="ListBullet"/>
      </w:pPr>
      <w:r>
        <w:rPr>
          <w:b/>
        </w:rPr>
        <w:t>региональный экономический анализ и исследования в целях ДКП</w:t>
      </w:r>
      <w:r>
        <w:t xml:space="preserve"> — п. 2.1.1–2.1.5 (сбор и анализ данных о социально-экономических и финансовых условиях территории, тематические исследования, моделирование и прогнозирование, мониторинг предприятий, отраслевой анализ, материалы к совещаниям перед заседанием Совета директоров) и п. 2.10 (статистическая деятельность);</w:t>
      </w:r>
    </w:p>
    <w:p>
      <w:pPr>
        <w:pStyle w:val="ListBullet"/>
      </w:pPr>
      <w:r>
        <w:rPr>
          <w:b/>
        </w:rPr>
        <w:t>финансовая грамотность</w:t>
      </w:r>
      <w:r>
        <w:t xml:space="preserve"> — п. 2.13;</w:t>
      </w:r>
    </w:p>
    <w:p>
      <w:pPr>
        <w:pStyle w:val="ListBullet"/>
      </w:pPr>
      <w:r>
        <w:rPr>
          <w:b/>
        </w:rPr>
        <w:t>финансовая доступность</w:t>
      </w:r>
      <w:r>
        <w:t xml:space="preserve"> — п. 2.11.</w:t>
      </w:r>
    </w:p>
    <w:p>
      <w:r>
        <w:t>[СИНТЕЗ] Шестой блок, который в постановке не назван отдельно, но закреплён в Положении и важен для нового направления, — коммуникации и разъяснение решений: п. 1.5 (представительство Банка России в отношениях с органами власти), п. 2.1.6 (коммуникации с органами власти и экспертным сообществом), п. 2.12 (информирование общественности и разъяснение решений Банка России). Именно этот блок, а не надзорный и не юрисдикционный, служит правовой опорой для центра экспертизы.</w:t>
      </w:r>
    </w:p>
    <w:p>
      <w:r>
        <w:t>[СИНТЕЗ] Из перечня функций следуют три вывода.</w:t>
      </w:r>
    </w:p>
    <w:p>
      <w:r>
        <w:t>Во-первых, аналитический контур ТУ в Положении прописан детально (п. 2.1.1–2.1.7, 2.10). Мониторинг, опросы, моделирование и подготовка материалов к совещаниям перед решением по ключевой ставке — действующие обязанности, а не предложения. Поэтому направления v1 о региональном мониторинге и аналитике трансмиссии в v2 формулируются как развитие и стандартизация существующей работы.</w:t>
      </w:r>
    </w:p>
    <w:p>
      <w:r>
        <w:t>Во-вторых, взаимодействие с органами власти субъектов закреплено в нескольких местах:</w:t>
      </w:r>
    </w:p>
    <w:p>
      <w:pPr>
        <w:pStyle w:val="ListBullet"/>
      </w:pPr>
      <w:r>
        <w:t>общее представительство (п. 1.5);</w:t>
      </w:r>
    </w:p>
    <w:p>
      <w:pPr>
        <w:pStyle w:val="ListBullet"/>
      </w:pPr>
      <w:r>
        <w:t>коммуникации по ДКП (п. 2.1.6);</w:t>
      </w:r>
    </w:p>
    <w:p>
      <w:pPr>
        <w:pStyle w:val="ListBullet"/>
      </w:pPr>
      <w:r>
        <w:t>финансовая доступность (п. 2.11);</w:t>
      </w:r>
    </w:p>
    <w:p>
      <w:pPr>
        <w:pStyle w:val="ListBullet"/>
      </w:pPr>
      <w:r>
        <w:t>разъяснение решений (п. 2.12);</w:t>
      </w:r>
    </w:p>
    <w:p>
      <w:pPr>
        <w:pStyle w:val="ListBullet"/>
      </w:pPr>
      <w:r>
        <w:t>финансовая грамотность и межведомственные координационные органы (п. 2.13).</w:t>
      </w:r>
    </w:p>
    <w:p>
      <w:r>
        <w:t>Эти нормы описывают каналы взаимодействия, но не устанавливают единого продукта, стандарта ответа, порядка учёта обращений или границ предмета консультаций.</w:t>
      </w:r>
    </w:p>
    <w:p>
      <w:r>
        <w:t>В-третьих, в одних и тех же ТУ сочетаются экспертно-коммуникационные функции и функции юрисдикционного и надзорного характера: п. 2.7 (если не передан в хаб), п. 2.9.5 и п. 2.17.14. Хаб здесь — подразделение, централизованно выполняющее функции за несколько ТУ. Это сочетание — главный источник риска конфликта ролей для любого консультационного канала.</w:t>
      </w:r>
    </w:p>
    <w:p>
      <w:r>
        <w:t>[?] Какие именно функции по п. 2.7 переданы в хабы и какие ТУ их сохраняют, по использованной фактуре не установлено. Нужна дополнительная проверка по внутренним распорядительным актам. От ответа зависит, насколько строгим должен быть информационный барьер в конкретном ТУ.</w:t>
      </w:r>
    </w:p>
    <w:p>
      <w:pPr>
        <w:pStyle w:val="Heading3"/>
      </w:pPr>
      <w:r>
        <w:t>Действующие публичные продукты территориальных учреждений</w:t>
      </w:r>
    </w:p>
    <w:p>
      <w:r>
        <w:t>[П] Банк России публикует доклад «Региональная экономика: комментарии ГУ». Его готовят экономические подразделения территориальных учреждений; на странице он описан как ежемесячный, архив публикаций ведётся с 2020 года. В 2026 году на странице размещены выпуски за февраль, март, апрель, июнь, июль, сентябрь и октябрь. Последнее обновление страницы — 14.10.2026. [Источник: Банк России, https://cbr.ru/analytics/dkp/reg_review/; выпуск за октябрь 2026: https://cbr.ru/analytics/dkp/reg_review/1026/]</w:t>
      </w:r>
    </w:p>
    <w:p>
      <w:r>
        <w:t>[?] Почему при ежемесячной периодичности на странице за 2026 год отсутствуют выпуски за январь, май и август, по фактуре не установлено. Это может быть особенностью календаря, объединения выпусков или размещения на сайте; нужна дополнительная проверка.</w:t>
      </w:r>
    </w:p>
    <w:p>
      <w:r>
        <w:t>[П] На странице Банка России о финансовой доступности опубликованы индикаторы финансовой доступности за 2025 год отдельным выпуском (страница обновлена 17.07.2026). Там же выделены направления:</w:t>
      </w:r>
    </w:p>
    <w:p>
      <w:pPr>
        <w:pStyle w:val="ListBullet"/>
      </w:pPr>
      <w:r>
        <w:t>отдалённые и малонаселённые территории;</w:t>
      </w:r>
    </w:p>
    <w:p>
      <w:pPr>
        <w:pStyle w:val="ListBullet"/>
      </w:pPr>
      <w:r>
        <w:t>люди с инвалидностью и маломобильные группы;</w:t>
      </w:r>
    </w:p>
    <w:p>
      <w:pPr>
        <w:pStyle w:val="ListBullet"/>
      </w:pPr>
      <w:r>
        <w:t>пожилое население.</w:t>
      </w:r>
    </w:p>
    <w:p>
      <w:r>
        <w:t>Приведён также композитный индекс удовлетворённости населения работой финансовых организаций. Обзоры состояния финансовой доступности опубликованы за 2015–2018 годы. [Источник: Банк России, https://www.cbr.ru/analytics/develop/fin_avail/]</w:t>
      </w:r>
    </w:p>
    <w:p>
      <w:r>
        <w:t>[СИНТЕЗ] Эти два продукта меняют исходную постановку v1. Региональный доклад конъюнктуры у Банка России уже есть, и его готовят ТУ. Открытым остаётся вопрос о стандартизации методики, календаря и связи с центральным аналитическим циклом, а не о создании доклада. Аналогично публичный слой данных о финансовой доступности уже существует. Региональному центру экспертизы не нужно производить новые данные: ему нужно переупаковать существующие для конкретного потребителя — органа власти субъекта.</w:t>
      </w:r>
    </w:p>
    <w:p>
      <w:r>
        <w:t>[?] Какие внутренние регламенты стандартизируют подготовку «Региональной экономики: комментариев ГУ», сбор конъюнктурной информации и её передачу в центральный аналитический цикл, по публичным материалам не установлено. Утверждать отсутствие таких процессов нельзя.</w:t>
      </w:r>
    </w:p>
    <w:p>
      <w:pPr>
        <w:pStyle w:val="Heading2"/>
      </w:pPr>
      <w:r>
        <w:t>Предлагаемая региональная политика Банка России / Proposed regional policy</w:t>
      </w:r>
    </w:p>
    <w:p>
      <w:r>
        <w:t>[СИНТЕЗ] Цель политики — повысить качество общенациональных решений и устойчивость финансовой инфраструктуры за счёт лучшего учёта пространственной неоднородности. Единство целей, инструментов и ответственности Банка России при этом сохраняется. Региональный уровень остаётся «сенсором и исполнителем», а не отдельным центром ДКП, что соответствует формулировке задач ТУ через «участие» в п. 1.4 880-П.</w:t>
      </w:r>
    </w:p>
    <w:p>
      <w:r>
        <w:t>Политика состоит из шести направлений:</w:t>
      </w:r>
    </w:p>
    <w:p>
      <w:pPr>
        <w:pStyle w:val="ListBullet"/>
      </w:pPr>
      <w:r>
        <w:t>первые три — аналитический контур;</w:t>
      </w:r>
    </w:p>
    <w:p>
      <w:pPr>
        <w:pStyle w:val="ListBullet"/>
      </w:pPr>
      <w:r>
        <w:t>четвёртое — контур финансовой инфраструктуры и доступности;</w:t>
      </w:r>
    </w:p>
    <w:p>
      <w:pPr>
        <w:pStyle w:val="ListBullet"/>
      </w:pPr>
      <w:r>
        <w:t>пятое — публичная коммуникация с бизнесом и населением;</w:t>
      </w:r>
    </w:p>
    <w:p>
      <w:pPr>
        <w:pStyle w:val="ListBullet"/>
      </w:pPr>
      <w:r>
        <w:t>шестое — новое направление, адресованное органам власти субъектов.</w:t>
      </w:r>
    </w:p>
    <w:p>
      <w:r>
        <w:t>Чтобы избежать дублирования, все продукты для органов власти перенесены в шестое направление. Первые пять направлений служат для него источником данных и аналитики.</w:t>
      </w:r>
    </w:p>
    <w:p>
      <w:pPr>
        <w:pStyle w:val="Heading3"/>
      </w:pPr>
      <w:r>
        <w:t>Направление 1. Стандартизированный региональный мониторинг конъюнктуры</w:t>
      </w:r>
    </w:p>
    <w:p>
      <w:r>
        <w:t>[СИНТЕЗ] Мониторинг предприятий, оперативные опросы и обследования условий кредитования ТУ уже ведут (п. 2.1.3, 2.1.7 880-П). Предлагается не создавать их заново, а стандартизировать.</w:t>
      </w:r>
    </w:p>
    <w:p>
      <w:r>
        <w:t>Для каждого макрорегиона ведётся повторяемая панель контактов. В неё входят предприятия разных размеров и отраслей, банки, застройщики, организации инфраструктуры и домохозяйства. Контакты собираются по единым анкетам и протоколам интервью. Темы:</w:t>
      </w:r>
    </w:p>
    <w:p>
      <w:pPr>
        <w:pStyle w:val="ListBullet"/>
      </w:pPr>
      <w:r>
        <w:t>цены и издержки;</w:t>
      </w:r>
    </w:p>
    <w:p>
      <w:pPr>
        <w:pStyle w:val="ListBullet"/>
      </w:pPr>
      <w:r>
        <w:t>заработные платы и дефицит труда;</w:t>
      </w:r>
    </w:p>
    <w:p>
      <w:pPr>
        <w:pStyle w:val="ListBullet"/>
      </w:pPr>
      <w:r>
        <w:t>инвестиции и загрузка мощностей;</w:t>
      </w:r>
    </w:p>
    <w:p>
      <w:pPr>
        <w:pStyle w:val="ListBullet"/>
      </w:pPr>
      <w:r>
        <w:t>кредитный спрос и стандарты кредитования;</w:t>
      </w:r>
    </w:p>
    <w:p>
      <w:pPr>
        <w:pStyle w:val="ListBullet"/>
      </w:pPr>
      <w:r>
        <w:t>просрочка и расчёты;</w:t>
      </w:r>
    </w:p>
    <w:p>
      <w:pPr>
        <w:pStyle w:val="ListBullet"/>
      </w:pPr>
      <w:r>
        <w:t>строительство и жильё.</w:t>
      </w:r>
    </w:p>
    <w:p>
      <w:r>
        <w:t>Качественные сигналы хранятся отдельно от официальной статистики. Каждый сигнал сопровождается датой, географией, отраслью, методом и оценкой неопределённости и не выдаётся за репрезентативную статистику. Контакты конфиденциальны, а их материалы недоступны для консультационного канала (направление 6) в неагрегированном виде.</w:t>
      </w:r>
    </w:p>
    <w:p>
      <w:pPr>
        <w:pStyle w:val="Heading3"/>
      </w:pPr>
      <w:r>
        <w:t>Направление 2. Развитие доклада «Региональная экономика: комментарии ГУ»</w:t>
      </w:r>
    </w:p>
    <w:p>
      <w:r>
        <w:t>[СИНТЕЗ] Вместо нового доклада по образцу Beige Book или Agents' Summary предлагается развивать существующий доклад «Региональная экономика: комментарии ГУ». Предлагаются четыре изменения:</w:t>
      </w:r>
    </w:p>
    <w:p>
      <w:pPr>
        <w:pStyle w:val="ListBullet"/>
      </w:pPr>
      <w:r>
        <w:t>закрепить публичный календарь выпусков;</w:t>
      </w:r>
    </w:p>
    <w:p>
      <w:pPr>
        <w:pStyle w:val="ListBullet"/>
      </w:pPr>
      <w:r>
        <w:t>описать методику отбора контактов и агрегирования сигналов;</w:t>
      </w:r>
    </w:p>
    <w:p>
      <w:pPr>
        <w:pStyle w:val="ListBullet"/>
      </w:pPr>
      <w:r>
        <w:t>маркировать выводы по степени надёжности: подтверждено данными, экспертная оценка контактов, не установлено;</w:t>
      </w:r>
    </w:p>
    <w:p>
      <w:pPr>
        <w:pStyle w:val="ListBullet"/>
      </w:pPr>
      <w:r>
        <w:t>фиксировать расхождения между сигналами контактов и последующей статистикой.</w:t>
      </w:r>
    </w:p>
    <w:p>
      <w:r>
        <w:t>Конфиденциальные сведения компаний не раскрываются. Доклад остаётся материалом Банка России о конъюнктуре и не превращается в оценку политики региональных властей.</w:t>
      </w:r>
    </w:p>
    <w:p>
      <w:pPr>
        <w:pStyle w:val="Heading3"/>
      </w:pPr>
      <w:r>
        <w:t>Направление 3. Аналитика региональной трансмиссии без регионализации ставки</w:t>
      </w:r>
    </w:p>
    <w:p>
      <w:r>
        <w:t>[СИНТЕЗ] ТУ публикуют регулярные разрезы по следующим показателям:</w:t>
      </w:r>
    </w:p>
    <w:p>
      <w:pPr>
        <w:pStyle w:val="ListBullet"/>
      </w:pPr>
      <w:r>
        <w:t>инфляция;</w:t>
      </w:r>
    </w:p>
    <w:p>
      <w:pPr>
        <w:pStyle w:val="ListBullet"/>
      </w:pPr>
      <w:r>
        <w:t>кредитные ставки и объёмы кредитования;</w:t>
      </w:r>
    </w:p>
    <w:p>
      <w:pPr>
        <w:pStyle w:val="ListBullet"/>
      </w:pPr>
      <w:r>
        <w:t>депозиты;</w:t>
      </w:r>
    </w:p>
    <w:p>
      <w:pPr>
        <w:pStyle w:val="ListBullet"/>
      </w:pPr>
      <w:r>
        <w:t>ипотека;</w:t>
      </w:r>
    </w:p>
    <w:p>
      <w:pPr>
        <w:pStyle w:val="ListBullet"/>
      </w:pPr>
      <w:r>
        <w:t>строительно-монтажные работы и жильё.</w:t>
      </w:r>
    </w:p>
    <w:p>
      <w:r>
        <w:t>Разрезы сопровождаются учётом структуры потребления, отраслевого состава, доходов и финансовых ограничений территории. Цель — понять, почему единые решения передаются неодинаково, выявлять риски финансовой стабильности и улучшать прогнозы. Компенсировать различия региона льготной ДКП эта аналитика не призвана. Адресные субсидии и бюджетная поддержка, если они нужны, остаются решениями правительства и органов власти субъектов и учитываются отдельно от инструментов центрального банка. Опорой служат п. 2.1.1, 2.1.2 и 2.1.4 880-П.</w:t>
      </w:r>
    </w:p>
    <w:p>
      <w:pPr>
        <w:pStyle w:val="Heading3"/>
      </w:pPr>
      <w:r>
        <w:t>Направление 4. Финансовая инфраструктура, доступность и защита потребителей на территории</w:t>
      </w:r>
    </w:p>
    <w:p>
      <w:r>
        <w:t>[СИНТЕЗ] Направление объединяет четыре блока:</w:t>
      </w:r>
    </w:p>
    <w:p>
      <w:pPr>
        <w:pStyle w:val="ListBullet"/>
      </w:pPr>
      <w:r>
        <w:t>единые стандарты защиты прав потребителей и рассмотрения жалоб;</w:t>
      </w:r>
    </w:p>
    <w:p>
      <w:pPr>
        <w:pStyle w:val="ListBullet"/>
      </w:pPr>
      <w:r>
        <w:t>мониторинг непрерывности платежей и наличного обращения;</w:t>
      </w:r>
    </w:p>
    <w:p>
      <w:pPr>
        <w:pStyle w:val="ListBullet"/>
      </w:pPr>
      <w:r>
        <w:t>выявление локальных пробелов в доступе к финансовым услугам в логике п. 2.11 880-П: сельская местность, отдалённые, малонаселённые и труднодоступные территории;</w:t>
      </w:r>
    </w:p>
    <w:p>
      <w:pPr>
        <w:pStyle w:val="ListBullet"/>
      </w:pPr>
      <w:r>
        <w:t>использование опубликованных индикаторов финансовой доступности за 2025 год как базовой линии.</w:t>
      </w:r>
    </w:p>
    <w:p>
      <w:r>
        <w:t>Взаимодействие ТУ с кредитными и некредитными организациями и операторами связи по этим вопросам предусмотрено п. 2.11. ТУ может координировать участников, но не обещает кредитование, субсидирование или размещение инфраструктуры от имени Банка России и не назначает конкретную организацию ответственной за закрытие пробела.</w:t>
      </w:r>
    </w:p>
    <w:p>
      <w:pPr>
        <w:pStyle w:val="Heading3"/>
      </w:pPr>
      <w:r>
        <w:t>Направление 5. Публичная коммуникация с бизнесом, населением и СМИ</w:t>
      </w:r>
    </w:p>
    <w:p>
      <w:r>
        <w:t>[СИНТЕЗ] Направление охватывает регулярные открытые встречи, разъяснение решений Банка России на местах, обучение региональных СМИ (п. 2.12 880-П) и канал вопросов для регионального бизнеса и населения. Отдельно следует объяснять две вещи:</w:t>
      </w:r>
    </w:p>
    <w:p>
      <w:pPr>
        <w:pStyle w:val="ListBullet"/>
      </w:pPr>
      <w:r>
        <w:t>почему единая ставка применяется при неодинаковой региональной инфляции;</w:t>
      </w:r>
    </w:p>
    <w:p>
      <w:pPr>
        <w:pStyle w:val="ListBullet"/>
      </w:pPr>
      <w:r>
        <w:t>почему локальный шок предложения не обязательно требует отдельного монетарного ответа.</w:t>
      </w:r>
    </w:p>
    <w:p>
      <w:r>
        <w:t>Адресат направления — широкая публика. Органы власти субъектов обслуживаются по направлению 6, чтобы разделить публичную коммуникацию и институциональное взаимодействие с иными требованиями к учёту, конфиденциальности и ответственности.</w:t>
      </w:r>
    </w:p>
    <w:p>
      <w:pPr>
        <w:pStyle w:val="Heading3"/>
      </w:pPr>
      <w:r>
        <w:t>Направление 6. Региональная команда представителей Банка России как центр экспертизы и финансовых консультаций для региональных органов власти</w:t>
      </w:r>
    </w:p>
    <w:p>
      <w:pPr>
        <w:pStyle w:val="Heading4"/>
      </w:pPr>
      <w:r>
        <w:t>Постановка</w:t>
      </w:r>
    </w:p>
    <w:p>
      <w:r>
        <w:t>[СИНТЕЗ] Тезис владельца задачи: региональная команда представителей Банка России может быть полезна как центр экспертизы и финансовых консультаций для региональных органов власти. Чтобы этот тезис стал работоспособным институциональным дизайном, а не лозунгом, нужно ответить на четыре вопроса:</w:t>
      </w:r>
    </w:p>
    <w:p>
      <w:pPr>
        <w:pStyle w:val="ListBullet"/>
      </w:pPr>
      <w:r>
        <w:t>что именно понимается под «консультацией»;</w:t>
      </w:r>
    </w:p>
    <w:p>
      <w:pPr>
        <w:pStyle w:val="ListBullet"/>
      </w:pPr>
      <w:r>
        <w:t>какие продукты получает потребитель;</w:t>
      </w:r>
    </w:p>
    <w:p>
      <w:pPr>
        <w:pStyle w:val="ListBullet"/>
      </w:pPr>
      <w:r>
        <w:t>где проходят границы мандата;</w:t>
      </w:r>
    </w:p>
    <w:p>
      <w:pPr>
        <w:pStyle w:val="ListBullet"/>
      </w:pPr>
      <w:r>
        <w:t>как управляются конфликт интересов и ответственность за совет.</w:t>
      </w:r>
    </w:p>
    <w:p>
      <w:r>
        <w:t>Направление адресовано органам государственной власти субъектов, органам местного самоуправления и территориальным органам федеральных органов власти, то есть кругу, указанному в п. 1.5 880-П. Финансовые организации и коммерческие компании адресатами направления не являются.</w:t>
      </w:r>
    </w:p>
    <w:p>
      <w:r>
        <w:t>[СИНТЕЗ] Ценность направления для региона — снижение информационной асимметрии (неравенства в доступе к информации). Органы власти субъекта принимают решения о программах финансовой грамотности, о мерах по доступности финансовых услуг, о бюджетных прогнозах, о взаимодействии с банками в регионе. При этом у них нет удобного доступа к данным, методологии и толкованию регулирования, которыми располагает Банк России. Ценность для Банка России — более точная обратная связь о региональных условиях, более качественное восприятие его решений и снижение риска региональных инициатив, противоречащих федеральному регулированию финансового рынка.</w:t>
      </w:r>
    </w:p>
    <w:p>
      <w:pPr>
        <w:pStyle w:val="Heading4"/>
      </w:pPr>
      <w:r>
        <w:t>Различение трёх видов деятельности</w:t>
      </w:r>
    </w:p>
    <w:p>
      <w:r>
        <w:t>[СИНТЕЗ] В основе дизайна — строгое различение трёх видов деятельности, которые нельзя смешивать ни в регламенте, ни в коммуникации.</w:t>
      </w:r>
    </w:p>
    <w:p>
      <w:r>
        <w:rPr>
          <w:b/>
        </w:rPr>
        <w:t>(а) Экспертиза</w:t>
      </w:r>
      <w:r>
        <w:t xml:space="preserve"> — публичная аналитика и методология. Сюда относятся доклады, разрезы данных, методические материалы, открытые экспертные сессии. Продукт адресован неопределённому кругу лиц или всем органам власти субъекта одинаково, публикуется или может быть опубликован и не содержит сведений ограниченного доступа. Это ядро направления, и оно прямо опирается на п. 2.1.1, 2.1.4, 2.11, 2.12 и 2.13 880-П.</w:t>
      </w:r>
    </w:p>
    <w:p>
      <w:r>
        <w:rPr>
          <w:b/>
        </w:rPr>
        <w:t>(б) Финансовое консультирование органов власти по вопросам в мандате Банка России.</w:t>
      </w:r>
      <w:r>
        <w:t xml:space="preserve"> Это ответ на конкретный вопрос конкретного органа власти. Предмет ответа ограничен тремя темами:</w:t>
      </w:r>
    </w:p>
    <w:p>
      <w:pPr>
        <w:pStyle w:val="ListBullet"/>
      </w:pPr>
      <w:r>
        <w:t>разъяснение действующего регулирования финансового рынка и решений Банка России;</w:t>
      </w:r>
    </w:p>
    <w:p>
      <w:pPr>
        <w:pStyle w:val="ListBullet"/>
      </w:pPr>
      <w:r>
        <w:t>разъяснение методологии показателей Банка России;</w:t>
      </w:r>
    </w:p>
    <w:p>
      <w:pPr>
        <w:pStyle w:val="ListBullet"/>
      </w:pPr>
      <w:r>
        <w:t>указание на опубликованные данные и их корректное использование.</w:t>
      </w:r>
    </w:p>
    <w:p>
      <w:r>
        <w:t>Ответ не содержит оценки целесообразности решений органа власти и не формулирует рекомендацию, что делать. Он объясняет, как устроено регулирование, что означают данные и какие ограничения следуют из норм. В тексте направления термин «финансовые консультации» используется только в этом узком значении.</w:t>
      </w:r>
    </w:p>
    <w:p>
      <w:r>
        <w:rPr>
          <w:b/>
        </w:rPr>
        <w:t>(в) Коммерческий консалтинг и инвестиционное консультирование.</w:t>
      </w:r>
      <w:r>
        <w:t xml:space="preserve"> Это рекомендации по сделкам, финансовым инструментам, эмитентам, контрагентам, структуре заимствований, выбору банка, оценка инвестиционной привлекательности проектов. Банк России такую деятельность не ведёт. [П] Инвестиционное консультирование — оказание консультационных услуг в отношении ценных бумаг, сделок с ними и (или) заключения договоров, являющихся производными финансовыми инструментами. Это лицензируемая деятельность по ст. 6.1 Федерального закона от 22.04.1996 № 39-ФЗ «О рынке ценных бумаг». [Источник: Федеральный закон № 39-ФЗ, ст. 6.1] [СИНТЕЗ] Банк России выступает регулятором этой деятельности, а не её участником. Если вопрос органа власти по существу относится к категории (в), консультационный канал его не обрабатывает, а отвечает отказом по процедуре, описанной ниже.</w:t>
      </w:r>
    </w:p>
    <w:p>
      <w:r>
        <w:t>[СИНТЕЗ] Практический тест для сотрудника, отвечающего на обращение, состоит из двух вопросов. Объясняет ли ответ, как устроена норма, решение или показатель Банка России, — или он говорит органу власти, какой выбор сделать? Можно ли без изменений опубликовать этот ответ для всех субъектов? Если ответ отвечает на второй вопрос первого теста или не проходит второй тест, он выходит за пределы категории (б).</w:t>
      </w:r>
    </w:p>
    <w:p>
      <w:pPr>
        <w:pStyle w:val="Heading4"/>
      </w:pPr>
      <w:r>
        <w:t>Продуктовая линейка</w:t>
      </w:r>
    </w:p>
    <w:p>
      <w:r>
        <w:t>[СИНТЕЗ] Предлагается семь продуктов. Для каждого указаны потребитель, периодичность, формат и опора в 880-П. Периодичность — предлагаемый параметр пилота, а не установленная практика.</w:t>
      </w:r>
    </w:p>
    <w:p>
      <w:pPr>
        <w:pStyle w:val="ListNumber"/>
      </w:pPr>
      <w:r>
        <w:rPr>
          <w:b/>
        </w:rPr>
        <w:t>Краткое разъяснение решения по ДКП для органов власти.</w:t>
      </w:r>
    </w:p>
    <w:p>
      <w:pPr>
        <w:pStyle w:val="ListBullet"/>
      </w:pPr>
      <w:r>
        <w:t>Потребитель: высшее должностное лицо субъекта и его аппарат, финансовый и экономический органы субъекта, законодательный орган.</w:t>
      </w:r>
    </w:p>
    <w:p>
      <w:pPr>
        <w:pStyle w:val="ListBullet"/>
      </w:pPr>
      <w:r>
        <w:t>Периодичность: после каждого заседания Совета директоров по ключевой ставке.</w:t>
      </w:r>
    </w:p>
    <w:p>
      <w:pPr>
        <w:pStyle w:val="ListBullet"/>
      </w:pPr>
      <w:r>
        <w:t>Формат: записка на две-три страницы на основе опубликованного пресс-релиза и материалов Банка России, с указанием того, какие из опубликованных факторов наиболее релевантны для экономики субъекта по данным направлений 1–3. Новых сведений о будущих решениях записка не содержит.</w:t>
      </w:r>
    </w:p>
    <w:p>
      <w:pPr>
        <w:pStyle w:val="ListBullet"/>
      </w:pPr>
      <w:r>
        <w:t>Опора: п. 2.1.6, 2.12.</w:t>
      </w:r>
    </w:p>
    <w:p>
      <w:pPr>
        <w:pStyle w:val="ListNumber"/>
      </w:pPr>
      <w:r>
        <w:rPr>
          <w:b/>
        </w:rPr>
        <w:t>Региональная панель индикаторов финансового сектора.</w:t>
      </w:r>
    </w:p>
    <w:p>
      <w:pPr>
        <w:pStyle w:val="ListBullet"/>
      </w:pPr>
      <w:r>
        <w:t>Потребитель: финансовый и экономический органы субъекта, органы местного самоуправления, региональный межведомственный координационный орган по финансовой грамотности.</w:t>
      </w:r>
    </w:p>
    <w:p>
      <w:pPr>
        <w:pStyle w:val="ListBullet"/>
      </w:pPr>
      <w:r>
        <w:t>Периодичность: ежеквартально, с привязкой к срокам публикации исходных данных.</w:t>
      </w:r>
    </w:p>
    <w:p>
      <w:pPr>
        <w:pStyle w:val="ListBullet"/>
      </w:pPr>
      <w:r>
        <w:t>Формат: стандартизированная таблица и графики. Используются только опубликованные данные Банка России: кредиты, депозиты, ставки, ипотека, просрочка в агрегатах, индикаторы финансовой доступности, сводки по наличному обращению и платёжной инфраструктуре. Методические пояснения и ссылки на первоисточники обязательны. Индивидуальные данные отдельных организаций в панель не входят.</w:t>
      </w:r>
    </w:p>
    <w:p>
      <w:pPr>
        <w:pStyle w:val="ListBullet"/>
      </w:pPr>
      <w:r>
        <w:t>Опора: п. 2.1.1, 2.10, 2.11.</w:t>
      </w:r>
    </w:p>
    <w:p>
      <w:pPr>
        <w:pStyle w:val="ListNumber"/>
      </w:pPr>
      <w:r>
        <w:rPr>
          <w:b/>
        </w:rPr>
        <w:t>Методологическая поддержка региональных программ финансовой грамотности и финансовой доступности.</w:t>
      </w:r>
    </w:p>
    <w:p>
      <w:pPr>
        <w:pStyle w:val="ListBullet"/>
      </w:pPr>
      <w:r>
        <w:t>Потребитель: органы власти, отвечающие за региональную программу, и межведомственный координационный орган.</w:t>
      </w:r>
    </w:p>
    <w:p>
      <w:pPr>
        <w:pStyle w:val="ListBullet"/>
      </w:pPr>
      <w:r>
        <w:t>Периодичность: по циклу актуализации программы, но не реже одного раза в год.</w:t>
      </w:r>
    </w:p>
    <w:p>
      <w:pPr>
        <w:pStyle w:val="ListBullet"/>
      </w:pPr>
      <w:r>
        <w:t>Формат: методические рекомендации по целевым группам и индикаторам; сопоставление с опубликованными индикаторами финансовой доступности, включая направления по отдалённым территориям, людям с инвалидностью и маломобильным группам, пожилому населению; предложения по показателям результативности. Решение о составе программы и финансировании остаётся за органами власти.</w:t>
      </w:r>
    </w:p>
    <w:p>
      <w:pPr>
        <w:pStyle w:val="ListBullet"/>
      </w:pPr>
      <w:r>
        <w:t>Опора: п. 2.11, 2.13.</w:t>
      </w:r>
    </w:p>
    <w:p>
      <w:pPr>
        <w:pStyle w:val="ListNumber"/>
      </w:pPr>
      <w:r>
        <w:rPr>
          <w:b/>
        </w:rPr>
        <w:t>Экспертные сессии и обучение для финансовых органов субъектов и органов местного самоуправления.</w:t>
      </w:r>
    </w:p>
    <w:p>
      <w:pPr>
        <w:pStyle w:val="ListBullet"/>
      </w:pPr>
      <w:r>
        <w:t>Потребитель: специалисты финансовых и экономических органов, муниципальные служащие.</w:t>
      </w:r>
    </w:p>
    <w:p>
      <w:pPr>
        <w:pStyle w:val="ListBullet"/>
      </w:pPr>
      <w:r>
        <w:t>Периодичность: два раза в год плюс тематические сессии по изменениям регулирования.</w:t>
      </w:r>
    </w:p>
    <w:p>
      <w:pPr>
        <w:pStyle w:val="ListBullet"/>
      </w:pPr>
      <w:r>
        <w:t>Формат: открытые для всех профильных органов субъекта семинары о ДКП, трансмиссии, регулировании финансового рынка, защите прав потребителей, платёжной инфраструктуре. Материалы публикуются. По принципу конвенинга (организации встреч заинтересованных сторон) ФРС на сессии могут приглашаться представители научного и экспертного сообщества. Поднадзорные организации участвуют только как слушатели или докладчики на общих основаниях, без индивидуальных консультаций.</w:t>
      </w:r>
    </w:p>
    <w:p>
      <w:pPr>
        <w:pStyle w:val="ListBullet"/>
      </w:pPr>
      <w:r>
        <w:t>Опора: п. 2.1.6, 2.12, 2.13.</w:t>
      </w:r>
    </w:p>
    <w:p>
      <w:pPr>
        <w:pStyle w:val="ListNumber"/>
      </w:pPr>
      <w:r>
        <w:rPr>
          <w:b/>
        </w:rPr>
        <w:t>Разбор региональных инициатив на соответствие регулированию.</w:t>
      </w:r>
    </w:p>
    <w:p>
      <w:pPr>
        <w:pStyle w:val="ListBullet"/>
      </w:pPr>
      <w:r>
        <w:t>Потребитель: орган власти субъекта, готовящий проект нормативного акта, программы или соглашения, затрагивающего финансовый рынок, платёжные услуги, наличное обращение или защиту прав потребителей финансовых услуг.</w:t>
      </w:r>
    </w:p>
    <w:p>
      <w:pPr>
        <w:pStyle w:val="ListBullet"/>
      </w:pPr>
      <w:r>
        <w:t>Периодичность: по запросу, в регламентный срок.</w:t>
      </w:r>
    </w:p>
    <w:p>
      <w:pPr>
        <w:pStyle w:val="ListBullet"/>
      </w:pPr>
      <w:r>
        <w:t>Формат: письменное заключение о том, какие нормы федерального регулирования финансового рынка и акты Банка России затрагивает инициатива и где возможны противоречия. Оценка целесообразности, экономической эффективности и бюджетных последствий инициативы в заключение не входит, и оно прямо об этом оговаривает. При юридически сложных вопросах заключение согласуется с профильным подразделением центрального аппарата [?: конкретное подразделение подлежит определению].</w:t>
      </w:r>
    </w:p>
    <w:p>
      <w:pPr>
        <w:pStyle w:val="ListBullet"/>
      </w:pPr>
      <w:r>
        <w:t>Опора: п. 1.5, 2.1.6, 2.12.</w:t>
      </w:r>
    </w:p>
    <w:p>
      <w:pPr>
        <w:pStyle w:val="ListNumber"/>
      </w:pPr>
      <w:r>
        <w:rPr>
          <w:b/>
        </w:rPr>
        <w:t>Публичный реестр типовых вопросов и ответов.</w:t>
      </w:r>
    </w:p>
    <w:p>
      <w:pPr>
        <w:pStyle w:val="ListBullet"/>
      </w:pPr>
      <w:r>
        <w:t>Потребитель: все органы власти субъектов и муниципалитетов, а также общественность.</w:t>
      </w:r>
    </w:p>
    <w:p>
      <w:pPr>
        <w:pStyle w:val="ListBullet"/>
      </w:pPr>
      <w:r>
        <w:t>Периодичность: непрерывное пополнение, сводная ревизия ежеквартально.</w:t>
      </w:r>
    </w:p>
    <w:p>
      <w:pPr>
        <w:pStyle w:val="ListBullet"/>
      </w:pPr>
      <w:r>
        <w:t>Формат: обезличенные вопросы, поступившие в консультационный канал, с ответами. Название органа и детали, позволяющие его идентифицировать, удаляются, если это требуется. Реестр ведётся централизованно для всех ТУ, чтобы на один вопрос давался один ответ независимо от региона.</w:t>
      </w:r>
    </w:p>
    <w:p>
      <w:pPr>
        <w:pStyle w:val="ListBullet"/>
      </w:pPr>
      <w:r>
        <w:t>Опора: п. 2.12.</w:t>
      </w:r>
    </w:p>
    <w:p>
      <w:pPr>
        <w:pStyle w:val="ListNumber"/>
      </w:pPr>
      <w:r>
        <w:rPr>
          <w:b/>
        </w:rPr>
        <w:t>Аналитическая записка к бюджетному циклу региона.</w:t>
      </w:r>
    </w:p>
    <w:p>
      <w:pPr>
        <w:pStyle w:val="ListBullet"/>
      </w:pPr>
      <w:r>
        <w:t>Потребитель: финансовый орган субъекта и законодательный орган.</w:t>
      </w:r>
    </w:p>
    <w:p>
      <w:pPr>
        <w:pStyle w:val="ListBullet"/>
      </w:pPr>
      <w:r>
        <w:t>Периодичность: один раз в год, к сроку, согласованному с финансовым органом субъекта с учётом его бюджетного календаря [?: сроки бюджетного цикла конкретных субъектов не проверены].</w:t>
      </w:r>
    </w:p>
    <w:p>
      <w:pPr>
        <w:pStyle w:val="ListBullet"/>
      </w:pPr>
      <w:r>
        <w:t>Формат: публичная записка с обзором макроэкономических условий по опубликованному прогнозу Банка России, разрезами по региону из направлений 1–3 и описанием рисков для доходной базы, связанных с финансовыми условиями. Записка не содержит рекомендаций по объёму, структуре, срокам и инструментам заимствований субъекта, не оценивает параметры бюджета и не прогнозирует налоговые доходы региона. Формулировки о будущей ключевой ставке в ней допустимы только в пределах опубликованных сигналов Банка России.</w:t>
      </w:r>
    </w:p>
    <w:p>
      <w:pPr>
        <w:pStyle w:val="ListBullet"/>
      </w:pPr>
      <w:r>
        <w:t>Опора: п. 2.1.1, 2.1.2 (в части уже опубликованных материалов), 2.1.6.</w:t>
      </w:r>
    </w:p>
    <w:p>
      <w:r>
        <w:t>[СИНТЕЗ] Продукты 1, 2, 4, 6 и 7 относятся к категории (а) «экспертиза». Продукты 3 и 5 содержат элементы категории (б) «консультирование в мандате». Ни один продукт не относится к категории (в). Такое соотношение сознательное: основной объём работы должен составлять публичный, воспроизводимый и одинаковый для всех субъектов продукт, а индивидуальные консультации — исключение с повышенными требованиями к процедуре.</w:t>
      </w:r>
    </w:p>
    <w:p>
      <w:pPr>
        <w:pStyle w:val="Heading4"/>
      </w:pPr>
      <w:r>
        <w:t>Границы мандата: чего центр не делает</w:t>
      </w:r>
    </w:p>
    <w:p>
      <w:r>
        <w:t>[СИНТЕЗ] Перечень публикуется вместе с перечнем тем, по которым консультации оказываются. Центр экспертизы:</w:t>
      </w:r>
    </w:p>
    <w:p>
      <w:pPr>
        <w:pStyle w:val="ListBullet"/>
      </w:pPr>
      <w:r>
        <w:t>не оценивает инвестиционную привлекательность проектов, конкретных финансовых инструментов, эмитентов и контрагентов;</w:t>
      </w:r>
    </w:p>
    <w:p>
      <w:pPr>
        <w:pStyle w:val="ListBullet"/>
      </w:pPr>
      <w:r>
        <w:t>не даёт рекомендаций по заимствованиям региона и муниципалитетов: объём, структура, инструмент, срок, выбор кредитора, момент выхода на рынок;</w:t>
      </w:r>
    </w:p>
    <w:p>
      <w:pPr>
        <w:pStyle w:val="ListBullet"/>
      </w:pPr>
      <w:r>
        <w:t>не подменяет Минфин России и финансовые органы субъектов в вопросах бюджетной, долговой и налоговой политики;</w:t>
      </w:r>
    </w:p>
    <w:p>
      <w:pPr>
        <w:pStyle w:val="ListBullet"/>
      </w:pPr>
      <w:r>
        <w:t>не выступает арбитром в спорах региона, муниципалитета или их организаций с финансовыми организациями и не оценивает позиции сторон в таких спорах; жалобы потребителей финансовых услуг направляются в установленные каналы защиты прав потребителей;</w:t>
      </w:r>
    </w:p>
    <w:p>
      <w:pPr>
        <w:pStyle w:val="ListBullet"/>
      </w:pPr>
      <w:r>
        <w:t>не раскрывает надзорную информацию и иную информацию ограниченного доступа, включая сведения о финансовом положении отдельных организаций, о проводимых проверках и о делах об административных правонарушениях;</w:t>
      </w:r>
    </w:p>
    <w:p>
      <w:pPr>
        <w:pStyle w:val="ListBullet"/>
      </w:pPr>
      <w:r>
        <w:t>не консультирует поднадзорные организации по их бизнесу, в том числе когда вопрос поступает через орган власти в интересах конкретной организации;</w:t>
      </w:r>
    </w:p>
    <w:p>
      <w:pPr>
        <w:pStyle w:val="ListBullet"/>
      </w:pPr>
      <w:r>
        <w:t>не лоббирует интересы региона внутри Банка России и перед федеральными органами власти; региональные сигналы передаются в центральный аналитический контур как информация, а не как позиция ТУ;</w:t>
      </w:r>
    </w:p>
    <w:p>
      <w:pPr>
        <w:pStyle w:val="ListBullet"/>
      </w:pPr>
      <w:r>
        <w:t>не даёт гарантий, не обещает финансирование, рефинансирование, льготные условия, размещение инфраструктуры или иные действия Банка России и финансовых организаций;</w:t>
      </w:r>
    </w:p>
    <w:p>
      <w:pPr>
        <w:pStyle w:val="ListBullet"/>
      </w:pPr>
      <w:r>
        <w:t>не прогнозирует решения Совета директоров сверх опубликованных сигналов и не обсуждает их до публикации;</w:t>
      </w:r>
    </w:p>
    <w:p>
      <w:pPr>
        <w:pStyle w:val="ListBullet"/>
      </w:pPr>
      <w:r>
        <w:t>не готовит документы от имени органов власти и не участвует в их подписании.</w:t>
      </w:r>
    </w:p>
    <w:p>
      <w:pPr>
        <w:pStyle w:val="Heading4"/>
      </w:pPr>
      <w:r>
        <w:t>Управление конфликтом интересов и ответственностью</w:t>
      </w:r>
    </w:p>
    <w:p>
      <w:r>
        <w:t>[СИНТЕЗ] Процедурная рамка канала включает семь элементов.</w:t>
      </w:r>
    </w:p>
    <w:p>
      <w:pPr>
        <w:pStyle w:val="ListBullet"/>
      </w:pPr>
      <w:r>
        <w:rPr>
          <w:b/>
        </w:rPr>
        <w:t>Публичный перечень тем.</w:t>
      </w:r>
      <w:r>
        <w:t xml:space="preserve"> Темы, по которым оказываются консультации, публикуются: регулирование финансового рынка в части, затрагивающей региональные инициативы; финансовая доступность; финансовая грамотность; наличное обращение и платёжная инфраструктура; методология и данные Банка России; разъяснение решений по ДКП. Обращения вне перечня не обрабатываются в консультационном порядке.</w:t>
      </w:r>
    </w:p>
    <w:p>
      <w:pPr>
        <w:pStyle w:val="ListBullet"/>
      </w:pPr>
      <w:r>
        <w:rPr>
          <w:b/>
        </w:rPr>
        <w:t>Мотивированный отказ.</w:t>
      </w:r>
      <w:r>
        <w:t xml:space="preserve"> Отказ по теме вне мандата оформляется письменно, со ссылкой на пункт перечня границ мандата и, если это возможно, с указанием органа, к компетенции которого относится вопрос. Отказы учитываются так же, как ответы.</w:t>
      </w:r>
    </w:p>
    <w:p>
      <w:pPr>
        <w:pStyle w:val="ListBullet"/>
      </w:pPr>
      <w:r>
        <w:rPr>
          <w:b/>
        </w:rPr>
        <w:t>Протоколирование.</w:t>
      </w:r>
      <w:r>
        <w:t xml:space="preserve"> Каждое обращение регистрируется. Фиксируются дата, орган, предмет, категория (а/б/в), исполнитель, согласующие лица, срок ответа, факт публикации в реестре. Устные встречи сопровождаются протоколом с перечнем обсуждённых тем.</w:t>
      </w:r>
    </w:p>
    <w:p>
      <w:pPr>
        <w:pStyle w:val="ListBullet"/>
      </w:pPr>
      <w:r>
        <w:rPr>
          <w:b/>
        </w:rPr>
        <w:t>Обезличенная публикация.</w:t>
      </w:r>
      <w:r>
        <w:t xml:space="preserve"> Вопросы-ответы категории (б) публикуются в реестре после обезличивания. Неопубликованным может оставаться только ответ, содержащий сведения о неопубликованной инициативе органа власти, и только до её обнародования; основание для отсрочки протоколируется.</w:t>
      </w:r>
    </w:p>
    <w:p>
      <w:pPr>
        <w:pStyle w:val="ListBullet"/>
      </w:pPr>
      <w:r>
        <w:rPr>
          <w:b/>
        </w:rPr>
        <w:t>Оговорка о характере ответа.</w:t>
      </w:r>
      <w:r>
        <w:t xml:space="preserve"> Каждый письменный ответ содержит стандартную оговорку. Ответ разъясняет действующее регулирование, методологию и данные Банка России. Он не является рекомендацией к совершению или несовершению действий, не является инвестиционной рекомендацией и не заменяет официальных разъяснений, принимаемых Банком России в установленном порядке [?: виды и порядок официальных разъяснений подлежат проверке].</w:t>
      </w:r>
    </w:p>
    <w:p>
      <w:pPr>
        <w:pStyle w:val="ListBullet"/>
      </w:pPr>
      <w:r>
        <w:rPr>
          <w:b/>
        </w:rPr>
        <w:t>Правило «совет не является основанием для регуляторного решения».</w:t>
      </w:r>
      <w:r>
        <w:t xml:space="preserve"> Содержание консультации не может служить основанием для надзорного, разрешительного или юрисдикционного решения в отношении какой-либо организации и не создаёт для Банка России обязательств. И наоборот: факт обращения органа власти не влияет на надзорные решения.</w:t>
      </w:r>
    </w:p>
    <w:p>
      <w:pPr>
        <w:pStyle w:val="ListBullet"/>
      </w:pPr>
      <w:r>
        <w:rPr>
          <w:b/>
        </w:rPr>
        <w:t>Информационный барьер.</w:t>
      </w:r>
      <w:r>
        <w:t xml:space="preserve"> Сотрудники, отвечающие на обращения, не имеют доступа к неагрегированным надзорным материалам, материалам проверок по п. 2.7 и делам об административных правонарушениях по п. 2.9.5 880-П. Если в ТУ одни и те же сотрудники вовлечены в обе функции, они устраняются от обращений по связанным темам. Отвод протоколируется.</w:t>
      </w:r>
    </w:p>
    <w:p>
      <w:pPr>
        <w:pStyle w:val="Heading4"/>
      </w:pPr>
      <w:r>
        <w:t>Почему это не новая функция, а новая упаковка существующей</w:t>
      </w:r>
    </w:p>
    <w:p>
      <w:r>
        <w:t>[СИНТЕЗ] Каждый элемент направления 6 опирается на уже закреплённую норму 880-П:</w:t>
      </w:r>
    </w:p>
    <w:p>
      <w:pPr>
        <w:pStyle w:val="ListBullet"/>
      </w:pPr>
      <w:r>
        <w:t>представительство Банка России в отношениях с органами власти субъектов и органами местного самоуправления (п. 1.5);</w:t>
      </w:r>
    </w:p>
    <w:p>
      <w:pPr>
        <w:pStyle w:val="ListBullet"/>
      </w:pPr>
      <w:r>
        <w:t>коммуникации с органами власти субъектов и экспертным сообществом по вопросам ДКП (п. 2.1.6);</w:t>
      </w:r>
    </w:p>
    <w:p>
      <w:pPr>
        <w:pStyle w:val="ListBullet"/>
      </w:pPr>
      <w:r>
        <w:t>взаимодействие с органами власти по доступности финансовых услуг и подготовка информационно-аналитических материалов (п. 2.11);</w:t>
      </w:r>
    </w:p>
    <w:p>
      <w:pPr>
        <w:pStyle w:val="ListBullet"/>
      </w:pPr>
      <w:r>
        <w:t>разъяснение решений Банка России и работа на доверие органов исполнительной и законодательной власти (п. 2.12);</w:t>
      </w:r>
    </w:p>
    <w:p>
      <w:pPr>
        <w:pStyle w:val="ListBullet"/>
      </w:pPr>
      <w:r>
        <w:t>участие в региональных программах финансовой грамотности и обеспечение работы межведомственных координационных органов (п. 2.13).</w:t>
      </w:r>
    </w:p>
    <w:p>
      <w:r>
        <w:t>[П] Ни одна из этих норм не называется «консультированием органов государственной власти», и такой функции в 880-П нет. [Источник: Положение № 880-П]</w:t>
      </w:r>
    </w:p>
    <w:p>
      <w:r>
        <w:t>[СИНТЕЗ] Поэтому направление 6 не требует изменения закона и, по предварительной оценке, не требует изменения 880-П, но требует организационного решения. Его элементы:</w:t>
      </w:r>
    </w:p>
    <w:p>
      <w:pPr>
        <w:pStyle w:val="ListBullet"/>
      </w:pPr>
      <w:r>
        <w:t>регламент консультационного канала с перечнем тем, границами мандата и процедурами;</w:t>
      </w:r>
    </w:p>
    <w:p>
      <w:pPr>
        <w:pStyle w:val="ListBullet"/>
      </w:pPr>
      <w:r>
        <w:t>выделенная роль в структуре ТУ: координатор канала с полномочиями распределять обращения и контролировать сроки;</w:t>
      </w:r>
    </w:p>
    <w:p>
      <w:pPr>
        <w:pStyle w:val="ListBullet"/>
      </w:pPr>
      <w:r>
        <w:t>методический владелец в центральном аппарате, обеспечивающий единообразие ответов и ведение реестра;</w:t>
      </w:r>
    </w:p>
    <w:p>
      <w:pPr>
        <w:pStyle w:val="ListBullet"/>
      </w:pPr>
      <w:r>
        <w:t>обучение сотрудников различению категорий (а), (б) и (в);</w:t>
      </w:r>
    </w:p>
    <w:p>
      <w:pPr>
        <w:pStyle w:val="ListBullet"/>
      </w:pPr>
      <w:r>
        <w:t>шаблоны продуктов.</w:t>
      </w:r>
    </w:p>
    <w:p>
      <w:r>
        <w:t>Слово «консультации» в публичном позиционировании допустимо только с раскрытием его узкого значения. Иначе у адресатов возникнут ожидания категории (в), которые Банк России выполнить не вправе. Вопрос о том, нужна ли для такого регламента отдельная формализация в нормативном или распорядительном акте, остаётся за юридическими подразделениями Банка России [?].</w:t>
      </w:r>
    </w:p>
    <w:p>
      <w:pPr>
        <w:pStyle w:val="Heading4"/>
      </w:pPr>
      <w:r>
        <w:t>Организационная модель команды</w:t>
      </w:r>
    </w:p>
    <w:p>
      <w:r>
        <w:t>[СИНТЕЗ] «Региональная команда представителей Банка России» — функциональное объединение уже работающих в ТУ специалистов под единым регламентом, а не новое подразделение. В неё входят:</w:t>
      </w:r>
    </w:p>
    <w:p>
      <w:pPr>
        <w:pStyle w:val="ListBullet"/>
      </w:pPr>
      <w:r>
        <w:t>сотрудники экономического подразделения (направления 1–3);</w:t>
      </w:r>
    </w:p>
    <w:p>
      <w:pPr>
        <w:pStyle w:val="ListBullet"/>
      </w:pPr>
      <w:r>
        <w:t>специалисты по финансовой доступности и финансовой грамотности (п. 2.11, 2.13);</w:t>
      </w:r>
    </w:p>
    <w:p>
      <w:pPr>
        <w:pStyle w:val="ListBullet"/>
      </w:pPr>
      <w:r>
        <w:t>специалисты по информационной политике (п. 2.12);</w:t>
      </w:r>
    </w:p>
    <w:p>
      <w:pPr>
        <w:pStyle w:val="ListBullet"/>
      </w:pPr>
      <w:r>
        <w:t>координатор канала.</w:t>
      </w:r>
    </w:p>
    <w:p>
      <w:r>
        <w:t>Сотрудники надзорных и юрисдикционных блоков в команду не включаются. Руководителем команды выступает руководитель ТУ или уполномоченный заместитель, не курирующий надзорные и юрисдикционные функции. Если в конкретном ТУ такое разделение кураторства невозможно, сложные обращения категории (б) согласуются с центральным аппаратом. Численность команды и затраты в обзоре не оцениваются [?]: они зависят от результатов аудита кадров и пилота.</w:t>
      </w:r>
    </w:p>
    <w:p>
      <w:pPr>
        <w:pStyle w:val="Heading4"/>
      </w:pPr>
      <w:r>
        <w:t>Международная привязка</w:t>
      </w:r>
    </w:p>
    <w:p>
      <w:r>
        <w:t>[СИНТЕЗ] Ни один из рассмотренных центральных банков не позиционирует свою территориальную сеть как «консультанта органов власти» в смысле категории (в). Ближайшие аналоги поддерживают узкую трактовку направления. Функция community development ФРС предоставляет данные, аналитические инструменты, исследования и конвенинг без рекомендаций по конкретным сделкам. Сеть территориальных исследований Banca d'Italia выпускает регулярные публичные доклады об экономике каждого региона. Сеть агентов Банка Англии и программа связей RBA показывают, что конфиденциальный сбор сведений и публичная экспертиза — разные контуры. Local Boards RBI показывают, что формальный консультативный канал может существовать без полномочий по ДКП. Это аналогии, а не доказательство эффективности: результативность экспертной функции в этих странах в обзоре не оценивалась.</w:t>
      </w:r>
    </w:p>
    <w:p>
      <w:pPr>
        <w:pStyle w:val="Heading2"/>
      </w:pPr>
      <w:r>
        <w:t>Полномочия и разграничение ответственности / Powers and accountability</w:t>
      </w:r>
    </w:p>
    <w:p>
      <w:pPr>
        <w:pStyle w:val="Heading3"/>
      </w:pPr>
      <w:r>
        <w:t>Общие принципы</w:t>
      </w:r>
    </w:p>
    <w:p>
      <w:r>
        <w:t>[СИНТЕЗ] Решения по ключевой ставке, общим операциям ДКП, требованиям регулирования и публичным целям остаются у центральных органов Банка России. ТУ поручаются:</w:t>
      </w:r>
    </w:p>
    <w:p>
      <w:pPr>
        <w:pStyle w:val="ListBullet"/>
      </w:pPr>
      <w:r>
        <w:t>сбор и первичная проверка информации;</w:t>
      </w:r>
    </w:p>
    <w:p>
      <w:pPr>
        <w:pStyle w:val="ListBullet"/>
      </w:pPr>
      <w:r>
        <w:t>региональная коммуникация;</w:t>
      </w:r>
    </w:p>
    <w:p>
      <w:pPr>
        <w:pStyle w:val="ListBullet"/>
      </w:pPr>
      <w:r>
        <w:t>локальный мониторинг платежей и финансовых рисков;</w:t>
      </w:r>
    </w:p>
    <w:p>
      <w:pPr>
        <w:pStyle w:val="ListBullet"/>
      </w:pPr>
      <w:r>
        <w:t>подготовка аналитических материалов по единым центральным стандартам;</w:t>
      </w:r>
    </w:p>
    <w:p>
      <w:pPr>
        <w:pStyle w:val="ListBullet"/>
      </w:pPr>
      <w:r>
        <w:t>экспертное взаимодействие с органами власти по направлению 6.</w:t>
      </w:r>
    </w:p>
    <w:p>
      <w:r>
        <w:t>Отдельного правового и организационного анализа требуют три вида изменений: расширение принудительных надзорных полномочий, изменение статуса ТУ, создание постоянных региональных коллегиальных органов. Их необходимость в обзоре не установлена.</w:t>
      </w:r>
    </w:p>
    <w:p>
      <w:r>
        <w:t>[П] ТУ не имеет статуса юридического лица и входит в единую централизованную систему с вертикальной структурой управления (п. 1.1 880-П). [СИНТЕЗ] Отсюда следует, что ответы, заключения и записки ТУ — это документы Банка России, а не самостоятельная позиция подразделения. Значит, и ответственность за их содержание, и требование единообразия ответов во всех ТУ лежат на Банке России в целом. Это главный аргумент в пользу централизованного методического владельца и единого реестра вопросов-ответов.</w:t>
      </w:r>
    </w:p>
    <w:p>
      <w:pPr>
        <w:pStyle w:val="Heading3"/>
      </w:pPr>
      <w:r>
        <w:t>Разбор нового направления по правовым основаниям</w:t>
      </w:r>
    </w:p>
    <w:p>
      <w:r>
        <w:t>[СИНТЕЗ] Ниже элементы направления 6 разделены на три группы. Ссылки на пункты 880-П, ст. 6.1 39-ФЗ и ст. 23.74 КоАП РФ — [П]. Квалификация элементов — авторская и не является юридическим заключением.</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r>
            <w:r>
              <w:rPr>
                <w:b/>
              </w:rPr>
              <w:t>Элемент направления 6</w:t>
            </w:r>
          </w:p>
        </w:tc>
        <w:tc>
          <w:tcPr>
            <w:tcW w:type="dxa" w:w="3213"/>
          </w:tcPr>
          <w:p>
            <w:r>
              <w:rPr>
                <w:b/>
              </w:rPr>
            </w:r>
            <w:r>
              <w:rPr>
                <w:b/>
              </w:rPr>
              <w:t>Опора в праве</w:t>
            </w:r>
          </w:p>
        </w:tc>
        <w:tc>
          <w:tcPr>
            <w:tcW w:type="dxa" w:w="3213"/>
          </w:tcPr>
          <w:p>
            <w:r>
              <w:rPr>
                <w:b/>
              </w:rPr>
            </w:r>
            <w:r>
              <w:rPr>
                <w:b/>
              </w:rPr>
              <w:t>Квалификация</w:t>
            </w:r>
          </w:p>
        </w:tc>
      </w:tr>
      <w:tr>
        <w:tc>
          <w:tcPr>
            <w:tcW w:type="dxa" w:w="3213"/>
          </w:tcPr>
          <w:p>
            <w:r/>
            <w:r>
              <w:t>Разъяснение решений по ДКП органам власти (продукт 1)</w:t>
            </w:r>
          </w:p>
        </w:tc>
        <w:tc>
          <w:tcPr>
            <w:tcW w:type="dxa" w:w="3213"/>
          </w:tcPr>
          <w:p>
            <w:r/>
            <w:r>
              <w:t>п. 2.1.6, 2.12 880-П</w:t>
            </w:r>
          </w:p>
        </w:tc>
        <w:tc>
          <w:tcPr>
            <w:tcW w:type="dxa" w:w="3213"/>
          </w:tcPr>
          <w:p>
            <w:r/>
            <w:r>
              <w:t>Покрывается 880-П</w:t>
            </w:r>
          </w:p>
        </w:tc>
      </w:tr>
      <w:tr>
        <w:tc>
          <w:tcPr>
            <w:tcW w:type="dxa" w:w="3213"/>
          </w:tcPr>
          <w:p>
            <w:r/>
            <w:r>
              <w:t>Экспертные сессии и обучение (продукт 4)</w:t>
            </w:r>
          </w:p>
        </w:tc>
        <w:tc>
          <w:tcPr>
            <w:tcW w:type="dxa" w:w="3213"/>
          </w:tcPr>
          <w:p>
            <w:r/>
            <w:r>
              <w:t>п. 2.1.6, 2.12, 2.13 880-П</w:t>
            </w:r>
          </w:p>
        </w:tc>
        <w:tc>
          <w:tcPr>
            <w:tcW w:type="dxa" w:w="3213"/>
          </w:tcPr>
          <w:p>
            <w:r/>
            <w:r>
              <w:t>Покрывается 880-П</w:t>
            </w:r>
          </w:p>
        </w:tc>
      </w:tr>
      <w:tr>
        <w:tc>
          <w:tcPr>
            <w:tcW w:type="dxa" w:w="3213"/>
          </w:tcPr>
          <w:p>
            <w:r/>
            <w:r>
              <w:t>Методологическая поддержка программ финграмотности и доступности (продукт 3)</w:t>
            </w:r>
          </w:p>
        </w:tc>
        <w:tc>
          <w:tcPr>
            <w:tcW w:type="dxa" w:w="3213"/>
          </w:tcPr>
          <w:p>
            <w:r/>
            <w:r>
              <w:t>п. 2.11, 2.13 880-П</w:t>
            </w:r>
          </w:p>
        </w:tc>
        <w:tc>
          <w:tcPr>
            <w:tcW w:type="dxa" w:w="3213"/>
          </w:tcPr>
          <w:p>
            <w:r/>
            <w:r>
              <w:t>Покрывается 880-П</w:t>
            </w:r>
          </w:p>
        </w:tc>
      </w:tr>
      <w:tr>
        <w:tc>
          <w:tcPr>
            <w:tcW w:type="dxa" w:w="3213"/>
          </w:tcPr>
          <w:p>
            <w:r/>
            <w:r>
              <w:t>Региональная панель индикаторов из опубликованных данных (продукт 2)</w:t>
            </w:r>
          </w:p>
        </w:tc>
        <w:tc>
          <w:tcPr>
            <w:tcW w:type="dxa" w:w="3213"/>
          </w:tcPr>
          <w:p>
            <w:r/>
            <w:r>
              <w:t>п. 2.1.1, 2.10, 2.11 880-П</w:t>
            </w:r>
          </w:p>
        </w:tc>
        <w:tc>
          <w:tcPr>
            <w:tcW w:type="dxa" w:w="3213"/>
          </w:tcPr>
          <w:p>
            <w:r/>
            <w:r>
              <w:t>Покрывается 880-П по содержанию; стандарт продукта — организационное решение</w:t>
            </w:r>
          </w:p>
        </w:tc>
      </w:tr>
      <w:tr>
        <w:tc>
          <w:tcPr>
            <w:tcW w:type="dxa" w:w="3213"/>
          </w:tcPr>
          <w:p>
            <w:r/>
            <w:r>
              <w:t>Аналитическая записка к бюджетному циклу (продукт 7)</w:t>
            </w:r>
          </w:p>
        </w:tc>
        <w:tc>
          <w:tcPr>
            <w:tcW w:type="dxa" w:w="3213"/>
          </w:tcPr>
          <w:p>
            <w:r/>
            <w:r>
              <w:t>п. 2.1.1, 2.1.6 880-П</w:t>
            </w:r>
          </w:p>
        </w:tc>
        <w:tc>
          <w:tcPr>
            <w:tcW w:type="dxa" w:w="3213"/>
          </w:tcPr>
          <w:p>
            <w:r/>
            <w:r>
              <w:t>Покрывается по содержанию; формат, срок и ограничения — организационное решение</w:t>
            </w:r>
          </w:p>
        </w:tc>
      </w:tr>
      <w:tr>
        <w:tc>
          <w:tcPr>
            <w:tcW w:type="dxa" w:w="3213"/>
          </w:tcPr>
          <w:p>
            <w:r/>
            <w:r>
              <w:t>Разбор инициатив на соответствие регулированию (продукт 5)</w:t>
            </w:r>
          </w:p>
        </w:tc>
        <w:tc>
          <w:tcPr>
            <w:tcW w:type="dxa" w:w="3213"/>
          </w:tcPr>
          <w:p>
            <w:r/>
            <w:r>
              <w:t>п. 1.5, 2.1.6, 2.12 880-П</w:t>
            </w:r>
          </w:p>
        </w:tc>
        <w:tc>
          <w:tcPr>
            <w:tcW w:type="dxa" w:w="3213"/>
          </w:tcPr>
          <w:p>
            <w:r/>
            <w:r>
              <w:t>Требует организационного решения: порядок, согласование с центром, оговорки</w:t>
            </w:r>
          </w:p>
        </w:tc>
      </w:tr>
      <w:tr>
        <w:tc>
          <w:tcPr>
            <w:tcW w:type="dxa" w:w="3213"/>
          </w:tcPr>
          <w:p>
            <w:r/>
            <w:r>
              <w:t>Приём, учёт и обработка индивидуальных обращений органов власти как отдельный канал</w:t>
            </w:r>
          </w:p>
        </w:tc>
        <w:tc>
          <w:tcPr>
            <w:tcW w:type="dxa" w:w="3213"/>
          </w:tcPr>
          <w:p>
            <w:r/>
            <w:r>
              <w:t>Прямой нормы нет; опора — п. 1.5</w:t>
            </w:r>
          </w:p>
        </w:tc>
        <w:tc>
          <w:tcPr>
            <w:tcW w:type="dxa" w:w="3213"/>
          </w:tcPr>
          <w:p>
            <w:r/>
            <w:r>
              <w:t>Требует организационного решения: регламент, роль, реестр</w:t>
            </w:r>
          </w:p>
        </w:tc>
      </w:tr>
      <w:tr>
        <w:tc>
          <w:tcPr>
            <w:tcW w:type="dxa" w:w="3213"/>
          </w:tcPr>
          <w:p>
            <w:r/>
            <w:r>
              <w:t>Публичный реестр вопросов-ответов (продукт 6)</w:t>
            </w:r>
          </w:p>
        </w:tc>
        <w:tc>
          <w:tcPr>
            <w:tcW w:type="dxa" w:w="3213"/>
          </w:tcPr>
          <w:p>
            <w:r/>
            <w:r>
              <w:t>п. 2.12 880-П</w:t>
            </w:r>
          </w:p>
        </w:tc>
        <w:tc>
          <w:tcPr>
            <w:tcW w:type="dxa" w:w="3213"/>
          </w:tcPr>
          <w:p>
            <w:r/>
            <w:r>
              <w:t>Требует организационного решения: централизованное ведение, обезличивание</w:t>
            </w:r>
          </w:p>
        </w:tc>
      </w:tr>
      <w:tr>
        <w:tc>
          <w:tcPr>
            <w:tcW w:type="dxa" w:w="3213"/>
          </w:tcPr>
          <w:p>
            <w:r/>
            <w:r>
              <w:t>Информационный барьер между консультационным каналом и надзором / производством по делам</w:t>
            </w:r>
          </w:p>
        </w:tc>
        <w:tc>
          <w:tcPr>
            <w:tcW w:type="dxa" w:w="3213"/>
          </w:tcPr>
          <w:p>
            <w:r/>
            <w:r>
              <w:t>п. 2.7, 2.9.5, 2.17.14 880-П (как источник риска)</w:t>
            </w:r>
          </w:p>
        </w:tc>
        <w:tc>
          <w:tcPr>
            <w:tcW w:type="dxa" w:w="3213"/>
          </w:tcPr>
          <w:p>
            <w:r/>
            <w:r>
              <w:t>Требует организационного решения</w:t>
            </w:r>
          </w:p>
        </w:tc>
      </w:tr>
      <w:tr>
        <w:tc>
          <w:tcPr>
            <w:tcW w:type="dxa" w:w="3213"/>
          </w:tcPr>
          <w:p>
            <w:r/>
            <w:r>
              <w:t>Рекомендации по сделкам с ценными бумагами и ПФИ</w:t>
            </w:r>
          </w:p>
        </w:tc>
        <w:tc>
          <w:tcPr>
            <w:tcW w:type="dxa" w:w="3213"/>
          </w:tcPr>
          <w:p>
            <w:r/>
            <w:r>
              <w:t>ст. 6.1 39-ФЗ</w:t>
            </w:r>
          </w:p>
        </w:tc>
        <w:tc>
          <w:tcPr>
            <w:tcW w:type="dxa" w:w="3213"/>
          </w:tcPr>
          <w:p>
            <w:r/>
            <w:r>
              <w:t>Не вправе: лицензируемая деятельность</w:t>
            </w:r>
          </w:p>
        </w:tc>
      </w:tr>
      <w:tr>
        <w:tc>
          <w:tcPr>
            <w:tcW w:type="dxa" w:w="3213"/>
          </w:tcPr>
          <w:p>
            <w:r/>
            <w:r>
              <w:t>Рекомендации по заимствованиям, оценка проектов, выбор контрагентов</w:t>
            </w:r>
          </w:p>
        </w:tc>
        <w:tc>
          <w:tcPr>
            <w:tcW w:type="dxa" w:w="3213"/>
          </w:tcPr>
          <w:p>
            <w:r/>
            <w:r>
              <w:t>Нормы мандата нет; ст. 6.1 39-ФЗ в части ценных бумаг</w:t>
            </w:r>
          </w:p>
        </w:tc>
        <w:tc>
          <w:tcPr>
            <w:tcW w:type="dxa" w:w="3213"/>
          </w:tcPr>
          <w:p>
            <w:r/>
            <w:r>
              <w:t>Вне мандата; не делается</w:t>
            </w:r>
          </w:p>
        </w:tc>
      </w:tr>
      <w:tr>
        <w:tc>
          <w:tcPr>
            <w:tcW w:type="dxa" w:w="3213"/>
          </w:tcPr>
          <w:p>
            <w:r/>
            <w:r>
              <w:t>Консультации в рамках или в связи с делом об административном правонарушении</w:t>
            </w:r>
          </w:p>
        </w:tc>
        <w:tc>
          <w:tcPr>
            <w:tcW w:type="dxa" w:w="3213"/>
          </w:tcPr>
          <w:p>
            <w:r/>
            <w:r>
              <w:t>ст. 23.74 КоАП РФ; п. 2.9.5 880-П</w:t>
            </w:r>
          </w:p>
        </w:tc>
        <w:tc>
          <w:tcPr>
            <w:tcW w:type="dxa" w:w="3213"/>
          </w:tcPr>
          <w:p>
            <w:r/>
            <w:r>
              <w:t>Недопустимо совмещать в одном канале</w:t>
            </w:r>
          </w:p>
        </w:tc>
      </w:tr>
      <w:tr>
        <w:tc>
          <w:tcPr>
            <w:tcW w:type="dxa" w:w="3213"/>
          </w:tcPr>
          <w:p>
            <w:r/>
            <w:r>
              <w:t>Действия по указанию или в интересах региональных органов власти</w:t>
            </w:r>
          </w:p>
        </w:tc>
        <w:tc>
          <w:tcPr>
            <w:tcW w:type="dxa" w:w="3213"/>
          </w:tcPr>
          <w:p>
            <w:r/>
            <w:r>
              <w:t>86-ФЗ (независимость)</w:t>
            </w:r>
          </w:p>
        </w:tc>
        <w:tc>
          <w:tcPr>
            <w:tcW w:type="dxa" w:w="3213"/>
          </w:tcPr>
          <w:p>
            <w:r/>
            <w:r>
              <w:t>Не вправе</w:t>
            </w:r>
          </w:p>
        </w:tc>
      </w:tr>
      <w:tr>
        <w:tc>
          <w:tcPr>
            <w:tcW w:type="dxa" w:w="3213"/>
          </w:tcPr>
          <w:p>
            <w:r/>
            <w:r>
              <w:t>Раскрытие надзорной информации и информации ограниченного доступа</w:t>
            </w:r>
          </w:p>
        </w:tc>
        <w:tc>
          <w:tcPr>
            <w:tcW w:type="dxa" w:w="3213"/>
          </w:tcPr>
          <w:p>
            <w:r/>
            <w:r>
              <w:t>86-ФЗ и иные акты о тайне [?]</w:t>
            </w:r>
          </w:p>
        </w:tc>
        <w:tc>
          <w:tcPr>
            <w:tcW w:type="dxa" w:w="3213"/>
          </w:tcPr>
          <w:p>
            <w:r/>
            <w:r>
              <w:t>Не вправе</w:t>
            </w:r>
          </w:p>
        </w:tc>
      </w:tr>
    </w:tbl>
    <w:p>
      <w:pPr>
        <w:pStyle w:val="Heading3"/>
      </w:pPr>
      <w:r>
        <w:t>Что уже покрывается 880-П</w:t>
      </w:r>
    </w:p>
    <w:p>
      <w:r>
        <w:t>[СИНТЕЗ] Публичная экспертиза — категория (а) — полностью опирается на действующие нормы. Разъяснение решений Банка России (п. 2.12), коммуникации по ДКП с органами власти субъектов (п. 2.1.6), информационно-аналитические материалы по финансовой доступности (п. 2.11) и участие в региональных программах финансовой грамотности (п. 2.13) — прямые обязанности ТУ. Для запуска продуктов 1–4 и 7 не нужны новые полномочия. Нужны стандарт продукта, календарь и шаблон.</w:t>
      </w:r>
    </w:p>
    <w:p>
      <w:pPr>
        <w:pStyle w:val="Heading3"/>
      </w:pPr>
      <w:r>
        <w:t>Что требует организационного решения</w:t>
      </w:r>
    </w:p>
    <w:p>
      <w:r>
        <w:t>[СИНТЕЗ] Индивидуальное консультирование — категория (б) — в 880-П прямо не названо. Оно может осуществляться в рамках представительства и взаимодействия с органами власти (п. 1.5), но без регламента возникают три проблемы.</w:t>
      </w:r>
    </w:p>
    <w:p>
      <w:r>
        <w:t>Первая — неопределённость предмета: сотрудник ТУ не имеет формального основания отказать в вопросе вне мандата. Вторая — неравенство: разные ТУ отвечают по-разному, и регион с более активной командой получает больше. Третья — риск неформальных обязательств: устный ответ воспринимается как позиция Банка России.</w:t>
      </w:r>
    </w:p>
    <w:p>
      <w:r>
        <w:t>Организационное решение должно закрепить перечень тем, границы мандата, порядок регистрации, сроки, правила согласования и публикации, оговорку о характере ответа и правила информационного барьера. Его форма — внутренний распорядительный документ или иной акт — определяется юридическими подразделениями Банка России [?].</w:t>
      </w:r>
    </w:p>
    <w:p>
      <w:pPr>
        <w:pStyle w:val="Heading3"/>
      </w:pPr>
      <w:r>
        <w:t>Что Банк России делать не вправе</w:t>
      </w:r>
    </w:p>
    <w:p>
      <w:r>
        <w:t>[П] Инвестиционное консультирование — оказание консультационных услуг в отношении ценных бумаг, сделок с ними и (или) заключения договоров, являющихся производными финансовыми инструментами. Это лицензируемая деятельность по ст. 6.1 Федерального закона № 39-ФЗ. [Источник: Федеральный закон № 39-ФЗ, ст. 6.1] [СИНТЕЗ] Ответ ТУ органу власти о том, стоит ли выпускать облигации субъекта, покупать конкретные бумаги или заключать договор, являющийся производным инструментом, был бы по существу инвестиционной рекомендацией. Регулятор такую деятельность не ведёт. Запрет распространяется и на непрямые формы: «неформальное мнение», сравнение предложений конкретных банков, оценку условий конкретного выпуска.</w:t>
      </w:r>
    </w:p>
    <w:p>
      <w:r>
        <w:t>[П] Банк России рассматривает дела об административных правонарушениях по ст. 23.74 КоАП РФ, в частности по ст. 5.53–5.55, ч. 1, 3 и 4 ст. 13.25. ТУ осуществляют производство по делам об административных правонарушениях в рамках полномочий (п. 2.9.5 880-П). [Источник: КоАП РФ, ст. 23.74; Положение № 880-П, п. 2.9.5] [СИНТЕЗ] Это юрисдикционная функция, а не консультирование. Совмещать консультации и производство по делу в одном канале недопустимо. Орган власти, должностное лицо или организация, являющиеся стороной производства, не могут получать по тем же обстоятельствам консультацию, которая выглядела бы как предварительная оценка исхода дела. Такие вопросы канал отклоняет с отсылкой к процессуальному порядку.</w:t>
      </w:r>
    </w:p>
    <w:p>
      <w:r>
        <w:t>[П] Банк России осуществляет функции независимо от федеральных и региональных органов власти. [Источник: Федеральный закон № 86-ФЗ; Банк России, https://www.cbr.ru/about_br/bankstatus/] [СИНТЕЗ] Отсюда следуют пять ограничений:</w:t>
      </w:r>
    </w:p>
    <w:p>
      <w:pPr>
        <w:pStyle w:val="ListBullet"/>
      </w:pPr>
      <w:r>
        <w:t>консультационный канал не может работать по поручениям органов власти субъекта;</w:t>
      </w:r>
    </w:p>
    <w:p>
      <w:pPr>
        <w:pStyle w:val="ListBullet"/>
      </w:pPr>
      <w:r>
        <w:t>он не может включаться в состав их подведомственной инфраструктуры;</w:t>
      </w:r>
    </w:p>
    <w:p>
      <w:pPr>
        <w:pStyle w:val="ListBullet"/>
      </w:pPr>
      <w:r>
        <w:t>он не может принимать на себя обязательства по их программам;</w:t>
      </w:r>
    </w:p>
    <w:p>
      <w:pPr>
        <w:pStyle w:val="ListBullet"/>
      </w:pPr>
      <w:r>
        <w:t>соглашения о взаимодействии, если они заключаются, должны описывать обмен информацией и совместные мероприятия, а не подчинённость или обязательства Банка России по результатам [?: практика и форма таких соглашений подлежат проверке];</w:t>
      </w:r>
    </w:p>
    <w:p>
      <w:pPr>
        <w:pStyle w:val="ListBullet"/>
      </w:pPr>
      <w:r>
        <w:t>участие ТУ в межведомственных координационных органах (п. 2.13) не означает, что Банк России отвечает за их решения вне своего мандата.</w:t>
      </w:r>
    </w:p>
    <w:p>
      <w:r>
        <w:t>[?] Режим информации ограниченного доступа, применимый к надзорным сведениям, в настоящем обзоре по конкретным нормам не разбирался. Нужна дополнительная проверка по 86-ФЗ и иным актам.</w:t>
      </w:r>
    </w:p>
    <w:p>
      <w:pPr>
        <w:pStyle w:val="Heading3"/>
      </w:pPr>
      <w:r>
        <w:t>Защита от захвата повестки</w:t>
      </w:r>
    </w:p>
    <w:p>
      <w:r>
        <w:t>[СИНТЕЗ] Чтобы местные интересы не захватили повестку, контакты с бизнесом по направлению 1 должны оставаться конфиденциальными. Выборка контактов — диверсифицированной, протоколирование — стандартизированным, выводы — сопоставленными с независимыми данными. Контактные материалы нельзя использовать как индивидуальные прогнозы или как основание адресного регуляторного решения в пользу отдельной организации. Для направления 6 добавляются два правила. Во-первых, частота и содержание взаимодействия с органами власти раскрываются в агрегированном виде. Во-вторых, ни одна позиция региональных органов власти не передаётся в центральный аппарат как позиция ТУ.</w:t>
      </w:r>
    </w:p>
    <w:p>
      <w:pPr>
        <w:pStyle w:val="Heading2"/>
      </w:pPr>
      <w:r>
        <w:t>Пилот и критерии оценки / Pilot and evaluation</w:t>
      </w:r>
    </w:p>
    <w:p>
      <w:pPr>
        <w:pStyle w:val="Heading3"/>
      </w:pPr>
      <w:r>
        <w:t>Дизайн пилота</w:t>
      </w:r>
    </w:p>
    <w:p>
      <w:r>
        <w:t>[СИНТЕЗ] Предлагается пилот на 12 месяцев в нескольких макрорегионах с разной структурой экономики и демографией. Методика едина. Контрольная группа ТУ продолжает обычную практику. Пилот состоит из двух компонентов, которые оцениваются раздельно:</w:t>
      </w:r>
    </w:p>
    <w:p>
      <w:pPr>
        <w:pStyle w:val="ListBullet"/>
      </w:pPr>
      <w:r>
        <w:rPr>
          <w:b/>
        </w:rPr>
        <w:t>аналитический компонент</w:t>
      </w:r>
      <w:r>
        <w:t xml:space="preserve"> — направления 1–3, стандартизация мониторинга и доклада «Региональная экономика: комментарии ГУ»;</w:t>
      </w:r>
    </w:p>
    <w:p>
      <w:pPr>
        <w:pStyle w:val="ListBullet"/>
      </w:pPr>
      <w:r>
        <w:rPr>
          <w:b/>
        </w:rPr>
        <w:t>консультационный компонент</w:t>
      </w:r>
      <w:r>
        <w:t xml:space="preserve"> — направление 6.</w:t>
      </w:r>
    </w:p>
    <w:p>
      <w:r>
        <w:t>Компоненты можно запускать в разных ТУ, чтобы отделить их эффекты.</w:t>
      </w:r>
    </w:p>
    <w:p>
      <w:r>
        <w:t>[СИНТЕЗ] Перечень ТУ выбирается после аудита кадров, данных и текущих процессов, без него назначать площадки преждевременно. Для консультационного компонента предлагаются три дополнительных условия отбора:</w:t>
      </w:r>
    </w:p>
    <w:p>
      <w:pPr>
        <w:pStyle w:val="ListBullet"/>
      </w:pPr>
      <w:r>
        <w:t>включить хотя бы одно ТУ, сохраняющее функции по п. 2.7 880-П (не переданные в хаб), чтобы проверить работоспособность информационного барьера в наиболее сложной конфигурации;</w:t>
      </w:r>
    </w:p>
    <w:p>
      <w:pPr>
        <w:pStyle w:val="ListBullet"/>
      </w:pPr>
      <w:r>
        <w:t>включить хотя бы одно ТУ, обслуживающее несколько субъектов, чтобы проверить равенство доступа;</w:t>
      </w:r>
    </w:p>
    <w:p>
      <w:pPr>
        <w:pStyle w:val="ListBullet"/>
      </w:pPr>
      <w:r>
        <w:t>до старта утвердить регламент, перечень тем, границы мандата и шаблоны, а метрики и пороговые значения зафиксировать заранее (предрегистрация).</w:t>
      </w:r>
    </w:p>
    <w:p>
      <w:r>
        <w:t>[СИНТЕЗ] Причинный эффект пилота можно оценить лишь при заранее заданном дизайне. Простое сравнение «до/после» будет описательным. Для консультационного компонента причинная оценка влияния на решения органов власти практически недостижима. Его оценка строится в основном на метриках процесса, качества и риска, а не на заявлениях о влиянии.</w:t>
      </w:r>
    </w:p>
    <w:p>
      <w:pPr>
        <w:pStyle w:val="Heading3"/>
      </w:pPr>
      <w:r>
        <w:t>Метрики аналитического канала</w:t>
      </w:r>
    </w:p>
    <w:p>
      <w:r>
        <w:t>[СИНТЕЗ] Критерии приёмки аналитического компонента:</w:t>
      </w:r>
    </w:p>
    <w:p>
      <w:pPr>
        <w:pStyle w:val="ListBullet"/>
      </w:pPr>
      <w:r>
        <w:t>регулярность и полнота контактов по панели, соблюдение календаря доклада;</w:t>
      </w:r>
    </w:p>
    <w:p>
      <w:pPr>
        <w:pStyle w:val="ListBullet"/>
      </w:pPr>
      <w:r>
        <w:t>баланс отраслей, размеров и типов предприятий в выборке;</w:t>
      </w:r>
    </w:p>
    <w:p>
      <w:pPr>
        <w:pStyle w:val="ListBullet"/>
      </w:pPr>
      <w:r>
        <w:t>срок от сбора сигнала до использования в центральном аналитическом цикле, включая материалы к предварительным совещаниям перед заседанием по ключевой ставке (п. 2.1.2 880-П);</w:t>
      </w:r>
    </w:p>
    <w:p>
      <w:pPr>
        <w:pStyle w:val="ListBullet"/>
      </w:pPr>
      <w:r>
        <w:t>доля качественных сигналов, впоследствии подтверждённых официальными данными;</w:t>
      </w:r>
    </w:p>
    <w:p>
      <w:pPr>
        <w:pStyle w:val="ListBullet"/>
      </w:pPr>
      <w:r>
        <w:t>добавочная точность краткосрочных прогнозов относительно заранее закреплённого статистического бенчмарка;</w:t>
      </w:r>
    </w:p>
    <w:p>
      <w:pPr>
        <w:pStyle w:val="ListBullet"/>
      </w:pPr>
      <w:r>
        <w:t>документированное использование материалов центральными подразделениями и комитетами;</w:t>
      </w:r>
    </w:p>
    <w:p>
      <w:pPr>
        <w:pStyle w:val="ListBullet"/>
      </w:pPr>
      <w:r>
        <w:t>понимание решений аудиторией по данным опросов.</w:t>
      </w:r>
    </w:p>
    <w:p>
      <w:r>
        <w:t>Сам факт увеличения числа публикаций или встреч улучшением не считается.</w:t>
      </w:r>
    </w:p>
    <w:p>
      <w:pPr>
        <w:pStyle w:val="Heading3"/>
      </w:pPr>
      <w:r>
        <w:t>Метрики консультационного канала</w:t>
      </w:r>
    </w:p>
    <w:p>
      <w:r>
        <w:t>[СИНТЕЗ] Метрики консультационного компонента разделены на четыре группы. Объём обращений сам по себе метрикой успеха не является.</w:t>
      </w:r>
    </w:p>
    <w:p>
      <w:r>
        <w:rPr>
          <w:b/>
        </w:rPr>
        <w:t>Соблюдение границ мандата:</w:t>
      </w:r>
    </w:p>
    <w:p>
      <w:pPr>
        <w:pStyle w:val="ListBullet"/>
      </w:pPr>
      <w:r>
        <w:t>распределение обращений по категориям (а), (б), (в) и по темам из публичного перечня;</w:t>
      </w:r>
    </w:p>
    <w:p>
      <w:pPr>
        <w:pStyle w:val="ListBullet"/>
      </w:pPr>
      <w:r>
        <w:t>доля обращений категории (в) и тем вне перечня, получивших мотивированный письменный отказ, — целевое значение 100%;</w:t>
      </w:r>
    </w:p>
    <w:p>
      <w:pPr>
        <w:pStyle w:val="ListBullet"/>
      </w:pPr>
      <w:r>
        <w:t>число случаев, когда ответ при выборочном аудите переклассифицирован в категорию (в), — целевое значение ноль;</w:t>
      </w:r>
    </w:p>
    <w:p>
      <w:pPr>
        <w:pStyle w:val="ListBullet"/>
      </w:pPr>
      <w:r>
        <w:t>доля ответов, содержащих стандартную оговорку о характере ответа.</w:t>
      </w:r>
    </w:p>
    <w:p>
      <w:r>
        <w:rPr>
          <w:b/>
        </w:rPr>
        <w:t>Качество и единообразие:</w:t>
      </w:r>
    </w:p>
    <w:p>
      <w:pPr>
        <w:pStyle w:val="ListBullet"/>
      </w:pPr>
      <w:r>
        <w:t>доля ответов, данных в регламентный срок;</w:t>
      </w:r>
    </w:p>
    <w:p>
      <w:pPr>
        <w:pStyle w:val="ListBullet"/>
      </w:pPr>
      <w:r>
        <w:t>доля ответов категории (б), опубликованных в реестре вопросов-ответов, и доля обоснованных отсрочек публикации;</w:t>
      </w:r>
    </w:p>
    <w:p>
      <w:pPr>
        <w:pStyle w:val="ListBullet"/>
      </w:pPr>
      <w:r>
        <w:t>согласованность: при выборочном аудите одинаковые по существу вопросы из разных ТУ получают одинаковые по существу ответы;</w:t>
      </w:r>
    </w:p>
    <w:p>
      <w:pPr>
        <w:pStyle w:val="ListBullet"/>
      </w:pPr>
      <w:r>
        <w:t>доля ответов, потребовавших исправления после согласования с центральным аппаратом или после публикации;</w:t>
      </w:r>
    </w:p>
    <w:p>
      <w:pPr>
        <w:pStyle w:val="ListBullet"/>
      </w:pPr>
      <w:r>
        <w:t>доля повторных вопросов, на которые уже есть ответ в реестре, как индикатор полезности реестра.</w:t>
      </w:r>
    </w:p>
    <w:p>
      <w:r>
        <w:rPr>
          <w:b/>
        </w:rPr>
        <w:t>Полезность для потребителя:</w:t>
      </w:r>
    </w:p>
    <w:p>
      <w:pPr>
        <w:pStyle w:val="ListBullet"/>
      </w:pPr>
      <w:r>
        <w:t>оценка ясности и применимости продуктов 1–7 по анонимному опросу представителей органов власти;</w:t>
      </w:r>
    </w:p>
    <w:p>
      <w:pPr>
        <w:pStyle w:val="ListBullet"/>
      </w:pPr>
      <w:r>
        <w:t>охват: доля органов власти субъектов в зоне пилотных ТУ, получивших хотя бы один продукт, без концентрации на одном адресате;</w:t>
      </w:r>
    </w:p>
    <w:p>
      <w:pPr>
        <w:pStyle w:val="ListBullet"/>
      </w:pPr>
      <w:r>
        <w:t>документированное использование материалов органом власти — например, ссылка в программе или пояснительной записке. Метрика описательная: причинного вывода из неё не делается.</w:t>
      </w:r>
    </w:p>
    <w:p>
      <w:r>
        <w:rPr>
          <w:b/>
        </w:rPr>
        <w:t>Инциденты и риски:</w:t>
      </w:r>
    </w:p>
    <w:p>
      <w:pPr>
        <w:pStyle w:val="ListBullet"/>
      </w:pPr>
      <w:r>
        <w:t>число случаев раскрытия информации ограниченного доступа — целевое значение ноль;</w:t>
      </w:r>
    </w:p>
    <w:p>
      <w:pPr>
        <w:pStyle w:val="ListBullet"/>
      </w:pPr>
      <w:r>
        <w:t>число зарегистрированных отводов по конфликту интересов и случаев нарушения информационного барьера;</w:t>
      </w:r>
    </w:p>
    <w:p>
      <w:pPr>
        <w:pStyle w:val="ListBullet"/>
      </w:pPr>
      <w:r>
        <w:t>число обращений, связанных с делами об административных правонарушениях или с надзорными мероприятиями, и подтверждение их отклонения;</w:t>
      </w:r>
    </w:p>
    <w:p>
      <w:pPr>
        <w:pStyle w:val="ListBullet"/>
      </w:pPr>
      <w:r>
        <w:t>число случаев публичного использования ответа ТУ органом власти или третьими лицами как «одобрения Банка России», а также реакция на них;</w:t>
      </w:r>
    </w:p>
    <w:p>
      <w:pPr>
        <w:pStyle w:val="ListBullet"/>
      </w:pPr>
      <w:r>
        <w:t>жалобы на содержание консультаций.</w:t>
      </w:r>
    </w:p>
    <w:p>
      <w:r>
        <w:t>[СИНТЕЗ] Решение о масштабировании консультационного компонента принимается только при одновременном выполнении трёх условий: отсутствие инцидентов по информации ограниченного доступа, соблюдение границ мандата при аудите и подтверждённое единообразие ответов. Высокая оценка полезности при нарушении этих условий оснований для масштабирования не даёт.</w:t>
      </w:r>
    </w:p>
    <w:p>
      <w:pPr>
        <w:pStyle w:val="Heading2"/>
      </w:pPr>
      <w:r>
        <w:t>Ограничения и открытые вопросы / Limitations and open questions</w:t>
      </w:r>
    </w:p>
    <w:p>
      <w:pPr>
        <w:pStyle w:val="Heading3"/>
      </w:pPr>
      <w:r>
        <w:t>Ограничения, сохранённые из v1</w:t>
      </w:r>
    </w:p>
    <w:p>
      <w:r>
        <w:t>[?] Не установлено, какие внутренние инструкции Банка России сегодня стандартизируют региональный сбор конъюнктурной информации, её качество и передачу в центральный аналитический цикл. 880-П закрепляет соответствующие функции (п. 2.1.1–2.1.7), но не раскрывает процедуры. Публичных материалов недостаточно, чтобы утверждать отсутствие таких процессов. Перед внедрением нужен внутренний аудит существующих каналов, чтобы не дублировать работу.</w:t>
      </w:r>
    </w:p>
    <w:p>
      <w:r>
        <w:t>[?] Систематическая оценка затрат региональных офисов, эффективности контактов и сравнительной прогностической ценности качественной информации не выполнена. Количество офисов в разных странах не является метрикой эффективности.</w:t>
      </w:r>
    </w:p>
    <w:p>
      <w:r>
        <w:t>[?] Полномочия конкретных ТУ следует сверять с действующей редакцией 880-П, внутренними распорядительными актами о передаче функций в хабы и Федеральным законом № 86-ФЗ. Обзор не является юридическим заключением.</w:t>
      </w:r>
    </w:p>
    <w:p>
      <w:pPr>
        <w:pStyle w:val="Heading3"/>
      </w:pPr>
      <w:r>
        <w:t>Риски нового направления</w:t>
      </w:r>
    </w:p>
    <w:p>
      <w:r>
        <w:t xml:space="preserve">[СИНТЕЗ] </w:t>
      </w:r>
      <w:r>
        <w:rPr>
          <w:b/>
        </w:rPr>
        <w:t>Ответственность за совет.</w:t>
      </w:r>
      <w:r>
        <w:t xml:space="preserve"> Ответ ТУ может быть воспринят органом власти как основание для решения, а при неблагоприятных последствиях — как его причина. Поскольку ТУ не является юридическим лицом, репутационные и, возможно, правовые последствия ложатся на Банк России [?: правовые последствия ошибочного разъяснения не анализировались]. Меры: узкий предмет категории (б), стандартная оговорка, письменная форма, согласование сложных ответов с центром, публикация в реестре. Публикация делает ответ проверяемым и снимает подозрение в индивидуальном «особом мнении».</w:t>
      </w:r>
    </w:p>
    <w:p>
      <w:r>
        <w:t xml:space="preserve">[СИНТЕЗ] </w:t>
      </w:r>
      <w:r>
        <w:rPr>
          <w:b/>
        </w:rPr>
        <w:t>Регуляторный захват</w:t>
      </w:r>
      <w:r>
        <w:t xml:space="preserve"> — подчинение регулятора интересам тех, кого он регулирует или с кем постоянно взаимодействует. Регулярное тесное взаимодействие с органами власти субъекта может со временем сдвинуть оценки ТУ в пользу региональных интересов. Ещё опаснее захват через поднадзорные организации, действующие через орган власти. Меры: запрет передачи региональных позиций как позиций ТУ, ротация ответственных сотрудников [?: применимость ротации требует проверки кадровых ограничений], раскрытие агрегированной статистики взаимодействия, аудит центральным методическим владельцем.</w:t>
      </w:r>
    </w:p>
    <w:p>
      <w:r>
        <w:t xml:space="preserve">[СИНТЕЗ] </w:t>
      </w:r>
      <w:r>
        <w:rPr>
          <w:b/>
        </w:rPr>
        <w:t>Утечка надзорной информации.</w:t>
      </w:r>
      <w:r>
        <w:t xml:space="preserve"> В ТУ, где сохраняются функции по п. 2.7, производство по п. 2.9.5 и поддержка надзорных решений по п. 2.17.14 880-П, консультационный и надзорный контуры географически и кадрово близки. Даже ответ без прямого раскрытия может передать сигнал. Пример: отказ комментировать ситуацию с конкретным банком в регионе, если в других случаях комментарии даются. Меры:</w:t>
      </w:r>
    </w:p>
    <w:p>
      <w:pPr>
        <w:pStyle w:val="ListBullet"/>
      </w:pPr>
      <w:r>
        <w:t>единое правило: комментарии о конкретных поднадзорных организациях не даются никогда, независимо от наличия надзорных действий. Отказ должен быть единообразным и поэтому неинформативным;</w:t>
      </w:r>
    </w:p>
    <w:p>
      <w:pPr>
        <w:pStyle w:val="ListBullet"/>
      </w:pPr>
      <w:r>
        <w:t>кадровое разделение: сотрудники, участвующие в надзорных мероприятиях и производстве по делам, не готовят консультационные продукты по тем же рынкам и организациям;</w:t>
      </w:r>
    </w:p>
    <w:p>
      <w:pPr>
        <w:pStyle w:val="ListBullet"/>
      </w:pPr>
      <w:r>
        <w:t>информационный барьер: консультационный контур работает только с публичными и агрегированными данными, а доступ к надзорным системам для его сотрудников не предоставляется;</w:t>
      </w:r>
    </w:p>
    <w:p>
      <w:pPr>
        <w:pStyle w:val="ListBullet"/>
      </w:pPr>
      <w:r>
        <w:t>предварительная проверка ответов категории (б), касающихся рынков с малым числом участников. При двух-трёх организациях в регионе даже агрегированная цифра может раскрыть данные одной из них [?: порог агрегирования для региональных данных не установлен].</w:t>
      </w:r>
    </w:p>
    <w:p>
      <w:r>
        <w:t xml:space="preserve">[СИНТЕЗ] </w:t>
      </w:r>
      <w:r>
        <w:rPr>
          <w:b/>
        </w:rPr>
        <w:t>Смешение с инвестиционным консультированием.</w:t>
      </w:r>
      <w:r>
        <w:t xml:space="preserve"> Ответы о финансовых инструментах — например, об облигационных займах субъекта или об инструментах размещения временно свободных средств — могут восприниматься как индивидуальные инвестиционные рекомендации. Деятельность по инвестиционному консультированию регулируется ст. 6.1 Федерального закона № 39-ФЗ. Банк России не является её субъектом и регулирует её участников. Мера: в категорию (б) не включаются оценки конкретных инструментов, эмитентов и участников рынка; допускается только разъяснение регулирования и публичной статистики [?: правовая граница между разъяснением регулирования и рекомендацией не анализировалась].</w:t>
      </w:r>
    </w:p>
    <w:p>
      <w:r>
        <w:t xml:space="preserve">[СИНТЕЗ] </w:t>
      </w:r>
      <w:r>
        <w:rPr>
          <w:b/>
        </w:rPr>
        <w:t>Конфликт с процессуальной ролью.</w:t>
      </w:r>
      <w:r>
        <w:t xml:space="preserve"> Банк России рассматривает дела об административных правонарушениях (ст. 23.74 КоАП РФ). Орган власти или подведомственная ему организация могут одновременно быть адресатом консультаций и стороной, связанной с производством, например как заявитель или как лицо, располагающее сведениями. Мера дублирует критерий раздела о метриках: обращения, связанные с делами и надзорными мероприятиями, отклоняются и регистрируются.</w:t>
      </w:r>
    </w:p>
    <w:p>
      <w:r>
        <w:t xml:space="preserve">[СИНТЕЗ] </w:t>
      </w:r>
      <w:r>
        <w:rPr>
          <w:b/>
        </w:rPr>
        <w:t>Расхождение с центральной коммуникацией.</w:t>
      </w:r>
      <w:r>
        <w:t xml:space="preserve"> Региональные комментарии к экономической ситуации могут быть прочитаны рынком как сигнал по денежно-кредитной политике, особенно в периоды перед заседаниями совета директоров. Мера: продукты, содержащие оценки инфляции и кредитной активности, следуют графику «тихого периода» центрального аппарата и опираются на опубликованные материалы, включая доклад «Региональная экономика: комментарии ГУ» [?: наличие формального «тихого периода» для ТУ не установлено].</w:t>
      </w:r>
    </w:p>
    <w:p>
      <w:r>
        <w:t xml:space="preserve">[СИНТЕЗ] </w:t>
      </w:r>
      <w:r>
        <w:rPr>
          <w:b/>
        </w:rPr>
        <w:t>Вытеснение основных функций.</w:t>
      </w:r>
      <w:r>
        <w:t xml:space="preserve"> Консультационная нагрузка может забирать ресурс у мониторинга, сбора конъюнктурной информации и надзорной поддержки, особенно в ТУ с малой численностью. Мера: лимит доли рабочего времени на консультационный компонент в пилоте, учёт трудозатрат и остановка компонента при превышении лимита.</w:t>
      </w:r>
    </w:p>
    <w:p>
      <w:r>
        <w:t xml:space="preserve">[СИНТЕЗ] </w:t>
      </w:r>
      <w:r>
        <w:rPr>
          <w:b/>
        </w:rPr>
        <w:t>Неравный доступ.</w:t>
      </w:r>
      <w:r>
        <w:t xml:space="preserve"> Субъекты с более активными органами власти получат больше внимания, что может усилить, а не сгладить региональные различия в качестве финансовых решений. Мера: базовый набор продуктов 1–3 предоставляется всем субъектам зоны ТУ без запроса. Охват отслеживается метрикой из предыдущего раздела.</w:t>
      </w:r>
    </w:p>
    <w:p>
      <w:pPr>
        <w:pStyle w:val="Heading3"/>
      </w:pPr>
      <w:r>
        <w:t>Открытые вопросы</w:t>
      </w:r>
    </w:p>
    <w:p>
      <w:r>
        <w:t xml:space="preserve">[?] </w:t>
      </w:r>
      <w:r>
        <w:rPr>
          <w:b/>
        </w:rPr>
        <w:t>Внутренние регламенты консультирования.</w:t>
      </w:r>
      <w:r>
        <w:t xml:space="preserve"> Не установлено, существуют ли сегодня внутренние акты Банка России, регулирующие ответы ТУ на запросы органов власти: сроки, согласование, форму и учёт. Если такие акты есть, предложенный реестр и категории (а)–(в) нужно встраивать в них, а не создавать параллельно.</w:t>
      </w:r>
    </w:p>
    <w:p>
      <w:r>
        <w:t xml:space="preserve">[?] </w:t>
      </w:r>
      <w:r>
        <w:rPr>
          <w:b/>
        </w:rPr>
        <w:t>Кадровый ресурс ТУ.</w:t>
      </w:r>
      <w:r>
        <w:t xml:space="preserve"> Численность и квалификационный состав ТУ после передачи функций в хабы публично не раскрываются. Неизвестно, есть ли в каждом пилотном ТУ сотрудники, способные готовить аналитические продукты без отвлечения от основных функций и без доступа к надзорному контуру.</w:t>
      </w:r>
    </w:p>
    <w:p>
      <w:r>
        <w:t xml:space="preserve">[?] </w:t>
      </w:r>
      <w:r>
        <w:rPr>
          <w:b/>
        </w:rPr>
        <w:t>Оценка нагрузки.</w:t>
      </w:r>
      <w:r>
        <w:t xml:space="preserve"> Ожидаемый поток обращений органов власти не оценён. Нет данных о текущем числе запросов, их тематике и распределении по субъектам. Лимиты трудозатрат в пилоте предложены без количественной базы и должны быть откалиброваны по первым шести месяцам.</w:t>
      </w:r>
    </w:p>
    <w:p>
      <w:r>
        <w:t xml:space="preserve">[?] </w:t>
      </w:r>
      <w:r>
        <w:rPr>
          <w:b/>
        </w:rPr>
        <w:t>Правовая квалификация отдельных продуктов.</w:t>
      </w:r>
      <w:r>
        <w:t xml:space="preserve"> Требует проверки, могут ли продукты 4–7 — прежде всего разборы региональных программ и ответы категории (б) — квалифицироваться как официальные разъяснения, как заключения или как инвестиционные рекомендации. От этого зависят требования к форме, подписанту и ответственности. Отдельно не проверено, вправе ли ТУ как подразделение без статуса юридического лица выпускать документы от собственного имени по этим вопросам.</w:t>
      </w:r>
    </w:p>
    <w:p>
      <w:r>
        <w:t xml:space="preserve">[?] </w:t>
      </w:r>
      <w:r>
        <w:rPr>
          <w:b/>
        </w:rPr>
        <w:t>Совместимость с антикоррупционными требованиями.</w:t>
      </w:r>
      <w:r>
        <w:t xml:space="preserve"> Не проанализировано, как регулярное взаимодействие сотрудников ТУ с должностными лицами органов власти соотносится с требованиями о конфликте интересов, уведомлении о склонении к коррупционным правонарушениям и ограничениях на подарки и мероприятия. Не проверено также, создаёт ли участие сотрудников ТУ в рабочих группах органов власти риск совмещения функций.</w:t>
      </w:r>
    </w:p>
    <w:p>
      <w:r>
        <w:t xml:space="preserve">[?] </w:t>
      </w:r>
      <w:r>
        <w:rPr>
          <w:b/>
        </w:rPr>
        <w:t>Порог агрегирования данных.</w:t>
      </w:r>
      <w:r>
        <w:t xml:space="preserve"> Не установлено, какие внутренние правила Банка России определяют минимальное число организаций, при котором региональные данные можно публиковать или передавать органам власти без риска раскрытия сведений об отдельных участниках.</w:t>
      </w:r>
    </w:p>
    <w:p>
      <w:r>
        <w:t xml:space="preserve">[?] </w:t>
      </w:r>
      <w:r>
        <w:rPr>
          <w:b/>
        </w:rPr>
        <w:t>Методический владелец.</w:t>
      </w:r>
      <w:r>
        <w:t xml:space="preserve"> Не определено, какое подразделение центрального аппарата может быть методическим владельцем консультационного компонента и располагает ли оно ресурсом для аудита согласованности ответов.</w:t>
      </w:r>
    </w:p>
    <w:p>
      <w:r>
        <w:t xml:space="preserve">[?] </w:t>
      </w:r>
      <w:r>
        <w:rPr>
          <w:b/>
        </w:rPr>
        <w:t>Сопоставимость с аналогами.</w:t>
      </w:r>
      <w:r>
        <w:t xml:space="preserve"> Нет оценки результатов программ Banca d'Italia и подразделений Community Development ФРС, достаточной для переноса конкретных параметров. Аналоги использованы как иллюстрация возможных форм, а не как доказательство эффективности.</w:t>
      </w:r>
    </w:p>
    <w:p>
      <w:pPr>
        <w:pStyle w:val="Heading2"/>
      </w:pPr>
      <w:r>
        <w:t>Приложение: ограничения проверки</w:t>
      </w:r>
    </w:p>
    <w:p>
      <w:pPr>
        <w:pStyle w:val="ListNumber"/>
      </w:pPr>
      <w:r>
        <w:rPr>
          <w:b/>
        </w:rPr>
        <w:t>Не утверждается, что 880-П содержит функцию консультирования органов власти.</w:t>
      </w:r>
      <w:r>
        <w:t xml:space="preserve"> Предложение основано на функциях мониторинга, анализа и информационного взаимодействия, закреплённых в 880-П. Консультационный компонент — это предложение обзора, а не описание действующих полномочий. Его допустимость требует отдельной правовой оценки.</w:t>
      </w:r>
    </w:p>
    <w:p>
      <w:pPr>
        <w:pStyle w:val="ListNumber"/>
      </w:pPr>
      <w:r>
        <w:rPr>
          <w:b/>
        </w:rPr>
        <w:t>Не утверждается, что аналоги Banca d'Italia и ФРС тождественны российскому институту.</w:t>
      </w:r>
      <w:r>
        <w:t xml:space="preserve"> Сеть территориальных исследований Banca d'Italia и подразделения Community Development резервных банков ФРС действуют в иных правовых, бюджетных и федеративных условиях. Они приведены как примеры форм работы, без вывода о переносимости.</w:t>
      </w:r>
    </w:p>
    <w:p>
      <w:pPr>
        <w:pStyle w:val="ListNumber"/>
      </w:pPr>
      <w:r>
        <w:rPr>
          <w:b/>
        </w:rPr>
        <w:t>Числа и даты приводятся только из проверенных источников.</w:t>
      </w:r>
      <w:r>
        <w:t xml:space="preserve"> Там, где источник вторичный (China Daily, Caixin) или отражает состояние на определённую дату (IMF Country Report 11/336), это указано в списке источников. Значения, которые не удалось проверить, в тексте не приводятся или помечены [?].</w:t>
      </w:r>
    </w:p>
    <w:p>
      <w:pPr>
        <w:pStyle w:val="ListNumber"/>
      </w:pPr>
      <w:r>
        <w:rPr>
          <w:b/>
        </w:rPr>
        <w:t>Обзор не является юридическим заключением.</w:t>
      </w:r>
      <w:r>
        <w:t xml:space="preserve"> Ссылки на 880-П, 86-ФЗ, 39-ФЗ и КоАП РФ используются для описания рамки. Применимость норм к конкретным решениям должна оцениваться юридическими подразделениями по действующим редакциям актов.</w:t>
      </w:r>
    </w:p>
    <w:p>
      <w:pPr>
        <w:pStyle w:val="ListNumber"/>
      </w:pPr>
      <w:r>
        <w:rPr>
          <w:b/>
        </w:rPr>
        <w:t>Не утверждается отсутствие во внутренних процессах Банка России описанных механизмов.</w:t>
      </w:r>
      <w:r>
        <w:t xml:space="preserve"> Обзор опирается на публичные материалы. Внутренние регламенты, которые могут уже решать часть задач, не изучались.</w:t>
      </w:r>
    </w:p>
    <w:p>
      <w:pPr>
        <w:pStyle w:val="ListNumber"/>
      </w:pPr>
      <w:r>
        <w:rPr>
          <w:b/>
        </w:rPr>
        <w:t>Не утверждается, что региональная качественная информация улучшает прогнозы или решения по денежно-кредитной политике.</w:t>
      </w:r>
      <w:r>
        <w:t xml:space="preserve"> Сравнительная прогностическая ценность таких данных в обзоре не оценивалась. Упоминание Beige Book и программ мониторинга предприятий не является доказательством эффекта.</w:t>
      </w:r>
    </w:p>
    <w:p>
      <w:pPr>
        <w:pStyle w:val="ListNumber"/>
      </w:pPr>
      <w:r>
        <w:rPr>
          <w:b/>
        </w:rPr>
        <w:t>Не утверждается причинная связь между продуктами ТУ и решениями органов власти.</w:t>
      </w:r>
      <w:r>
        <w:t xml:space="preserve"> Метрика «документированного использования» описательная. Ни пилот, ни предложенные метрики не позволяют выделить эффект консультаций.</w:t>
      </w:r>
    </w:p>
    <w:p>
      <w:pPr>
        <w:pStyle w:val="ListNumber"/>
      </w:pPr>
      <w:r>
        <w:rPr>
          <w:b/>
        </w:rPr>
        <w:t>Не утверждается, что число территориальных офисов отражает эффективность.</w:t>
      </w:r>
      <w:r>
        <w:t xml:space="preserve"> Сравнение организационных моделей центральных банков носит описательный характер.</w:t>
      </w:r>
    </w:p>
    <w:p>
      <w:pPr>
        <w:pStyle w:val="ListNumber"/>
      </w:pPr>
      <w:r>
        <w:rPr>
          <w:b/>
        </w:rPr>
        <w:t>Не утверждается актуальность позиций, сформулированных в старых источниках.</w:t>
      </w:r>
      <w:r>
        <w:t xml:space="preserve"> Глава П. Дюкена отражает авторскую позицию 1990-х годов, доклад Всемирного банка — 2007 год, IMF Country Report — информацию 2011 года. Они использованы для аргументов о принципах, а не о текущем состоянии.</w:t>
      </w:r>
    </w:p>
    <w:p>
      <w:pPr>
        <w:pStyle w:val="ListNumber"/>
      </w:pPr>
      <w:r>
        <w:rPr>
          <w:b/>
        </w:rPr>
        <w:t>Блоки [СИНТЕЗ] — это аналитические выводы автора обзора.</w:t>
      </w:r>
      <w:r>
        <w:t xml:space="preserve"> Они построены на источниках, но прямо в источниках не содержатся и должны проверяться так же, как любое предложение.</w:t>
      </w:r>
    </w:p>
    <w:p>
      <w:pPr>
        <w:pStyle w:val="Heading2"/>
      </w:pPr>
      <w:r>
        <w:t>Источники / Sources</w:t>
      </w:r>
    </w:p>
    <w:p>
      <w:pPr>
        <w:pStyle w:val="Heading3"/>
      </w:pPr>
      <w:r>
        <w:t>Сохранены из версии 1</w:t>
      </w:r>
    </w:p>
    <w:p>
      <w:pPr>
        <w:pStyle w:val="ListBullet"/>
      </w:pPr>
      <w:r>
        <w:t>Federal Reserve, Structure: https://www.federalreserve.gov/aboutthefed/structure-federal-reserve-system.htm</w:t>
      </w:r>
    </w:p>
    <w:p>
      <w:pPr>
        <w:pStyle w:val="ListBullet"/>
      </w:pPr>
      <w:r>
        <w:t>Federal Reserve, Beige Book: https://www.federalreserve.gov/monetarypolicy/publications/beige-book-default.htm</w:t>
      </w:r>
    </w:p>
    <w:p>
      <w:pPr>
        <w:pStyle w:val="ListBullet"/>
      </w:pPr>
      <w:r>
        <w:t>Bank of England, Agents: https://www.bankofengland.co.uk/about/people/agents</w:t>
      </w:r>
    </w:p>
    <w:p>
      <w:pPr>
        <w:pStyle w:val="ListBullet"/>
      </w:pPr>
      <w:r>
        <w:t>Bundesbank, Organisation and Regional Offices: https://www.bundesbank.de/en/bundesbank/organisation; https://www.bundesbank.de/en/bundesbank/regional-offices-branches</w:t>
      </w:r>
    </w:p>
    <w:p>
      <w:pPr>
        <w:pStyle w:val="ListBullet"/>
      </w:pPr>
      <w:r>
        <w:t>ECB Banking Supervision, Joint Supervisory Teams: https://www.bankingsupervision.europa.eu/framework/approach/Joint-supervisory-teams/html/index.en.html</w:t>
      </w:r>
    </w:p>
    <w:p>
      <w:pPr>
        <w:pStyle w:val="ListBullet"/>
      </w:pPr>
      <w:r>
        <w:t>RBA, Liaison Programme: https://www.rba.gov.au/publications/bulletin/2022/sep/the-reserve-banks-liaison-program-turns-21.html</w:t>
      </w:r>
    </w:p>
    <w:p>
      <w:pPr>
        <w:pStyle w:val="ListBullet"/>
      </w:pPr>
      <w:r>
        <w:t>Bank of Japan, Outline: https://www.boj.or.jp/en/about/outline/index.htm</w:t>
      </w:r>
    </w:p>
    <w:p>
      <w:pPr>
        <w:pStyle w:val="ListBullet"/>
      </w:pPr>
      <w:r>
        <w:t>China Daily commentary on 2023 reform (republished by gov.cn; not the primary reform plan): https://english.www.gov.cn/policies/policywatch/202304/17/content_WS643ca32ac6d03ffcca6ec573.html</w:t>
      </w:r>
    </w:p>
    <w:p>
      <w:pPr>
        <w:pStyle w:val="ListBullet"/>
      </w:pPr>
      <w:r>
        <w:t>People’s Daily, launch of PBOC branches (18.08.2023): https://paper.people.com.cn/rmrbhwb/html/2023-08/19/content_26012188.htm</w:t>
      </w:r>
    </w:p>
    <w:p>
      <w:pPr>
        <w:pStyle w:val="ListBullet"/>
      </w:pPr>
      <w:r>
        <w:t>Xinhua, launch report (18.08.2023): http://www.news.cn/fortune/2023-08/18/c_1129810276.htm</w:t>
      </w:r>
    </w:p>
    <w:p>
      <w:pPr>
        <w:pStyle w:val="ListBullet"/>
      </w:pPr>
      <w:r>
        <w:t>Caixin, additional reported details (secondary source): https://finance.caixin.com/2023-08-18/102094347.html</w:t>
      </w:r>
    </w:p>
    <w:p>
      <w:pPr>
        <w:pStyle w:val="ListBullet"/>
      </w:pPr>
      <w:r>
        <w:t>RBI, Regional Offices: https://rbi.org.in/Scripts/RegionalOffices.aspx</w:t>
      </w:r>
    </w:p>
    <w:p>
      <w:pPr>
        <w:pStyle w:val="ListBullet"/>
      </w:pPr>
      <w:r>
        <w:t>RBI, About Us: https://rbi.org.in/Scripts/AboutUsDisplay.aspx</w:t>
      </w:r>
    </w:p>
    <w:p>
      <w:pPr>
        <w:pStyle w:val="ListBullet"/>
      </w:pPr>
      <w:r>
        <w:t>RBI, Annual Report (2010–11, historical account of Local Boards): https://www.rbi.org.in/scripts/AnnualReportPublications.aspx?Id=1007</w:t>
      </w:r>
    </w:p>
    <w:p>
      <w:pPr>
        <w:pStyle w:val="ListBullet"/>
      </w:pPr>
      <w:r>
        <w:t>RBI, Act 1934, section 9: https://rbidocs.rbi.org.in/rdocs/Publications/PDFs/RBIA1934170510.pdf</w:t>
      </w:r>
    </w:p>
    <w:p>
      <w:pPr>
        <w:pStyle w:val="ListBullet"/>
      </w:pPr>
      <w:r>
        <w:t>Banco Central do Brasil, Regional Representations: https://www.bcb.gov.br/acessoinformacao/regionais</w:t>
      </w:r>
    </w:p>
    <w:p>
      <w:pPr>
        <w:pStyle w:val="ListBullet"/>
      </w:pPr>
      <w:r>
        <w:t>BCB, About: https://www.bcb.gov.br/en/about</w:t>
      </w:r>
    </w:p>
    <w:p>
      <w:pPr>
        <w:pStyle w:val="ListBullet"/>
      </w:pPr>
      <w:r>
        <w:t>BCB, Our Results 2021: https://www.bcb.gov.br/en/publications/our_results_2021</w:t>
      </w:r>
    </w:p>
    <w:p>
      <w:pPr>
        <w:pStyle w:val="ListBullet"/>
      </w:pPr>
      <w:r>
        <w:t>BCB, Pix: https://www.bcb.gov.br/en/financialstability/pix_en</w:t>
      </w:r>
    </w:p>
    <w:p>
      <w:pPr>
        <w:pStyle w:val="ListBullet"/>
      </w:pPr>
      <w:r>
        <w:t>IMF, Russia Country Report 11/336 (assessment based on 2011 information): https://www.imf.org/external/pubs/ft/scr/2011/cr11336.pdf</w:t>
      </w:r>
    </w:p>
    <w:p>
      <w:pPr>
        <w:pStyle w:val="ListBullet"/>
      </w:pPr>
      <w:r>
        <w:t xml:space="preserve">IMF eLibrary, Pierre Duquesne, “The Supervisory Role of the Central Bank” (author chapter in </w:t>
      </w:r>
      <w:r>
        <w:rPr>
          <w:i/>
        </w:rPr>
        <w:t>Banking Soundness and Monetary Policy</w:t>
      </w:r>
      <w:r>
        <w:t>, published in the 1990s; not an IMF institutional recommendation): https://www.elibrary.imf.org/display/book/9781557756459/ch047.xml?tabs=Abstract</w:t>
      </w:r>
    </w:p>
    <w:p>
      <w:pPr>
        <w:pStyle w:val="ListBullet"/>
      </w:pPr>
      <w:r>
        <w:t>World Bank, Bolzico, Mascaró &amp; Granata, Practical Guidelines for Effective Bank Resolution, WPS4389 (2007): https://documents.worldbank.org/en/publication/documents-reports/documentdetail/454181468269686072; https://documents1.worldbank.org/curated/en/454181468269686072/text/wps4389.txt; https://documents1.worldbank.org/curated/en/454181468269686072/pdf/wps4389.pdf</w:t>
      </w:r>
    </w:p>
    <w:p>
      <w:pPr>
        <w:pStyle w:val="ListBullet"/>
      </w:pPr>
      <w:r>
        <w:t>OECD, Recommendation on Regional Development Policy and Implementation Toolkit: https://legalinstruments.oecd.org/en/instruments/OECD-LEGAL-0492; https://www.oecd.org/en/about/projects/implementing-the-oecd-recommendation-on-regional-development-policy-toolkit.html</w:t>
      </w:r>
    </w:p>
    <w:p>
      <w:pPr>
        <w:pStyle w:val="ListBullet"/>
      </w:pPr>
      <w:r>
        <w:t>Банк России, территориальные учреждения: https://www.cbr.ru/about_br/tubr/</w:t>
      </w:r>
    </w:p>
    <w:p>
      <w:pPr>
        <w:pStyle w:val="ListBullet"/>
      </w:pPr>
      <w:r>
        <w:t>Банк России, правовой статус: https://www.cbr.ru/about_br/bankstatus/</w:t>
      </w:r>
    </w:p>
    <w:p>
      <w:pPr>
        <w:pStyle w:val="ListBullet"/>
      </w:pPr>
      <w:r>
        <w:t>Федеральный закон № 86-ФЗ: https://www.pravo.gov.ru/proxy/ips/?docbody=&amp;nd=102077052</w:t>
      </w:r>
    </w:p>
    <w:p>
      <w:pPr>
        <w:pStyle w:val="Heading3"/>
      </w:pPr>
      <w:r>
        <w:t>Добавлены в версии 2</w:t>
      </w:r>
    </w:p>
    <w:p>
      <w:pPr>
        <w:pStyle w:val="ListBullet"/>
      </w:pPr>
      <w:r>
        <w:t>Положение Банка России от 14.01.2026 № 880-П (Вестник Банка России № 3 (2592) от 28.01.2026): https://www.cbr.ru/Queries/UniDbQuery/File/90134/7455</w:t>
      </w:r>
    </w:p>
    <w:p>
      <w:pPr>
        <w:pStyle w:val="ListBullet"/>
      </w:pPr>
      <w:r>
        <w:t>Банк России, доклад «Региональная экономика: комментарии ГУ»: https://cbr.ru/analytics/dkp/reg_review/; выпуск октября 2026: https://cbr.ru/analytics/dkp/reg_review/1026/</w:t>
      </w:r>
    </w:p>
    <w:p>
      <w:pPr>
        <w:pStyle w:val="ListBullet"/>
      </w:pPr>
      <w:r>
        <w:t>Банк России, индикаторы финансовой доступности: https://www.cbr.ru/analytics/develop/fin_avail/</w:t>
      </w:r>
    </w:p>
    <w:p>
      <w:pPr>
        <w:pStyle w:val="ListBullet"/>
      </w:pPr>
      <w:r>
        <w:t>Banca d'Italia, territorial research network: https://www.bancaditalia.it/compiti/ricerca-economica/rete-territoriale-ricerca/index.html</w:t>
      </w:r>
    </w:p>
    <w:p>
      <w:pPr>
        <w:pStyle w:val="ListBullet"/>
      </w:pPr>
      <w:r>
        <w:t>Federal Reserve, Community Development: https://www.federalreserve.gov/consumerscommunities/comm-dev-system-map.htm; https://www.federalreserve.gov/consumerscommunities/cdf.htm</w:t>
      </w:r>
    </w:p>
    <w:p>
      <w:pPr>
        <w:pStyle w:val="ListBullet"/>
      </w:pPr>
      <w:r>
        <w:t>Федеральный закон от 22.04.1996 № 39-ФЗ «О рынке ценных бумаг», ст. 6.1 (по действующей редакции)</w:t>
      </w:r>
    </w:p>
    <w:p>
      <w:pPr>
        <w:pStyle w:val="ListBullet"/>
      </w:pPr>
      <w:r>
        <w:t>Кодекс Российской Федерации об административных правонарушениях, ст. 23.74 (по действующей редакции)</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