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Территориальное присутствие центральных банков и региональная политика Банка России / Territorial Presence of Central Banks and Regional Policy of the Bank of Russia</w:t>
      </w:r>
    </w:p>
    <w:p>
      <w:pPr>
        <w:pStyle w:val="Heading1"/>
      </w:pPr>
      <w:r>
        <w:t>Территориальное присутствие центральных банков: мировой опыт и предложения для Банка России</w:t>
      </w:r>
    </w:p>
    <w:p>
      <w:pPr>
        <w:pStyle w:val="Heading2"/>
      </w:pPr>
      <w:r>
        <w:t>Краткий вывод / Executive summary</w:t>
      </w:r>
    </w:p>
    <w:p>
      <w:pPr/>
      <w:r>
        <w:t>[П] Территориальная сеть центрального банка не предполагает обязательной передачи регионам права определять денежно-кредитную политику. В изученных моделях она выполняет разные сочетания функций: операционное обслуживание и наличное обращение, надзорные и расчётные задачи, сбор местной экономической информации, взаимодействие с финансовыми организациями и коммуникацию с общественностью. Сопоставимая и наиболее непосредственно переносимая практика — регулярный сбор качественных сведений о региональной конъюнктуре, встроенный в работу центральных комитетов, как у Федеральной резервной системы США, Банка Англии и Reserve Bank of Australia.</w:t>
      </w:r>
    </w:p>
    <w:p>
      <w:pPr/>
      <w:r>
        <w:t>[П] Для Банка России предлагается не «региональная денежная политика» с разными ставками, а региональная политика присутствия: единый мандат и единые решения по ДКП, подкреплённые систематическим региональным мониторингом, прозрачным учётом неоднородности трансмиссии и доступными каналами обратной связи. Предложение является авторским синтезом практик и правовой рамки, а не результатом причинной оценки.</w:t>
      </w:r>
    </w:p>
    <w:p>
      <w:pPr>
        <w:pStyle w:val="Heading2"/>
      </w:pPr>
      <w:r>
        <w:t>Международные модели / International models</w:t>
      </w:r>
    </w:p>
    <w:p>
      <w:pPr>
        <w:pStyle w:val="Heading3"/>
      </w:pPr>
      <w:r>
        <w:t>США: территориальные резервные банки и Beige Book</w:t>
      </w:r>
    </w:p>
    <w:p>
      <w:pPr/>
      <w:r>
        <w:t>[П] Федеральная резервная система состоит из Совета управляющих и 12 Федеральных резервных банков; последние вместе с отделениями являются операционной частью системы, действующей в географических округах. Совет управляющих руководит системой и надзирает за резервными банками. Президент каждого из 12 банков участвует в обсуждении в FOMC; право голоса распределяется по установленной ротации, тогда как глава Нью-Йоркского ФРБ голосует постоянно. Это не сеть обычных региональных филиалов: резервные банки имеют отдельную институциональную конструкцию и органы управления, поэтому их модель нельзя переносить в российскую организационную структуру без оговорок. [Источник: Federal Reserve, https://www.federalreserve.gov/aboutthefed/structure-federal-reserve-system.htm]</w:t>
      </w:r>
    </w:p>
    <w:p>
      <w:pPr/>
      <w:r>
        <w:t>[П] Практика, непосредственно полезная для России, — Beige Book. Восемь раз в год каждый резервный банк собирает сведения о текущих условиях в своём округе через директоров, контакты с бизнесом, экономистами, рыночными экспертами и другими участниками; сводка публикуется по округам и секторам. Это качественный информационный материал для общенациональной оценки, а не региональный индекс цен и не самостоятельное основание для решения по ставке. [Источник: Federal Reserve, https://www.federalreserve.gov/monetarypolicy/publications/beige-book-default.htm]</w:t>
      </w:r>
    </w:p>
    <w:p>
      <w:pPr>
        <w:pStyle w:val="Heading3"/>
      </w:pPr>
      <w:r>
        <w:t>Великобритания: сеть агентов Банка Англии</w:t>
      </w:r>
    </w:p>
    <w:p>
      <w:pPr/>
      <w:r>
        <w:t>[П] Банк Англии сообщает о 12 агентствах по стране. Агенты проводят конфиденциальные встречи с предприятиями и общественными организациями, организуют местные мероприятия и передают сведения комитетам по денежной политике, финансовой стабильности и пруденциальному регулированию. На официальной странице заявлены масштабы порядка 6 000 обсуждений и 500 презентаций в год, а также около 60 поездок политиков по стране в год. Эти показатели описывают организационный охват, но сами по себе не доказывают качество или влияние сети на решения. Публикуемое резюме деловых условий представляет общенациональную обратную связь, а не мнение каждого региона или официальную позицию Банка. [Источник: Bank of England, https://www.bankofengland.co.uk/about/people/agents]</w:t>
      </w:r>
    </w:p>
    <w:p>
      <w:pPr>
        <w:pStyle w:val="Heading3"/>
      </w:pPr>
      <w:r>
        <w:t>Германия и еврозона: территориальная операционная сеть и надзорная координация</w:t>
      </w:r>
    </w:p>
    <w:p>
      <w:pPr/>
      <w:r>
        <w:t>[П] Bundesbank описывает сеть региональных управлений и филиалов. Региональные управления участвуют в банковском надзоре, анализе кредитоспособности компаний, предоставляющих залог для рефинансирования, и мероприятиях по денежной политике и финансовым рынкам; филиалы обеспечивают наличное обращение. Официальная страница организации говорит примерно о 40 локациях, поэтому точное число филиалов здесь не фиксируется. В банковском надзоре еврозоны значимые банки находятся под прямым надзором ЕЦБ, а национальные органы надзирают за менее значимыми организациями в рамках общей системы; совместные надзорные группы объединяют сотрудников ЕЦБ и национальных органов. Эта модель показывает разделение территориального исполнения и общего централизованного надзорного контура, но не означает региональной автономии в ДКП. [Источники: Bundesbank, https://www.bundesbank.de/en/bundesbank/organisation и https://www.bundesbank.de/en/bundesbank/regional-offices-branches; ECB Banking Supervision, https://www.bankingsupervision.europa.eu/framework/approach/Joint-supervisory-teams/html/index.en.html]</w:t>
      </w:r>
    </w:p>
    <w:p>
      <w:pPr>
        <w:pStyle w:val="Heading3"/>
      </w:pPr>
      <w:r>
        <w:t>Австралия: компактная программа связей с бизнесом</w:t>
      </w:r>
    </w:p>
    <w:p>
      <w:pPr/>
      <w:r>
        <w:t>[П] Reserve Bank of Australia ведёт программу связей с предприятиями, отраслевыми объединениями, органами власти и общественными организациями; часть работы выполняют небольшие региональные офисы, а часть — сотрудники центрального офиса. Банк описывает эти контакты как дополнение к официальной статистике и моделям для оценки текущей конъюнктуры и краткосрочных шоков, а не как регуляторное полномочие. Потенциально переносим именно принцип стандартизированной сети контактов, а не австралийское число или размещение офисов. [Источник: RBA Bulletin, “The Reserve Bank’s Liaison Program turns 21”, https://www.rba.gov.au/publications/bulletin/2022/sep/the-reserve-banks-liaison-program-turns-21.html]</w:t>
      </w:r>
    </w:p>
    <w:p>
      <w:pPr>
        <w:pStyle w:val="Heading3"/>
      </w:pPr>
      <w:r>
        <w:t>Китай: реформа структуры и территориального уровня</w:t>
      </w:r>
    </w:p>
    <w:p>
      <w:pPr/>
      <w:r>
        <w:t>[П] В 2023 году Китай реформировал территориальную организацию Народного банка Китая. До 1998 года действовало 31 провинциальное отделение, затем их заменили девятью межпровинциальными региональными филиалами; план 2023 года предусматривал возвращение к провинциальному уровню и упразднение уездных подразделений. Публикация о запуске новой сети 18 августа 2023 года сообщает о 31 провинциальном филиале, пяти филиалах в городах с отдельным плановым статусом и 317 филиалах уровня префектур/городов. Это подтверждает запуск объявленной структуры по сообщениям People’s Daily/Xinhua, но не является независимой оценкой фактической работы каждого подразделения или результатов реформы. Материал на gov.cn — комментарий авторов, перепечатанный China Daily, а не первичный текст плана; число 317 приводится в сообщениях People’s Daily/Xinhua, не выдаётся здесь за независимо проверенное юридическое число. [Источники: комментарий China Daily, перепечатанный gov.cn, https://english.www.gov.cn/policies/policywatch/202304/17/content_WS643ca32ac6d03ffcca6ec573.html; People’s Daily, 19.08.2023, https://paper.people.com.cn/rmrbhwb/html/2023-08/19/content_26012188.htm; Xinhua, 18.08.2023, http://www.news.cn/fortune/2023-08/18/c_1129810276.htm] [СИНТЕЗ] Китайский случай — контекстно обусловленная перестройка географии и распределения надзорных функций, а не готовая модель для российского независимого центрального банка.</w:t>
      </w:r>
    </w:p>
    <w:p>
      <w:pPr>
        <w:pStyle w:val="Heading3"/>
      </w:pPr>
      <w:r>
        <w:t>Индия: крупная сеть офисов и местные советы</w:t>
      </w:r>
    </w:p>
    <w:p>
      <w:pPr/>
      <w:r>
        <w:t>[П] RBI сообщает о присутствии в 34 локациях. При этом офисная сеть и Local Boards — разные институты. Официальная страница RBI подтверждает четыре местных совета и по одному директору Центрального совета от каждого. Статья 9 RBI Act устанавливает, что Local Board консультирует Центральный совет по переданным вопросам и выполняет делегированные обязанности; точный актуальный состав и назначение членов определяются законом. Формулировка о представлении интересов кооперативных и indigenous banks приводится в историческом годовом отчёте RBI за 2010–11 годы, поэтому не должна подаваться как проверенное актуальное описание. Эти советы не являются региональными органами денежно-кредитной политики. [Источники: RBI, Offices, https://rbi.org.in/Scripts/RegionalOffices.aspx; RBI, About Us, https://rbi.org.in/Scripts/AboutUsDisplay.aspx; RBI Annual Report 2010–11, https://www.rbi.org.in/scripts/AnnualReportPublications.aspx?Id=1007; RBI Act, section 9, https://rbidocs.rbi.org.in/rdocs/Publications/PDFs/RBIA1934170510.pdf]</w:t>
      </w:r>
    </w:p>
    <w:p>
      <w:r>
        <w:t>[СИНТЕЗ] Для Банка России переносим не устройство индийских советов как таковое, а идею формализованного консультативного канала, который поднимает региональные проблемы к центральному руководству. Его возможный аналог — регулярные экспертные советы при территориальных учреждениях с опубликованными правилами отбора, конфликтов интересов и передачи предложений наверх; полномочия принимать решения по ставке им не нужны.</w:t>
      </w:r>
    </w:p>
    <w:p>
      <w:pPr/>
      <w:r>
        <w:t>[П] Закон RBI уточняет, что каждый Local Board состоит из пяти членов, назначаемых Центральным правительством на четыре года; возможны повторные назначения, но общий срок не должен превышать восьми лет. Совет консультирует Центральный совет по переданным ему вопросам и исполняет порученные ему делегированные обязанности. Статья 9 RBI Act — более точный источник состава и полномочий, чем исторический отчёт RBI за 2010–11 годы. [Источник: RBI Act, section 9, https://rbidocs.rbi.org.in/rdocs/Publications/PDFs/RBIA1934170510.pdf; RBI, About Us, https://rbi.org.in/Scripts/AboutUsDisplay.aspx]</w:t>
      </w:r>
    </w:p>
    <w:p>
      <w:pPr>
        <w:pStyle w:val="Heading3"/>
      </w:pPr>
      <w:r>
        <w:t>Бразилия: региональные встречи и национальная платёжная инфраструктура</w:t>
      </w:r>
    </w:p>
    <w:p>
      <w:pPr/>
      <w:r>
        <w:t>[П] Официальная страница Banco Central do Brasil сообщает о девяти региональных представительствах; их перечисленные задачи — обеспечение наличными, изучение региональной конъюнктуры и инспектирование финансовых учреждений, включая банки. Та же страница содержит инфографику сентября 2024 года. Отчёт BCB за 2021 год также фиксирует девять региональных офисов и встречи с региональными торговыми ассоциациями, компаниями и местными экономическими аналитиками, обозначенные в английском тексте как biannual (два раза в год). Эта периодичность подтверждена для отчётного периода, а не как текущая практика. [Источники: BCB, Representações regionais, https://www.bcb.gov.br/acessoinformacao/regionais; BCB, Our Results 2021, https://www.bcb.gov.br/en/publications/our_results_2021]</w:t>
      </w:r>
    </w:p>
    <w:p>
      <w:pPr/>
      <w:r>
        <w:t>[П] Официальная страница BCB описывает основной мандат через обеспечение ценовой стабильности и содействие здоровой, эффективной и конкурентной финансовой системе; в изученном источнике финансовая стабильность не формулируется как отдельная равноправная цель. Надзорные компетенции в некоторых сферах разделены с Комиссией по ценным бумагам (CVM). Исследованные материалы не дают оснований приписывать региональным подразделениям автономные полномочия по денежно-кредитным решениям. [Источники: BCB, About, https://www.bcb.gov.br/en/about; BCB, Our Results 2021, https://www.bcb.gov.br/en/publications/our_results_2021]</w:t>
      </w:r>
    </w:p>
    <w:p>
      <w:pPr/>
      <w:r>
        <w:t>[П] Бразильский Pix — отдельный пример инфраструктурной, а не территориальной политики. BCB создал национальную систему мгновенных платежей, работающую круглосуточно и рассчитанную на доступ широкого круга участников; банк связывает её с конкуренцией и финансовой доступностью. Для России это основание сравнивать принципы открытого доступа и удобства платежей с СБП, но не выводить из Pix необходимость региональных подразделений. [Источник: BCB, https://www.bcb.gov.br/en/financialstability/pix_en]</w:t>
      </w:r>
    </w:p>
    <w:p>
      <w:pPr>
        <w:pStyle w:val="Heading3"/>
      </w:pPr>
      <w:r>
        <w:t>Прочие примеры и границы проверки</w:t>
      </w:r>
    </w:p>
    <w:p>
      <w:pPr/>
      <w:r>
        <w:t>[П] Официальная страница Банка Японии указывает на внутреннюю сеть отделений и местных офисов, но функции этой сети в региональном экономическом мониторинге в собранных материалах проверены недостаточно. Поэтому количественные показатели не используются как аргумент эффективности. [Справочно: Bank of Japan, https://www.boj.or.jp/en/about/outline/index.htm] Актуальную структуру и функции сети PBC после реформы не следует выводить из сообщений о плане 2023 года; фактическое исполнение отдельных элементов не установлено.</w:t>
      </w:r>
    </w:p>
    <w:p>
      <w:pPr>
        <w:pStyle w:val="Heading2"/>
      </w:pPr>
      <w:r>
        <w:t>Рекомендации IMF, Всемирного банка и OECD / Recommendations by the IMF, World Bank and OECD</w:t>
      </w:r>
    </w:p>
    <w:p>
      <w:pPr>
        <w:pStyle w:val="Heading3"/>
      </w:pPr>
      <w:r>
        <w:t>IMF</w:t>
      </w:r>
    </w:p>
    <w:p>
      <w:pPr/>
      <w:r>
        <w:t>[П] В проведённом поиске не обнаружена универсальная рекомендация IMF создавать, сохранять или упразднять региональные офисы центральных банков. IMF Country Report 11/336 — страновая оценка соблюдения Россией Базельских основных принципов банковского надзора, основанная на информации по состоянию на апрель 2011 года. Рассмотренная глава Pierre Duquesne «The Supervisory Role of the Central Bank» — авторская работа в сборнике IMF, а не институциональная рекомендация. В ней обсуждается организационная связь денежно-кредитной политики и банковского надзора; автор отмечает разнообразие подходов стран и отсутствие теоретического основания требовать полного разделения этих функций. Это не вывод о территориальной сети. Поиск ограничен указанными материалами. [Источники: IMF Country Report 11/336, https://www.imf.org/external/pubs/ft/scr/2011/cr11336.pdf; Duquesne, https://www.elibrary.imf.org/display/book/9781557756459/ch047.xml?tabs=Abstract]</w:t>
      </w:r>
    </w:p>
    <w:p>
      <w:r>
        <w:t>[СИНТЕЗ] Ясное распределение ответственности и единые стандарты можно принять как принципы предлагаемого дизайна, но не как специальные рекомендации IMF о региональных подразделениях.</w:t>
      </w:r>
    </w:p>
    <w:p>
      <w:pPr>
        <w:pStyle w:val="Heading3"/>
      </w:pPr>
      <w:r>
        <w:t>Всемирный банк</w:t>
      </w:r>
    </w:p>
    <w:p>
      <w:pPr/>
      <w:r>
        <w:t>[П] В проведённом поиске не обнаружена универсальная рекомендация Всемирного банка о числе, размещении или полномочиях региональных отделений центрального банка. Проверенный материал Bolzico, Mascaró и Granata, Practical Guidelines for Effective Bank Resolution (Policy Research Working Paper 4389, 2007), посвящён рамке урегулирования несостоятельности банков в Латинской Америке и не является формальной политикой Всемирного банка. Авторы описывают шесть опор такой рамки; обсуждают автономию органов урегулирования от рыночного и государственного влияния, распределение обязанностей между учреждениями, а также необходимые правовые, финансовые и кадровые возможности. В качестве одной из возможных организационных схем упоминается надзорное подразделение в составе центрального банка, но авторы не предписывают эту модель и не делают вывода о необходимости региональных надзорных офисов. В документе прямо отмечено отсутствие общего согласия о наилучшем распределении функций по урегулированию между ведомствами. Текст проверен по официальной карточке Всемирного банка и текстовой версии; прямая PDF-ссылка вернула 403. Вывод о том, что универсальная рекомендация по офисам не найдена, ограничен рассмотренными материалами, а не всей документацией Всемирного банка. [Источники: карточка World Bank, https://documents.worldbank.org/en/publication/documents-reports/documentdetail/454181468269686072; полный текст, https://documents1.worldbank.org/curated/en/454181468269686072/text/wps4389.txt; PDF, https://documents1.worldbank.org/curated/en/454181468269686072/pdf/wps4389.pdf; прямая ссылка, вернувшая 403, https://openknowledge.worldbank.org/bitstreams/f747a8f9-7257-53b2-b561-22709e9c3a21/download]</w:t>
      </w:r>
    </w:p>
    <w:p>
      <w:r>
        <w:t>[СИНТЕЗ] Из обсуждения автономии и ресурсов органов урегулирования нельзя выводить необходимость территориальной децентрализации. Аналогия с устройством надзорных подразделений центрального банка требует отдельного аргумента и обозначается как авторское умозаключение, а не рекомендация Всемирного банка. Пилот региональных консультаций или мониторинга для Банка России также остаётся предложением автора.</w:t>
      </w:r>
    </w:p>
    <w:p>
      <w:r>
        <w:t>[СИНТЕЗ] Для Банка России уместно ставить функциональный вопрос о том, какие проверки, данные и контакты требуют местного присутствия, а что эффективнее централизовать при единых процедурах; это вывод данного обзора, а не рекомендация Всемирного банка. Само по себе число офисов не доказывает качество надзора.</w:t>
      </w:r>
    </w:p>
    <w:p>
      <w:pPr>
        <w:pStyle w:val="Heading3"/>
      </w:pPr>
      <w:r>
        <w:t>OECD</w:t>
      </w:r>
    </w:p>
    <w:p>
      <w:pPr/>
      <w:r>
        <w:t>[П] OECD Recommendation on Regional Development Policy (OECD/LEGAL/0492) принята Советом OECD на министерском уровне 8 июня 2023 года. Она формулирует десять взаимодополняющих опор региональной политики: стратегия, территориальный масштаб, совместная выработка, устойчивость, данные, многоуровневое управление, потенциал, ресурсы, добросовестность и результативность. Инструментарий OECD предназначен прежде всего национальным правительствам и также релевантен субнациональным властям; специальной рекомендации центральным банкам в нём не выявлено. Для Банка России эти положения могут служить лишь общей рамкой для диалога и работы с территориальными данными, но не предписанием децентрализовать ДКП. [Источники: OECD Toolkit, https://www.oecd.org/en/about/projects/implementing-the-oecd-recommendation-on-regional-development-policy-toolkit.html; OECD Recommendation, https://legalinstruments.oecd.org/en/instruments/OECD-LEGAL-0492]</w:t>
      </w:r>
    </w:p>
    <w:p>
      <w:r>
        <w:t>[СИНТЕЗ] Полезны четыре прикладных принципа OECD: соразмерять масштаб анализа географии проблемы; выстраивать взаимодействие нескольких уровней власти и негосударственных участников с ясным разграничением ролей; опираться на сопоставимые территориальные данные; заранее задавать ресурсы, показатели результата и механизмы оценки. Для центрального банка это означает аккуратное участие в региональном диалоге и публикацию аналитики, но не принятие на себя функций регионального развития, распределения бюджетных ресурсов или установления территориальных целей инфляции.</w:t>
      </w:r>
    </w:p>
    <w:p>
      <w:pPr>
        <w:pStyle w:val="Heading2"/>
      </w:pPr>
      <w:r>
        <w:t>Действующая российская рамка / Existing Russian framework</w:t>
      </w:r>
    </w:p>
    <w:p>
      <w:pPr/>
      <w:r>
        <w:t>[П] Банк России уже имеет территориальные учреждения, включая главные управления, отделения и отделения — национальные банки; на региональных страницах публикуются новости и материалы по инфляции в регионах. Это подтверждает наличие инфраструктуры и публичного регионального информационного слоя, но само по себе не устанавливает, насколько единообразно устроен сбор региональной конъюнктуры и как он встроен в цикл решений. [Источник: Банк России, https://www.cbr.ru/about_br/tubr/]</w:t>
      </w:r>
    </w:p>
    <w:p>
      <w:pPr/>
      <w:r>
        <w:t>[П] Законодательный мандат Банка России включает защиту и обеспечение устойчивости рубля, развитие и укрепление банковской системы, обеспечение стабильности и развитие национальной платёжной системы, развитие финансового рынка и обеспечение его стабильности. Банк России осуществляет функции независимо от федеральных и региональных органов власти. Поэтому предлагаемая региональная политика должна усиливать информационную, аналитическую, надзорную и коммуникационную работу в рамках федерального мандата, но не создавать региональные ставки, региональные цели инфляции или подчинённость территориальных решений региональным властям. [Источник: Банк России, https://www.cbr.ru/about_br/bankstatus/; Федеральный закон № 86-ФЗ, официальный текст: https://www.pravo.gov.ru/proxy/ips/?docbody=&amp;nd=102077052]</w:t>
      </w:r>
    </w:p>
    <w:p>
      <w:pPr>
        <w:pStyle w:val="Heading2"/>
      </w:pPr>
      <w:r>
        <w:t>Предлагаемая региональная политика Банка России / Proposed regional policy</w:t>
      </w:r>
    </w:p>
    <w:p>
      <w:r>
        <w:t>[СИНТЕЗ] Цель политики — повысить качество общенациональных решений и устойчивость финансовой инфраструктуры за счёт лучшего учёта пространственной неоднородности, сохраняя единство целей, инструментов и ответственности Банка России. Региональный уровень должен быть «сенсором и исполнителем», а не отдельным центром ДКП.</w:t>
      </w:r>
    </w:p>
    <w:p>
      <w:r>
        <w:t>[СИНТЕЗ] Первое направление — постоянный региональный мониторинг конъюнктуры. Для каждого макрорегиона территориальные учреждения ведут повторяемую панель контактов с предприятиями разных размеров и отраслей, банками, застройщиками, организациями инфраструктуры и домохозяйствами через стандартизированные опросы и интервью. Темы: цены и издержки, зарплаты и дефицит труда, инвестиции и загрузка мощностей, кредитный спрос и стандарты кредитования, просрочка, расчёты, строительство и жильё. Качественные сигналы хранятся отдельно от официальной статистики, сопровождаются датой, географией, отраслью, методом и оценкой неопределённости; они не выдаются за репрезентативную статистику.</w:t>
      </w:r>
    </w:p>
    <w:p>
      <w:r>
        <w:t>[СИНТЕЗ] Второе направление — региональный доклад конъюнктуры по образцу Beige Book/Agents’ Summary, но с российской методикой и прозрачным календарём. Публиковать агрегированные, обезличенные выводы по макрорегионам и отраслям, фиксируя расхождения между контактами и статистикой. Материал должен сообщать, что известно, что является экспертной оценкой и что остаётся неустановленным; конфиденциальные сведения компаний не раскрываются.</w:t>
      </w:r>
    </w:p>
    <w:p>
      <w:r>
        <w:t>[СИНТЕЗ] Третье направление — аналитика региональной трансмиссии без регионализации ставки. Публиковать регулярные разрезы по инфляции, кредитным ставкам и объёмам, депозитам, ипотеке, СМР и жилью с учётом структуры потребления, отраслевого состава, доходов и финансовых ограничений. Цель — понять, почему единые решения передаются неодинаково, выявлять риски финансовой стабильности и улучшать прогнозы; не компенсировать различия региона льготной ДКП. Адресные субсидии и бюджетная поддержка, если они нужны, остаются решениями правительства и должны учитываться отдельно от инструментов центрального банка.</w:t>
      </w:r>
    </w:p>
    <w:p>
      <w:r>
        <w:t>[СИНТЕЗ] Четвёртое направление — территориальный финансовый надзор и доступность инфраструктуры: единые стандарты защиты потребителей, рассмотрение жалоб, мониторинг непрерывности платежей и наличного обращения, выявление локальных пробелов в доступе к финансовым услугам. Территориальные учреждения могут координировать взаимодействие с банками, органами власти и общественными организациями, но не обещать кредитование или субсидирование от имени Банка России.</w:t>
      </w:r>
    </w:p>
    <w:p>
      <w:r>
        <w:t>[СИНТЕЗ] Пятое направление — двусторонняя коммуникация. Регулярные открытые встречи и объяснение решений Банка России на местах должны дополняться каналом для вопросов регионального бизнеса и населения. Отдельно следует объяснять, почему единая ставка применяется при неодинаковой региональной инфляции и почему локальный шок предложения не обязательно требует отдельного монетарного ответа.</w:t>
      </w:r>
    </w:p>
    <w:p>
      <w:pPr>
        <w:pStyle w:val="Heading2"/>
      </w:pPr>
      <w:r>
        <w:t>Полномочия и разграничение ответственности / Powers and accountability</w:t>
      </w:r>
    </w:p>
    <w:p>
      <w:r>
        <w:t>[СИНТЕЗ] В рамках текущей организации целесообразно поручить территориальным учреждениям сбор и первичную проверку информации, региональную коммуникацию, локальный мониторинг платежей и финансовых рисков, а также подготовку аналитических материалов по единым центральным стандартам. Решения по ставке, общим операциям ДКП, требованиям регулирования и публичным целям остаются у центральных органов Банка России. Расширение принудительных надзорных полномочий, изменение статуса территориальных учреждений или создание постоянных региональных коллегиальных органов требует отдельного правового и организационного анализа; в рамках этого обзора необходимость таких изменений не установлена.</w:t>
      </w:r>
    </w:p>
    <w:p>
      <w:r>
        <w:t>[СИНТЕЗ] Чтобы избежать захвата повестки местными интересами, контакты с бизнесом должны быть конфиденциальны, выборка — диверсифицирована, протоколирование — стандартизировано, а выводы — сопоставлены с независимыми данными. Запрещается использовать контактные материалы как индивидуальные прогнозы или как основание для адресного регуляторного решения в пользу отдельной организации.</w:t>
      </w:r>
    </w:p>
    <w:p>
      <w:pPr>
        <w:pStyle w:val="Heading2"/>
      </w:pPr>
      <w:r>
        <w:t>Пилот и критерии оценки / Pilot and evaluation</w:t>
      </w:r>
    </w:p>
    <w:p>
      <w:r>
        <w:t>[СИНТЕЗ] Предлагается пилот на 12 месяцев в нескольких макрорегионах с разной структурой экономики и демографией, при сохранении единой методики и сравнительной контрольной группы территориальных учреждений, продолжающих обычную практику. Конкретный перечень регионов следует выбирать после аудита кадров, данных и текущих процессов; без такого аудита назначать площадки преждевременно.</w:t>
      </w:r>
    </w:p>
    <w:p>
      <w:r>
        <w:t>[СИНТЕЗ] Критерии приёмки: регулярность и полнота контактов; баланс отраслей и типов предприятий; срок от сбора сигнала до центрального аналитического использования; доля качественных сигналов, впоследствии подтверждённых официальными данными; добавочная точность краткосрочных прогнозов относительно заранее закреплённого статистического бенчмарка; документированное использование материалов комитетами; понимание решений аудиторией по опросам. Нельзя считать улучшением сам факт увеличения публикаций или числа встреч. Причинный эффект пилота возможен лишь при заранее заданном дизайне оценки; простое сравнение «до/после» будет описательным.</w:t>
      </w:r>
    </w:p>
    <w:p>
      <w:pPr>
        <w:pStyle w:val="Heading2"/>
      </w:pPr>
      <w:r>
        <w:t>Ограничения и открытые вопросы / Limitations and open questions</w:t>
      </w:r>
    </w:p>
    <w:p>
      <w:r>
        <w:t>[?] Не установлено, какие именно внутренние инструкции Банка России сегодня стандартизируют региональный сбор конъюнктурной информации, её качество и передачу центральным комитетам; публичных материалов недостаточно, чтобы утверждать отсутствие таких процессов. Перед внедрением нужен внутренний аудит существующих каналов, чтобы не дублировать работу.</w:t>
      </w:r>
    </w:p>
    <w:p>
      <w:r>
        <w:t>[?] Не выполнена систематическая оценка затрат региональных офисов, эффективности контактов и сравнительной прогностической ценности качественной информации. Количество офисов в разных странах не является метрикой эффективности.</w:t>
      </w:r>
    </w:p>
    <w:p>
      <w:r>
        <w:t>[?] Полномочия конкретных территориальных подразделений следует сверять с действующей редакцией внутренних актов Банка России и закона № 86-ФЗ; обзор не является юридическим заключением.</w:t>
      </w:r>
    </w:p>
    <w:p>
      <w:pPr>
        <w:pStyle w:val="Heading2"/>
      </w:pPr>
      <w:r>
        <w:t>Приложение: ограничения проверки</w:t>
      </w:r>
    </w:p>
    <w:p>
      <w:pPr>
        <w:pStyle w:val="ListBullet"/>
      </w:pPr>
      <w:r>
        <w:t>Не используется утверждение, что Федеральная резервная система, Банк Англии, Bundesbank и Банк России имеют одинаковый правовой статус территориальных единиц: институциональные конструкции различаются.</w:t>
      </w:r>
    </w:p>
    <w:p>
      <w:pPr>
        <w:pStyle w:val="ListBullet"/>
      </w:pPr>
      <w:r>
        <w:t>Данные о запуске сети филиалов PBOC в августе 2023 года подтверждаются публикациями People’s Daily и Xinhua; текст самого плана реформы, полный перечень полномочий каждого уровня и результаты реформы не проверены.</w:t>
      </w:r>
    </w:p>
    <w:p>
      <w:pPr>
        <w:pStyle w:val="ListBullet"/>
      </w:pPr>
      <w:r>
        <w:t>Не приводится точное число отделений Bundesbank: доступная официальная формулировка — «примерно 40 локаций», а вторичные подсчёты ей не тождественны.</w:t>
      </w:r>
    </w:p>
    <w:p>
      <w:pPr>
        <w:pStyle w:val="ListBullet"/>
      </w:pPr>
      <w:r>
        <w:t>Не делается вывод, что сбор качественных сигналов сам по себе улучшает прогноз или решения; это проверяемая гипотеза пилота, а не установленный причинный эффект.</w:t>
      </w:r>
    </w:p>
    <w:p>
      <w:pPr>
        <w:pStyle w:val="ListBullet"/>
      </w:pPr>
      <w:r>
        <w:t>Не предлагается региональная ставка, региональная цель инфляции или льготное рефинансирование отдельных субъектов РФ.</w:t>
      </w:r>
    </w:p>
    <w:p>
      <w:pPr>
        <w:pStyle w:val="ListBullet"/>
      </w:pPr>
      <w:r>
        <w:t>Поиск рекомендаций IMF, Всемирного банка и OECD ограничен перечисленными источниками; прямых универсальных рекомендаций о региональной сети центральных банков в них не выявлено. Для Всемирного банка доступность и содержание рассмотренного документа о bank resolution не были надёжно проверены.</w:t>
      </w:r>
    </w:p>
    <w:p>
      <w:pPr>
        <w:pStyle w:val="Heading2"/>
      </w:pPr>
      <w:r>
        <w:t>Источники / Sources</w:t>
      </w:r>
    </w:p>
    <w:p>
      <w:pPr>
        <w:pStyle w:val="ListBullet"/>
      </w:pPr>
      <w:r>
        <w:t>Federal Reserve, Structure: https://www.federalreserve.gov/aboutthefed/structure-federal-reserve-system.htm</w:t>
      </w:r>
    </w:p>
    <w:p>
      <w:pPr>
        <w:pStyle w:val="ListBullet"/>
      </w:pPr>
      <w:r>
        <w:t>Federal Reserve, Beige Book: https://www.federalreserve.gov/monetarypolicy/publications/beige-book-default.htm</w:t>
      </w:r>
    </w:p>
    <w:p>
      <w:pPr>
        <w:pStyle w:val="ListBullet"/>
      </w:pPr>
      <w:r>
        <w:t>Bank of England, Agents: https://www.bankofengland.co.uk/about/people/agents</w:t>
      </w:r>
    </w:p>
    <w:p>
      <w:pPr>
        <w:pStyle w:val="ListBullet"/>
      </w:pPr>
      <w:r>
        <w:t>Bundesbank, Organisation and Regional Offices: https://www.bundesbank.de/en/bundesbank/organisation; https://www.bundesbank.de/en/bundesbank/regional-offices-branches</w:t>
      </w:r>
    </w:p>
    <w:p>
      <w:pPr>
        <w:pStyle w:val="ListBullet"/>
      </w:pPr>
      <w:r>
        <w:t>ECB Banking Supervision, Joint Supervisory Teams: https://www.bankingsupervision.europa.eu/framework/approach/Joint-supervisory-teams/html/index.en.html</w:t>
      </w:r>
    </w:p>
    <w:p>
      <w:pPr>
        <w:pStyle w:val="ListBullet"/>
      </w:pPr>
      <w:r>
        <w:t>RBA, Liaison Programme: https://www.rba.gov.au/publications/bulletin/2022/sep/the-reserve-banks-liaison-program-turns-21.html</w:t>
      </w:r>
    </w:p>
    <w:p>
      <w:pPr>
        <w:pStyle w:val="ListBullet"/>
      </w:pPr>
      <w:r>
        <w:t>Bank of Japan, Outline: https://www.boj.or.jp/en/about/outline/index.htm</w:t>
      </w:r>
    </w:p>
    <w:p>
      <w:pPr>
        <w:pStyle w:val="ListBullet"/>
      </w:pPr>
      <w:r>
        <w:t>China Daily commentary on 2023 reform (republished by gov.cn; not the primary reform plan): https://english.www.gov.cn/policies/policywatch/202304/17/content_WS643ca32ac6d03ffcca6ec573.html</w:t>
      </w:r>
    </w:p>
    <w:p>
      <w:pPr>
        <w:pStyle w:val="ListBullet"/>
      </w:pPr>
      <w:r>
        <w:t>People’s Daily, launch of PBOC branches (18.08.2023): https://paper.people.com.cn/rmrbhwb/html/2023-08/19/content_26012188.htm</w:t>
      </w:r>
    </w:p>
    <w:p>
      <w:pPr>
        <w:pStyle w:val="ListBullet"/>
      </w:pPr>
      <w:r>
        <w:t>Xinhua, launch report (18.08.2023): http://www.news.cn/fortune/2023-08/18/c_1129810276.htm</w:t>
      </w:r>
    </w:p>
    <w:p>
      <w:pPr>
        <w:pStyle w:val="ListBullet"/>
      </w:pPr>
      <w:r>
        <w:t>Caixin, additional reported details (secondary source): https://finance.caixin.com/2023-08-18/102094347.html</w:t>
      </w:r>
    </w:p>
    <w:p>
      <w:pPr>
        <w:pStyle w:val="ListBullet"/>
      </w:pPr>
      <w:r>
        <w:t>RBI, Regional Offices: https://rbi.org.in/Scripts/RegionalOffices.aspx</w:t>
      </w:r>
    </w:p>
    <w:p>
      <w:pPr>
        <w:pStyle w:val="ListBullet"/>
      </w:pPr>
      <w:r>
        <w:t>RBI, About Us: https://rbi.org.in/Scripts/AboutUsDisplay.aspx</w:t>
      </w:r>
    </w:p>
    <w:p>
      <w:pPr>
        <w:pStyle w:val="ListBullet"/>
      </w:pPr>
      <w:r>
        <w:t>RBI, Annual Report (2010–11, historical account of Local Boards): https://www.rbi.org.in/scripts/AnnualReportPublications.aspx?Id=1007</w:t>
      </w:r>
    </w:p>
    <w:p>
      <w:pPr>
        <w:pStyle w:val="ListBullet"/>
      </w:pPr>
      <w:r>
        <w:t>RBI, Act 1934, section 9: https://rbidocs.rbi.org.in/rdocs/Publications/PDFs/RBIA1934170510.pdf</w:t>
      </w:r>
    </w:p>
    <w:p>
      <w:pPr>
        <w:pStyle w:val="ListBullet"/>
      </w:pPr>
      <w:r>
        <w:t>Banco Central do Brasil, Regional Representations: https://www.bcb.gov.br/acessoinformacao/regionais</w:t>
      </w:r>
    </w:p>
    <w:p>
      <w:pPr>
        <w:pStyle w:val="ListBullet"/>
      </w:pPr>
      <w:r>
        <w:t>BCB, About: https://www.bcb.gov.br/en/about</w:t>
      </w:r>
    </w:p>
    <w:p>
      <w:pPr>
        <w:pStyle w:val="ListBullet"/>
      </w:pPr>
      <w:r>
        <w:t>BCB, Our Results 2021: https://www.bcb.gov.br/en/publications/our_results_2021</w:t>
      </w:r>
    </w:p>
    <w:p>
      <w:pPr>
        <w:pStyle w:val="ListBullet"/>
      </w:pPr>
      <w:r>
        <w:t>BCB, Pix: https://www.bcb.gov.br/en/financialstability/pix_en</w:t>
      </w:r>
    </w:p>
    <w:p>
      <w:pPr>
        <w:pStyle w:val="ListBullet"/>
      </w:pPr>
      <w:r>
        <w:t>IMF, Russia Country Report 11/336 (assessment based on 2011 information): https://www.imf.org/external/pubs/ft/scr/2011/cr11336.pdf</w:t>
      </w:r>
    </w:p>
    <w:p>
      <w:pPr>
        <w:pStyle w:val="ListBullet"/>
      </w:pPr>
      <w:r>
        <w:t>IMF eLibrary, Pierre Duquesne, “The Supervisory Role of the Central Bank” (author chapter in *Banking Soundness and Monetary Policy*, published in the 1990s; not an IMF institutional recommendation): https://www.elibrary.imf.org/display/book/9781557756459/ch047.xml?tabs=Abstract</w:t>
      </w:r>
    </w:p>
    <w:p>
      <w:pPr>
        <w:pStyle w:val="ListBullet"/>
      </w:pPr>
      <w:r>
        <w:t>World Bank, Bolzico, Mascaró &amp; Granata, Practical Guidelines for Effective Bank Resolution, WPS4389 (2007): https://documents.worldbank.org/en/publication/documents-reports/documentdetail/454181468269686072; https://documents1.worldbank.org/curated/en/454181468269686072/text/wps4389.txt; https://documents1.worldbank.org/curated/en/454181468269686072/pdf/wps4389.pdf</w:t>
      </w:r>
    </w:p>
    <w:p>
      <w:pPr>
        <w:pStyle w:val="ListBullet"/>
      </w:pPr>
      <w:r>
        <w:t>OECD, Recommendation on Regional Development Policy and Implementation Toolkit: https://legalinstruments.oecd.org/en/instruments/OECD-LEGAL-0492; https://www.oecd.org/en/about/projects/implementing-the-oecd-recommendation-on-regional-development-policy-toolkit.html</w:t>
      </w:r>
    </w:p>
    <w:p>
      <w:pPr>
        <w:pStyle w:val="ListBullet"/>
      </w:pPr>
      <w:r>
        <w:t>Банк России, территориальные учреждения: https://www.cbr.ru/about_br/tubr/</w:t>
      </w:r>
    </w:p>
    <w:p>
      <w:pPr>
        <w:pStyle w:val="ListBullet"/>
      </w:pPr>
      <w:r>
        <w:t>Банк России, правовой статус: https://www.cbr.ru/about_br/bankstatus/</w:t>
      </w:r>
    </w:p>
    <w:p>
      <w:pPr>
        <w:pStyle w:val="ListBullet"/>
      </w:pPr>
      <w:r>
        <w:t>Федеральный закон № 86-ФЗ: https://www.pravo.gov.ru/proxy/ips/?docbody=&amp;nd=102077052</w:t>
      </w:r>
    </w:p>
    <w:sectPr w:rsidR="00FC693F" w:rsidRPr="0006063C" w:rsidSect="00034616">
      <w:footerReference w:type="default" r:id="rId9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Стр.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