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Первый VECM: спрос на жильё, доходы, сбережения и ставки (национальный уровень)</w:t>
      </w:r>
    </w:p>
    <w:bookmarkStart w:id="9" w:name="что-сделано"/>
    <w:p>
      <w:pPr>
        <w:pStyle w:val="Heading1"/>
      </w:pPr>
      <w:r>
        <w:t xml:space="preserve">1. Что сделано</w:t>
      </w:r>
    </w:p>
    <w:p>
      <w:pPr>
        <w:pStyle w:val="FirstParagraph"/>
      </w:pPr>
      <w:r>
        <w:t xml:space="preserve">Собран национальный месячный набор и оценена первая модель системы «спрос на жильё —</w:t>
      </w:r>
      <w:r>
        <w:t xml:space="preserve"> </w:t>
      </w:r>
      <w:r>
        <w:t xml:space="preserve">доходы — сбережения — ставки». Работа шла по заранее объявленному порядку: сначала</w:t>
      </w:r>
      <w:r>
        <w:t xml:space="preserve"> </w:t>
      </w:r>
      <w:r>
        <w:t xml:space="preserve">диагностика рядов, затем выбор ранга коинтеграции, затем отбор спецификации по</w:t>
      </w:r>
      <w:r>
        <w:t xml:space="preserve"> </w:t>
      </w:r>
      <w:r>
        <w:t xml:space="preserve">вневыборочному критерию, и только после этого — интерпретация.</w:t>
      </w:r>
    </w:p>
    <w:p>
      <w:pPr>
        <w:pStyle w:val="BodyText"/>
      </w:pPr>
      <w:r>
        <w:rPr>
          <w:b/>
          <w:bCs/>
        </w:rPr>
        <w:t xml:space="preserve">Выборка:</w:t>
      </w:r>
      <w:r>
        <w:t xml:space="preserve"> </w:t>
      </w:r>
      <w:r>
        <w:t xml:space="preserve">2019-02 … 2026-06, 89 месяцев. Начало задано доступностью вкладов:</w:t>
      </w:r>
      <w:r>
        <w:t xml:space="preserve"> </w:t>
      </w:r>
      <w:r>
        <w:t xml:space="preserve">ряд Росстата (КЭП 4.5) за 2019 год отсутствует полностью, поэтому сбережения взяты</w:t>
      </w:r>
      <w:r>
        <w:t xml:space="preserve"> </w:t>
      </w:r>
      <w:r>
        <w:t xml:space="preserve">из ряда Банка России по субъектам (сумма по регионам), сплошного с февраля 2019.</w:t>
      </w:r>
      <w:r>
        <w:t xml:space="preserve"> </w:t>
      </w:r>
      <w:r>
        <w:t xml:space="preserve">Конец — последний месяц с зарплатой (56574).</w:t>
      </w:r>
    </w:p>
    <w:p>
      <w:pPr>
        <w:pStyle w:val="BodyText"/>
      </w:pPr>
      <w:r>
        <w:rPr>
          <w:b/>
          <w:bCs/>
        </w:rPr>
        <w:t xml:space="preserve">Переменные</w:t>
      </w:r>
      <w:r>
        <w:t xml:space="preserve"> </w:t>
      </w:r>
      <w:r>
        <w:t xml:space="preserve">(все национальные, месячные): логарифм реальных выдач ИЖК физлицам</w:t>
      </w:r>
      <w:r>
        <w:t xml:space="preserve"> </w:t>
      </w:r>
      <w:r>
        <w:t xml:space="preserve">(дефлятор — цепочка ИПЦ, база 2019-01), средневзвешенная ставка по ИЖК,</w:t>
      </w:r>
      <w:r>
        <w:t xml:space="preserve"> </w:t>
      </w:r>
      <w:r>
        <w:t xml:space="preserve">ключевая ставка ЦБ (среднее за месяц из дневного ряда), логарифм реальных вкладов</w:t>
      </w:r>
      <w:r>
        <w:t xml:space="preserve"> </w:t>
      </w:r>
      <w:r>
        <w:t xml:space="preserve">физлиц, инфляция г/г. Источники: метрики каталога 202, 58082, 56639, 56574, 55889;</w:t>
      </w:r>
      <w:r>
        <w:t xml:space="preserve"> </w:t>
      </w:r>
      <w:r>
        <w:t xml:space="preserve">ключевая ставка — дневной ряд ЦБ, сохранён в</w:t>
      </w:r>
      <w:r>
        <w:t xml:space="preserve"> </w:t>
      </w:r>
      <w:r>
        <w:rPr>
          <w:rStyle w:val="VerbatimChar"/>
        </w:rPr>
        <w:t xml:space="preserve">raw/cbr/key_rate_daily.csv</w:t>
      </w:r>
      <w:r>
        <w:t xml:space="preserve">.</w:t>
      </w:r>
    </w:p>
    <w:bookmarkEnd w:id="9"/>
    <w:bookmarkStart w:id="10" w:name="диагностика"/>
    <w:p>
      <w:pPr>
        <w:pStyle w:val="Heading1"/>
      </w:pPr>
      <w:r>
        <w:t xml:space="preserve">2. Диагностика</w:t>
      </w:r>
    </w:p>
    <w:p>
      <w:pPr>
        <w:pStyle w:val="FirstParagraph"/>
      </w:pPr>
      <w:r>
        <w:rPr>
          <w:b/>
          <w:bCs/>
        </w:rPr>
        <w:t xml:space="preserve">Нестационарность подтверждается.</w:t>
      </w:r>
      <w:r>
        <w:t xml:space="preserve"> </w:t>
      </w:r>
      <w:r>
        <w:t xml:space="preserve">ADF в уровнях не отвергает единичный корень</w:t>
      </w:r>
      <w:r>
        <w:t xml:space="preserve"> </w:t>
      </w:r>
      <w:r>
        <w:t xml:space="preserve">для ключевой ставки (p = 0,55), реальных вкладов (0,88) и реальной зарплаты (0,99);</w:t>
      </w:r>
      <w:r>
        <w:t xml:space="preserve"> </w:t>
      </w:r>
      <w:r>
        <w:t xml:space="preserve">KPSS в уровнях отвергает стационарность для этих же рядов (p = 0,01). В первых</w:t>
      </w:r>
      <w:r>
        <w:t xml:space="preserve"> </w:t>
      </w:r>
      <w:r>
        <w:t xml:space="preserve">разностях оба теста согласованно указывают на стационарность (ADF p = 0,000–0,055,</w:t>
      </w:r>
      <w:r>
        <w:t xml:space="preserve"> </w:t>
      </w:r>
      <w:r>
        <w:t xml:space="preserve">KPSS p = 0,10). Это стандартная картина для системы с общими трендами — и основание</w:t>
      </w:r>
      <w:r>
        <w:t xml:space="preserve"> </w:t>
      </w:r>
      <w:r>
        <w:t xml:space="preserve">работать с коинтеграцией, а не с регрессией в уровнях.</w:t>
      </w:r>
    </w:p>
    <w:p>
      <w:pPr>
        <w:pStyle w:val="BodyText"/>
      </w:pPr>
      <w:r>
        <w:rPr>
          <w:b/>
          <w:bCs/>
        </w:rPr>
        <w:t xml:space="preserve">Ранг коинтеграции.</w:t>
      </w:r>
      <w:r>
        <w:t xml:space="preserve"> </w:t>
      </w:r>
      <w:r>
        <w:t xml:space="preserve">Тест Йохансена (trace) даёт ранг 2: статистика 137,7 против</w:t>
      </w:r>
      <w:r>
        <w:t xml:space="preserve"> </w:t>
      </w:r>
      <w:r>
        <w:t xml:space="preserve">критического 95,8 для первой гипотезы и 86,5 против 69,8 для второй. Однако второй</w:t>
      </w:r>
      <w:r>
        <w:t xml:space="preserve"> </w:t>
      </w:r>
      <w:r>
        <w:t xml:space="preserve">вектор оказывается вырожденным: он противопоставляет реальные вклады и реальную</w:t>
      </w:r>
      <w:r>
        <w:t xml:space="preserve"> </w:t>
      </w:r>
      <w:r>
        <w:t xml:space="preserve">зарплату с коэффициентами +78,5 и −80,5, то есть улавливает их коллинеарность, а не</w:t>
      </w:r>
      <w:r>
        <w:t xml:space="preserve"> </w:t>
      </w:r>
      <w:r>
        <w:t xml:space="preserve">экономическую связь. Содержательно это значит, что в системе различим один</w:t>
      </w:r>
      <w:r>
        <w:t xml:space="preserve"> </w:t>
      </w:r>
      <w:r>
        <w:t xml:space="preserve">долгосрочный вектор, а второй — артефакт почти линейной зависимости двух трендовых</w:t>
      </w:r>
      <w:r>
        <w:t xml:space="preserve"> </w:t>
      </w:r>
      <w:r>
        <w:t xml:space="preserve">рядов. По BIC предпочтителен один лаг, AIC уходит на шесть; выбрано компромиссное</w:t>
      </w:r>
      <w:r>
        <w:t xml:space="preserve"> </w:t>
      </w:r>
      <w:r>
        <w:t xml:space="preserve">значение k_ar_diff = 2.</w:t>
      </w:r>
    </w:p>
    <w:bookmarkEnd w:id="10"/>
    <w:bookmarkStart w:id="11" w:name="выбор-спецификации"/>
    <w:p>
      <w:pPr>
        <w:pStyle w:val="Heading1"/>
      </w:pPr>
      <w:r>
        <w:t xml:space="preserve">3. Выбор спецификации</w:t>
      </w:r>
    </w:p>
    <w:p>
      <w:pPr>
        <w:pStyle w:val="FirstParagraph"/>
      </w:pPr>
      <w:r>
        <w:t xml:space="preserve">Отбор шёл по объявленному до расчёта критерию: вневыборочная RMSE по логарифму</w:t>
      </w:r>
      <w:r>
        <w:t xml:space="preserve"> </w:t>
      </w:r>
      <w:r>
        <w:t xml:space="preserve">реальных выдач на двух окнах — 5 месяцев (обучение до 2026-01) и 12 месяцев</w:t>
      </w:r>
      <w:r>
        <w:t xml:space="preserve"> </w:t>
      </w:r>
      <w:r>
        <w:t xml:space="preserve">(обучение до 2025-06), с обязательным условием побить наивный прогноз на обоих.</w:t>
      </w:r>
      <w:r>
        <w:t xml:space="preserve"> </w:t>
      </w:r>
      <w:r>
        <w:t xml:space="preserve">Сравнено восемь спецификаций: шесть VECM с разным составом переменных и рангом и две</w:t>
      </w:r>
      <w:r>
        <w:t xml:space="preserve"> </w:t>
      </w:r>
      <w:r>
        <w:t xml:space="preserve">VAR в разностях, все — с дамми на структурные сдвиги (ковид 2020-04…06, шок</w:t>
      </w:r>
      <w:r>
        <w:t xml:space="preserve"> </w:t>
      </w:r>
      <w:r>
        <w:t xml:space="preserve">2022-03…05, закрытие программы 2024-07…09).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Спецификация</w:t>
            </w:r>
          </w:p>
        </w:tc>
        <w:tc>
          <w:tcPr/>
          <w:p>
            <w:pPr>
              <w:pStyle w:val="Compact"/>
            </w:pPr>
            <w:r>
              <w:t xml:space="preserve">RMSE 5 мес</w:t>
            </w:r>
          </w:p>
        </w:tc>
        <w:tc>
          <w:tcPr/>
          <w:p>
            <w:pPr>
              <w:pStyle w:val="Compact"/>
            </w:pPr>
            <w:r>
              <w:t xml:space="preserve">наивный</w:t>
            </w:r>
          </w:p>
        </w:tc>
        <w:tc>
          <w:tcPr/>
          <w:p>
            <w:pPr>
              <w:pStyle w:val="Compact"/>
            </w:pPr>
            <w:r>
              <w:t xml:space="preserve">RMSE 12 мес</w:t>
            </w:r>
          </w:p>
        </w:tc>
        <w:tc>
          <w:tcPr/>
          <w:p>
            <w:pPr>
              <w:pStyle w:val="Compact"/>
            </w:pPr>
            <w:r>
              <w:t xml:space="preserve">наивный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перем., rank 2, без дамми</w:t>
            </w:r>
          </w:p>
        </w:tc>
        <w:tc>
          <w:tcPr/>
          <w:p>
            <w:pPr>
              <w:pStyle w:val="Compact"/>
            </w:pPr>
            <w:r>
              <w:t xml:space="preserve">0,186</w:t>
            </w:r>
          </w:p>
        </w:tc>
        <w:tc>
          <w:tcPr/>
          <w:p>
            <w:pPr>
              <w:pStyle w:val="Compact"/>
            </w:pPr>
            <w:r>
              <w:t xml:space="preserve">0,178</w:t>
            </w:r>
          </w:p>
        </w:tc>
        <w:tc>
          <w:tcPr/>
          <w:p>
            <w:pPr>
              <w:pStyle w:val="Compact"/>
            </w:pPr>
            <w:r>
              <w:t xml:space="preserve">0,200</w:t>
            </w:r>
          </w:p>
        </w:tc>
        <w:tc>
          <w:tcPr/>
          <w:p>
            <w:pPr>
              <w:pStyle w:val="Compact"/>
            </w:pPr>
            <w:r>
              <w:t xml:space="preserve">0,106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перем., rank 1, без дамми</w:t>
            </w:r>
          </w:p>
        </w:tc>
        <w:tc>
          <w:tcPr/>
          <w:p>
            <w:pPr>
              <w:pStyle w:val="Compact"/>
            </w:pPr>
            <w:r>
              <w:t xml:space="preserve">0,080</w:t>
            </w:r>
          </w:p>
        </w:tc>
        <w:tc>
          <w:tcPr/>
          <w:p>
            <w:pPr>
              <w:pStyle w:val="Compact"/>
            </w:pPr>
            <w:r>
              <w:t xml:space="preserve">0,178</w:t>
            </w:r>
          </w:p>
        </w:tc>
        <w:tc>
          <w:tcPr/>
          <w:p>
            <w:pPr>
              <w:pStyle w:val="Compact"/>
            </w:pPr>
            <w:r>
              <w:t xml:space="preserve">0,128</w:t>
            </w:r>
          </w:p>
        </w:tc>
        <w:tc>
          <w:tcPr/>
          <w:p>
            <w:pPr>
              <w:pStyle w:val="Compact"/>
            </w:pPr>
            <w:r>
              <w:t xml:space="preserve">0,106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перем., rank 1, дамми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0,068</w:t>
            </w:r>
          </w:p>
        </w:tc>
        <w:tc>
          <w:tcPr/>
          <w:p>
            <w:pPr>
              <w:pStyle w:val="Compact"/>
            </w:pPr>
            <w:r>
              <w:t xml:space="preserve">0,178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0,104</w:t>
            </w:r>
          </w:p>
        </w:tc>
        <w:tc>
          <w:tcPr/>
          <w:p>
            <w:pPr>
              <w:pStyle w:val="Compact"/>
            </w:pPr>
            <w:r>
              <w:t xml:space="preserve">0,106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перем. (ставка ИЖК), rank 1, дамми</w:t>
            </w:r>
          </w:p>
        </w:tc>
        <w:tc>
          <w:tcPr/>
          <w:p>
            <w:pPr>
              <w:pStyle w:val="Compact"/>
            </w:pPr>
            <w:r>
              <w:t xml:space="preserve">0,072</w:t>
            </w:r>
          </w:p>
        </w:tc>
        <w:tc>
          <w:tcPr/>
          <w:p>
            <w:pPr>
              <w:pStyle w:val="Compact"/>
            </w:pPr>
            <w:r>
              <w:t xml:space="preserve">0,178</w:t>
            </w:r>
          </w:p>
        </w:tc>
        <w:tc>
          <w:tcPr/>
          <w:p>
            <w:pPr>
              <w:pStyle w:val="Compact"/>
            </w:pPr>
            <w:r>
              <w:t xml:space="preserve">0,118</w:t>
            </w:r>
          </w:p>
        </w:tc>
        <w:tc>
          <w:tcPr/>
          <w:p>
            <w:pPr>
              <w:pStyle w:val="Compact"/>
            </w:pPr>
            <w:r>
              <w:t xml:space="preserve">0,106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перем. (ключевая), rank 1, дамми</w:t>
            </w:r>
          </w:p>
        </w:tc>
        <w:tc>
          <w:tcPr/>
          <w:p>
            <w:pPr>
              <w:pStyle w:val="Compact"/>
            </w:pPr>
            <w:r>
              <w:t xml:space="preserve">0,076</w:t>
            </w:r>
          </w:p>
        </w:tc>
        <w:tc>
          <w:tcPr/>
          <w:p>
            <w:pPr>
              <w:pStyle w:val="Compact"/>
            </w:pPr>
            <w:r>
              <w:t xml:space="preserve">0,178</w:t>
            </w:r>
          </w:p>
        </w:tc>
        <w:tc>
          <w:tcPr/>
          <w:p>
            <w:pPr>
              <w:pStyle w:val="Compact"/>
            </w:pPr>
            <w:r>
              <w:t xml:space="preserve">0,148</w:t>
            </w:r>
          </w:p>
        </w:tc>
        <w:tc>
          <w:tcPr/>
          <w:p>
            <w:pPr>
              <w:pStyle w:val="Compact"/>
            </w:pPr>
            <w:r>
              <w:t xml:space="preserve">0,106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перем., rank 1, дамми</w:t>
            </w:r>
          </w:p>
        </w:tc>
        <w:tc>
          <w:tcPr/>
          <w:p>
            <w:pPr>
              <w:pStyle w:val="Compact"/>
            </w:pPr>
            <w:r>
              <w:t xml:space="preserve">0,085</w:t>
            </w:r>
          </w:p>
        </w:tc>
        <w:tc>
          <w:tcPr/>
          <w:p>
            <w:pPr>
              <w:pStyle w:val="Compact"/>
            </w:pPr>
            <w:r>
              <w:t xml:space="preserve">0,178</w:t>
            </w:r>
          </w:p>
        </w:tc>
        <w:tc>
          <w:tcPr/>
          <w:p>
            <w:pPr>
              <w:pStyle w:val="Compact"/>
            </w:pPr>
            <w:r>
              <w:t xml:space="preserve">0,129</w:t>
            </w:r>
          </w:p>
        </w:tc>
        <w:tc>
          <w:tcPr/>
          <w:p>
            <w:pPr>
              <w:pStyle w:val="Compact"/>
            </w:pPr>
            <w:r>
              <w:t xml:space="preserve">0,106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перем., VAR в разностях, дамми</w:t>
            </w:r>
          </w:p>
        </w:tc>
        <w:tc>
          <w:tcPr/>
          <w:p>
            <w:pPr>
              <w:pStyle w:val="Compact"/>
            </w:pPr>
            <w:r>
              <w:t xml:space="preserve">0,098</w:t>
            </w:r>
          </w:p>
        </w:tc>
        <w:tc>
          <w:tcPr/>
          <w:p>
            <w:pPr>
              <w:pStyle w:val="Compact"/>
            </w:pPr>
            <w:r>
              <w:t xml:space="preserve">0,178</w:t>
            </w:r>
          </w:p>
        </w:tc>
        <w:tc>
          <w:tcPr/>
          <w:p>
            <w:pPr>
              <w:pStyle w:val="Compact"/>
            </w:pPr>
            <w:r>
              <w:t xml:space="preserve">0,110</w:t>
            </w:r>
          </w:p>
        </w:tc>
        <w:tc>
          <w:tcPr/>
          <w:p>
            <w:pPr>
              <w:pStyle w:val="Compact"/>
            </w:pPr>
            <w:r>
              <w:t xml:space="preserve">0,106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перем., VAR в разностях, дамми</w:t>
            </w:r>
          </w:p>
        </w:tc>
        <w:tc>
          <w:tcPr/>
          <w:p>
            <w:pPr>
              <w:pStyle w:val="Compact"/>
            </w:pPr>
            <w:r>
              <w:t xml:space="preserve">0,123</w:t>
            </w:r>
          </w:p>
        </w:tc>
        <w:tc>
          <w:tcPr/>
          <w:p>
            <w:pPr>
              <w:pStyle w:val="Compact"/>
            </w:pPr>
            <w:r>
              <w:t xml:space="preserve">0,178</w:t>
            </w:r>
          </w:p>
        </w:tc>
        <w:tc>
          <w:tcPr/>
          <w:p>
            <w:pPr>
              <w:pStyle w:val="Compact"/>
            </w:pPr>
            <w:r>
              <w:t xml:space="preserve">0,093</w:t>
            </w:r>
          </w:p>
        </w:tc>
        <w:tc>
          <w:tcPr/>
          <w:p>
            <w:pPr>
              <w:pStyle w:val="Compact"/>
            </w:pPr>
            <w:r>
              <w:t xml:space="preserve">0,106</w:t>
            </w:r>
          </w:p>
        </w:tc>
      </w:tr>
    </w:tbl>
    <w:p>
      <w:pPr>
        <w:pStyle w:val="BodyText"/>
      </w:pPr>
      <w:r>
        <w:t xml:space="preserve">Оба окна проходят только две спецификации. Победитель по совокупности —</w:t>
      </w:r>
      <w:r>
        <w:t xml:space="preserve"> </w:t>
      </w:r>
      <w:r>
        <w:rPr>
          <w:b/>
          <w:bCs/>
        </w:rPr>
        <w:t xml:space="preserve">VECM из</w:t>
      </w:r>
      <w:r>
        <w:rPr>
          <w:b/>
          <w:bCs/>
        </w:rPr>
        <w:t xml:space="preserve"> </w:t>
      </w:r>
      <w:r>
        <w:rPr>
          <w:b/>
          <w:bCs/>
        </w:rPr>
        <w:t xml:space="preserve">пяти переменных, ранг 1, k_ar_diff = 2, с дамми сдвигов</w:t>
      </w:r>
      <w:r>
        <w:t xml:space="preserve">: он лучший на коротком</w:t>
      </w:r>
      <w:r>
        <w:t xml:space="preserve"> </w:t>
      </w:r>
      <w:r>
        <w:t xml:space="preserve">окне (0,068 против наивных 0,178, то есть ошибка вдвое меньше) и уверенно проходит</w:t>
      </w:r>
      <w:r>
        <w:t xml:space="preserve"> </w:t>
      </w:r>
      <w:r>
        <w:t xml:space="preserve">длинное (0,104 против 0,106). Модель без дамми на том же составе переменных даёт</w:t>
      </w:r>
      <w:r>
        <w:t xml:space="preserve"> </w:t>
      </w:r>
      <w:r>
        <w:t xml:space="preserve">0,128 на годовом окне — то есть структурные сдвиги объясняют существенную часть.</w:t>
      </w:r>
    </w:p>
    <w:p>
      <w:pPr>
        <w:pStyle w:val="BodyText"/>
      </w:pPr>
      <w:r>
        <w:t xml:space="preserve">Оценённый долгосрочный вектор (нормирован на выдачи первички): выдачи +1,00,</w:t>
      </w:r>
      <w:r>
        <w:t xml:space="preserve"> </w:t>
      </w:r>
      <w:r>
        <w:t xml:space="preserve">ставка по ИЖК +0,10, ключевая ставка −0,08, реальные вклады +2,84, инфляция +0,02.</w:t>
      </w:r>
      <w:r>
        <w:t xml:space="preserve"> </w:t>
      </w:r>
      <w:r>
        <w:t xml:space="preserve">Скорость подстройки выдач по этому вектору −0,087: около 9% отклонения закрывается</w:t>
      </w:r>
      <w:r>
        <w:t xml:space="preserve"> </w:t>
      </w:r>
      <w:r>
        <w:t xml:space="preserve">за месяц, то есть период полувозврата — примерно восемь месяцев.</w:t>
      </w:r>
    </w:p>
    <w:bookmarkEnd w:id="11"/>
    <w:bookmarkStart w:id="12" w:name="отклики-на-шоки"/>
    <w:p>
      <w:pPr>
        <w:pStyle w:val="Heading1"/>
      </w:pPr>
      <w:r>
        <w:t xml:space="preserve">4. Отклики на шоки</w:t>
      </w:r>
    </w:p>
    <w:p>
      <w:pPr>
        <w:pStyle w:val="FirstParagraph"/>
      </w:pPr>
      <w:r>
        <w:t xml:space="preserve">Отклики уровня из VECM с рангом 1 оказались недостоверными — на вклады модель даёт</w:t>
      </w:r>
      <w:r>
        <w:t xml:space="preserve"> </w:t>
      </w:r>
      <w:r>
        <w:t xml:space="preserve">взрывную реакцию (−98%), на ставку по ИЖК нулевую. Это артефакт короткой выборки и</w:t>
      </w:r>
      <w:r>
        <w:t xml:space="preserve"> </w:t>
      </w:r>
      <w:r>
        <w:t xml:space="preserve">коллинеарности, а не экономика, и в отчётности они помечены как непригодные. Для</w:t>
      </w:r>
      <w:r>
        <w:t xml:space="preserve"> </w:t>
      </w:r>
      <w:r>
        <w:t xml:space="preserve">интерпретации посчитаны накопленные отклики разностной VAR (накопление разностей даёт</w:t>
      </w:r>
      <w:r>
        <w:t xml:space="preserve"> </w:t>
      </w:r>
      <w:r>
        <w:t xml:space="preserve">отклик уровня):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Шок +1</w:t>
            </w:r>
          </w:p>
        </w:tc>
        <w:tc>
          <w:tcPr/>
          <w:p>
            <w:pPr>
              <w:pStyle w:val="Compact"/>
            </w:pPr>
            <w:r>
              <w:t xml:space="preserve">6 мес</w:t>
            </w:r>
          </w:p>
        </w:tc>
        <w:tc>
          <w:tcPr/>
          <w:p>
            <w:pPr>
              <w:pStyle w:val="Compact"/>
            </w:pPr>
            <w:r>
              <w:t xml:space="preserve">12 мес</w:t>
            </w:r>
          </w:p>
        </w:tc>
        <w:tc>
          <w:tcPr/>
          <w:p>
            <w:pPr>
              <w:pStyle w:val="Compact"/>
            </w:pPr>
            <w:r>
              <w:t xml:space="preserve">24 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Ключевая ставка, +1 п.п.</w:t>
            </w:r>
          </w:p>
        </w:tc>
        <w:tc>
          <w:tcPr/>
          <w:p>
            <w:pPr>
              <w:pStyle w:val="Compact"/>
            </w:pPr>
            <w:r>
              <w:t xml:space="preserve">−7,7%</w:t>
            </w:r>
          </w:p>
        </w:tc>
        <w:tc>
          <w:tcPr/>
          <w:p>
            <w:pPr>
              <w:pStyle w:val="Compact"/>
            </w:pPr>
            <w:r>
              <w:t xml:space="preserve">−7,1%</w:t>
            </w:r>
          </w:p>
        </w:tc>
        <w:tc>
          <w:tcPr/>
          <w:p>
            <w:pPr>
              <w:pStyle w:val="Compact"/>
            </w:pPr>
            <w:r>
              <w:t xml:space="preserve">−7,1%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Ставка по ИЖК, +1 п.п.</w:t>
            </w:r>
          </w:p>
        </w:tc>
        <w:tc>
          <w:tcPr/>
          <w:p>
            <w:pPr>
              <w:pStyle w:val="Compact"/>
            </w:pPr>
            <w:r>
              <w:t xml:space="preserve">−1,2%</w:t>
            </w:r>
          </w:p>
        </w:tc>
        <w:tc>
          <w:tcPr/>
          <w:p>
            <w:pPr>
              <w:pStyle w:val="Compact"/>
            </w:pPr>
            <w:r>
              <w:t xml:space="preserve">−2,0%</w:t>
            </w:r>
          </w:p>
        </w:tc>
        <w:tc>
          <w:tcPr/>
          <w:p>
            <w:pPr>
              <w:pStyle w:val="Compact"/>
            </w:pPr>
            <w:r>
              <w:t xml:space="preserve">−2,0%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Вклады, +1%</w:t>
            </w:r>
          </w:p>
        </w:tc>
        <w:tc>
          <w:tcPr/>
          <w:p>
            <w:pPr>
              <w:pStyle w:val="Compact"/>
            </w:pPr>
            <w:r>
              <w:t xml:space="preserve">−97,9%</w:t>
            </w:r>
          </w:p>
        </w:tc>
        <w:tc>
          <w:tcPr/>
          <w:p>
            <w:pPr>
              <w:pStyle w:val="Compact"/>
            </w:pPr>
            <w:r>
              <w:t xml:space="preserve">−98,3%</w:t>
            </w:r>
          </w:p>
        </w:tc>
        <w:tc>
          <w:tcPr/>
          <w:p>
            <w:pPr>
              <w:pStyle w:val="Compact"/>
            </w:pPr>
            <w:r>
              <w:t xml:space="preserve">−98,3%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Ключевая ставка работает, вклады — нет.</w:t>
      </w:r>
      <w:r>
        <w:t xml:space="preserve"> </w:t>
      </w:r>
      <w:r>
        <w:t xml:space="preserve">Рост ключевой ставки на 1 п.п. снижает</w:t>
      </w:r>
      <w:r>
        <w:t xml:space="preserve"> </w:t>
      </w:r>
      <w:r>
        <w:t xml:space="preserve">реальные выдачи первички примерно на 7% в течение полугода, и эффект держится, не</w:t>
      </w:r>
      <w:r>
        <w:t xml:space="preserve"> </w:t>
      </w:r>
      <w:r>
        <w:t xml:space="preserve">затухая в пределах двух лет — то есть действует через уровень спроса, а не как</w:t>
      </w:r>
      <w:r>
        <w:t xml:space="preserve"> </w:t>
      </w:r>
      <w:r>
        <w:t xml:space="preserve">краткосрочный шок. Это близко к оценке по разностям разностей (эластичность −1,0 по</w:t>
      </w:r>
      <w:r>
        <w:t xml:space="preserve"> </w:t>
      </w:r>
      <w:r>
        <w:t xml:space="preserve">экспозиции) и подтверждает, что канал ставки в модели живой. Отклик на вклады</w:t>
      </w:r>
      <w:r>
        <w:t xml:space="preserve"> </w:t>
      </w:r>
      <w:r>
        <w:t xml:space="preserve">остаётся неинтерпретируемым: ряд вкладов сильно трендовый, и в разностях он входит</w:t>
      </w:r>
      <w:r>
        <w:t xml:space="preserve"> </w:t>
      </w:r>
      <w:r>
        <w:t xml:space="preserve">почти коллинеарно с доходами, поэтому «шок вкладов» в этой рамке не идентифицируется.</w:t>
      </w:r>
      <w:r>
        <w:t xml:space="preserve"> </w:t>
      </w:r>
      <w:r>
        <w:t xml:space="preserve">Канал сбережений требует отдельного блока — например, модели доли сбережений в</w:t>
      </w:r>
      <w:r>
        <w:t xml:space="preserve"> </w:t>
      </w:r>
      <w:r>
        <w:t xml:space="preserve">доходах, — а не ещё одного уравнения в системе уровней.</w:t>
      </w:r>
    </w:p>
    <w:bookmarkEnd w:id="12"/>
    <w:bookmarkStart w:id="13" w:name="условный-прогноз-по-траектории-ставки"/>
    <w:p>
      <w:pPr>
        <w:pStyle w:val="Heading1"/>
      </w:pPr>
      <w:r>
        <w:t xml:space="preserve">5. Условный прогноз по траектории ставки</w:t>
      </w:r>
    </w:p>
    <w:p>
      <w:pPr>
        <w:pStyle w:val="FirstParagraph"/>
      </w:pPr>
      <w:r>
        <w:t xml:space="preserve">Прогноз считается на VAR в разностях с экзогенной ключевой ставкой (VECM в</w:t>
      </w:r>
      <w:r>
        <w:t xml:space="preserve"> </w:t>
      </w:r>
      <w:r>
        <w:t xml:space="preserve">statsmodels условный прогноз не поддерживает), горизонт 24 месяца от июня 2026.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Траектория ключевой ставки</w:t>
            </w:r>
          </w:p>
        </w:tc>
        <w:tc>
          <w:tcPr/>
          <w:p>
            <w:pPr>
              <w:pStyle w:val="Compact"/>
            </w:pPr>
            <w:r>
              <w:t xml:space="preserve">6 мес</w:t>
            </w:r>
          </w:p>
        </w:tc>
        <w:tc>
          <w:tcPr/>
          <w:p>
            <w:pPr>
              <w:pStyle w:val="Compact"/>
            </w:pPr>
            <w:r>
              <w:t xml:space="preserve">12 мес</w:t>
            </w:r>
          </w:p>
        </w:tc>
        <w:tc>
          <w:tcPr/>
          <w:p>
            <w:pPr>
              <w:pStyle w:val="Compact"/>
            </w:pPr>
            <w:r>
              <w:t xml:space="preserve">24 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14%</w:t>
            </w:r>
          </w:p>
        </w:tc>
        <w:tc>
          <w:tcPr/>
          <w:p>
            <w:pPr>
              <w:pStyle w:val="Compact"/>
            </w:pPr>
            <w:r>
              <w:t xml:space="preserve">+0,4%</w:t>
            </w:r>
          </w:p>
        </w:tc>
        <w:tc>
          <w:tcPr/>
          <w:p>
            <w:pPr>
              <w:pStyle w:val="Compact"/>
            </w:pPr>
            <w:r>
              <w:t xml:space="preserve">+12,2%</w:t>
            </w:r>
          </w:p>
        </w:tc>
        <w:tc>
          <w:tcPr/>
          <w:p>
            <w:pPr>
              <w:pStyle w:val="Compact"/>
            </w:pPr>
            <w:r>
              <w:t xml:space="preserve">+39,4%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Снижение до 10% за 12 мес</w:t>
            </w:r>
          </w:p>
        </w:tc>
        <w:tc>
          <w:tcPr/>
          <w:p>
            <w:pPr>
              <w:pStyle w:val="Compact"/>
            </w:pPr>
            <w:r>
              <w:t xml:space="preserve">+8,9%</w:t>
            </w:r>
          </w:p>
        </w:tc>
        <w:tc>
          <w:tcPr/>
          <w:p>
            <w:pPr>
              <w:pStyle w:val="Compact"/>
            </w:pPr>
            <w:r>
              <w:t xml:space="preserve">+31,8%</w:t>
            </w:r>
          </w:p>
        </w:tc>
        <w:tc>
          <w:tcPr/>
          <w:p>
            <w:pPr>
              <w:pStyle w:val="Compact"/>
            </w:pPr>
            <w:r>
              <w:t xml:space="preserve">+63,6%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Снижение до 8% за 24 мес</w:t>
            </w:r>
          </w:p>
        </w:tc>
        <w:tc>
          <w:tcPr/>
          <w:p>
            <w:pPr>
              <w:pStyle w:val="Compact"/>
            </w:pPr>
            <w:r>
              <w:t xml:space="preserve">+6,7%</w:t>
            </w:r>
          </w:p>
        </w:tc>
        <w:tc>
          <w:tcPr/>
          <w:p>
            <w:pPr>
              <w:pStyle w:val="Compact"/>
            </w:pPr>
            <w:r>
              <w:t xml:space="preserve">+26,6%</w:t>
            </w:r>
          </w:p>
        </w:tc>
        <w:tc>
          <w:tcPr/>
          <w:p>
            <w:pPr>
              <w:pStyle w:val="Compact"/>
            </w:pPr>
            <w:r>
              <w:t xml:space="preserve">+77,3%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Повышение до 16% за 6 мес</w:t>
            </w:r>
          </w:p>
        </w:tc>
        <w:tc>
          <w:tcPr/>
          <w:p>
            <w:pPr>
              <w:pStyle w:val="Compact"/>
            </w:pPr>
            <w:r>
              <w:t xml:space="preserve">−7,5%</w:t>
            </w:r>
          </w:p>
        </w:tc>
        <w:tc>
          <w:tcPr/>
          <w:p>
            <w:pPr>
              <w:pStyle w:val="Compact"/>
            </w:pPr>
            <w:r>
              <w:t xml:space="preserve">+3,6%</w:t>
            </w:r>
          </w:p>
        </w:tc>
        <w:tc>
          <w:tcPr/>
          <w:p>
            <w:pPr>
              <w:pStyle w:val="Compact"/>
            </w:pPr>
            <w:r>
              <w:t xml:space="preserve">+28,7%</w:t>
            </w:r>
          </w:p>
        </w:tc>
      </w:tr>
    </w:tbl>
    <w:p>
      <w:pPr>
        <w:pStyle w:val="BodyText"/>
      </w:pPr>
      <w:r>
        <w:rPr>
          <w:b/>
          <w:bCs/>
        </w:rPr>
        <w:t xml:space="preserve">Эти числа надо читать как относительные отклонения, а не как прогноз уровня.</w:t>
      </w:r>
      <w:r>
        <w:t xml:space="preserve"> </w:t>
      </w:r>
      <w:r>
        <w:t xml:space="preserve">Даже при удержании ставки модель даёт +39% за два года — это экстраполяция</w:t>
      </w:r>
      <w:r>
        <w:t xml:space="preserve"> </w:t>
      </w:r>
      <w:r>
        <w:t xml:space="preserve">восстановительного тренда 2026 года, а не экономическое ожидание. Разница между</w:t>
      </w:r>
      <w:r>
        <w:t xml:space="preserve"> </w:t>
      </w:r>
      <w:r>
        <w:t xml:space="preserve">траекториями содержательна: смягчение на 4 п.п. добавляет к выдаче около 20 п.п.</w:t>
      </w:r>
      <w:r>
        <w:t xml:space="preserve"> </w:t>
      </w:r>
      <w:r>
        <w:t xml:space="preserve">накопленного роста за год, ужесточение на 2 п.п. отнимает примерно столько же на</w:t>
      </w:r>
      <w:r>
        <w:t xml:space="preserve"> </w:t>
      </w:r>
      <w:r>
        <w:t xml:space="preserve">коротком горизонте. Но абсолютный уровень модель не задаёт, и накладывать её нужно</w:t>
      </w:r>
      <w:r>
        <w:t xml:space="preserve"> </w:t>
      </w:r>
      <w:r>
        <w:t xml:space="preserve">на внешний сценарий, а не использовать вместо него.</w:t>
      </w:r>
    </w:p>
    <w:p>
      <w:pPr>
        <w:pStyle w:val="BodyText"/>
      </w:pPr>
      <w:r>
        <w:rPr>
          <w:b/>
          <w:bCs/>
        </w:rPr>
        <w:t xml:space="preserve">Чего модель не знает — и это главное.</w:t>
      </w:r>
      <w:r>
        <w:t xml:space="preserve"> </w:t>
      </w:r>
      <w:r>
        <w:t xml:space="preserve">В данных нет реформы 01.10.2026: последний</w:t>
      </w:r>
      <w:r>
        <w:t xml:space="preserve"> </w:t>
      </w:r>
      <w:r>
        <w:t xml:space="preserve">месяц выборки — июнь, льготные программы ещё действуют в прежнем виде. Поэтому</w:t>
      </w:r>
      <w:r>
        <w:t xml:space="preserve"> </w:t>
      </w:r>
      <w:r>
        <w:t xml:space="preserve">статистическая модель не может предсказать эффект реформы — она его не видит.</w:t>
      </w:r>
      <w:r>
        <w:t xml:space="preserve"> </w:t>
      </w:r>
      <w:r>
        <w:t xml:space="preserve">Совмещение двух слоёв и есть рабочий путь: структурный слой даёт сдвиг уровня</w:t>
      </w:r>
      <w:r>
        <w:t xml:space="preserve"> </w:t>
      </w:r>
      <w:r>
        <w:t xml:space="preserve">(зафиксированный прогноз по реформе: от −12,1% до −25,2% в зависимости от сценария),</w:t>
      </w:r>
      <w:r>
        <w:t xml:space="preserve"> </w:t>
      </w:r>
      <w:r>
        <w:t xml:space="preserve">статистическая модель даёт реакцию системы на траекторию ставки. Складывать их надо</w:t>
      </w:r>
      <w:r>
        <w:t xml:space="preserve"> </w:t>
      </w:r>
      <w:r>
        <w:t xml:space="preserve">как сдвиг уровня плюс отклонение по ставке, а не как две независимые оценки.</w:t>
      </w:r>
    </w:p>
    <w:bookmarkEnd w:id="13"/>
    <w:bookmarkStart w:id="14" w:name="что-не-сработало"/>
    <w:p>
      <w:pPr>
        <w:pStyle w:val="Heading1"/>
      </w:pPr>
      <w:r>
        <w:t xml:space="preserve">6. Что не сработало</w:t>
      </w:r>
    </w:p>
    <w:p>
      <w:pPr>
        <w:pStyle w:val="Compact"/>
        <w:numPr>
          <w:ilvl w:val="0"/>
          <w:numId w:val="1001"/>
        </w:numPr>
      </w:pPr>
      <w:r>
        <w:t xml:space="preserve">Шестипеременная система с рангом 2 хуже наивного прогноза на обоих окнах</w:t>
      </w:r>
      <w:r>
        <w:t xml:space="preserve"> </w:t>
      </w:r>
      <w:r>
        <w:t xml:space="preserve">(0,186 и 0,200 против 0,178 и 0,106) — при 89 наблюдениях и шести переменных</w:t>
      </w:r>
      <w:r>
        <w:t xml:space="preserve"> </w:t>
      </w:r>
      <w:r>
        <w:t xml:space="preserve">теряются степени свободы, а второй вектор вырожден.</w:t>
      </w:r>
    </w:p>
    <w:p>
      <w:pPr>
        <w:pStyle w:val="Compact"/>
        <w:numPr>
          <w:ilvl w:val="0"/>
          <w:numId w:val="1001"/>
        </w:numPr>
      </w:pPr>
      <w:r>
        <w:t xml:space="preserve">Реальная зарплата оказалась непригодной как отдельная переменная: она коллинеарна</w:t>
      </w:r>
      <w:r>
        <w:t xml:space="preserve"> </w:t>
      </w:r>
      <w:r>
        <w:t xml:space="preserve">реальным вкладам (оба ряда — трендовые функции одного дохода), и включение её</w:t>
      </w:r>
      <w:r>
        <w:t xml:space="preserve"> </w:t>
      </w:r>
      <w:r>
        <w:t xml:space="preserve">в систему ухудшает прогноз выдач. Исключена из победившей спецификации.</w:t>
      </w:r>
    </w:p>
    <w:p>
      <w:pPr>
        <w:pStyle w:val="Compact"/>
        <w:numPr>
          <w:ilvl w:val="0"/>
          <w:numId w:val="1001"/>
        </w:numPr>
      </w:pPr>
      <w:r>
        <w:t xml:space="preserve">Отклики уровня в VECM неинтерпретируемы; для интерпретации пришлось перейти</w:t>
      </w:r>
      <w:r>
        <w:t xml:space="preserve"> </w:t>
      </w:r>
      <w:r>
        <w:t xml:space="preserve">к разностной VAR.</w:t>
      </w:r>
    </w:p>
    <w:bookmarkEnd w:id="14"/>
    <w:bookmarkStart w:id="15" w:name="ограничения"/>
    <w:p>
      <w:pPr>
        <w:pStyle w:val="Heading1"/>
      </w:pPr>
      <w:r>
        <w:t xml:space="preserve">7. Ограничения</w:t>
      </w:r>
    </w:p>
    <w:p>
      <w:pPr>
        <w:pStyle w:val="FirstParagraph"/>
      </w:pPr>
      <w:r>
        <w:t xml:space="preserve">Выборка 89 месяцев с тремя крупными сдвигами внутри (2020, 2022, закрытие программы</w:t>
      </w:r>
      <w:r>
        <w:t xml:space="preserve"> </w:t>
      </w:r>
      <w:r>
        <w:t xml:space="preserve">2024) — дамми снимают средний сдвиг, но не меняют коэффициенты; тесты на структурный</w:t>
      </w:r>
      <w:r>
        <w:t xml:space="preserve"> </w:t>
      </w:r>
      <w:r>
        <w:t xml:space="preserve">сдвиг коэффициентов не проводились. Ставка по ИЖК доступна лишь с декабря 2017, что</w:t>
      </w:r>
      <w:r>
        <w:t xml:space="preserve"> </w:t>
      </w:r>
      <w:r>
        <w:t xml:space="preserve">и задаёт горизонт; более длинная история есть только по задолженности (с 2009), и</w:t>
      </w:r>
      <w:r>
        <w:t xml:space="preserve"> </w:t>
      </w:r>
      <w:r>
        <w:t xml:space="preserve">расширить выборку можно ценой перехода от потока выдач к запасу долга. Цены жилья в</w:t>
      </w:r>
      <w:r>
        <w:t xml:space="preserve"> </w:t>
      </w:r>
      <w:r>
        <w:t xml:space="preserve">национальном разрезе помесячно в базе отсутствуют, поэтому ценовой канал в систему</w:t>
      </w:r>
      <w:r>
        <w:t xml:space="preserve"> </w:t>
      </w:r>
      <w:r>
        <w:t xml:space="preserve">не включён — это следующий по важности пробел после сбережений.</w:t>
      </w:r>
    </w:p>
    <w:bookmarkEnd w:id="15"/>
    <w:bookmarkStart w:id="16" w:name="что-дальше"/>
    <w:p>
      <w:pPr>
        <w:pStyle w:val="Heading1"/>
      </w:pPr>
      <w:r>
        <w:t xml:space="preserve">8. Что дальше</w:t>
      </w:r>
    </w:p>
    <w:p>
      <w:pPr>
        <w:pStyle w:val="FirstParagraph"/>
      </w:pPr>
      <w:r>
        <w:t xml:space="preserve">Первый приоритет — ценовой блок: национальный месячный индекс цен на жильё (Росстат</w:t>
      </w:r>
      <w:r>
        <w:t xml:space="preserve"> </w:t>
      </w:r>
      <w:r>
        <w:t xml:space="preserve">квартально, можно развернуть в месячный через MIDAS) и его место в коинтегрирующем</w:t>
      </w:r>
      <w:r>
        <w:t xml:space="preserve"> </w:t>
      </w:r>
      <w:r>
        <w:t xml:space="preserve">векторе. Второй — сбережения отдельным блоком (доля сбережений в доходах, а не ряд</w:t>
      </w:r>
      <w:r>
        <w:t xml:space="preserve"> </w:t>
      </w:r>
      <w:r>
        <w:t xml:space="preserve">уровня), иначе канал альтернативной стоимости так и останется неидентифицируемым.</w:t>
      </w:r>
      <w:r>
        <w:t xml:space="preserve"> </w:t>
      </w:r>
      <w:r>
        <w:t xml:space="preserve">Третий — совмещение со структурным прогнозом по реформе: реформа входит как сдвиг</w:t>
      </w:r>
      <w:r>
        <w:t xml:space="preserve"> </w:t>
      </w:r>
      <w:r>
        <w:t xml:space="preserve">уровня, а модель даёт динамику. Четвёртый — недельные данные ДОМ.РФ через MIDAS для</w:t>
      </w:r>
      <w:r>
        <w:t xml:space="preserve"> </w:t>
      </w:r>
      <w:r>
        <w:t xml:space="preserve">nowcast первых месяцев после 01.10.2026, когда месячные данные ещё не вышли.</w:t>
      </w:r>
    </w:p>
    <w:p>
      <w:pPr>
        <w:pStyle w:val="BodyText"/>
      </w:pPr>
      <w:r>
        <w:t xml:space="preserve">Артефакты:</w:t>
      </w:r>
      <w:r>
        <w:t xml:space="preserve"> </w:t>
      </w:r>
      <w:r>
        <w:rPr>
          <w:rStyle w:val="VerbatimChar"/>
        </w:rPr>
        <w:t xml:space="preserve">data/national_vecm_panel.csv</w:t>
      </w:r>
      <w:r>
        <w:t xml:space="preserve"> </w:t>
      </w:r>
      <w:r>
        <w:t xml:space="preserve">(панель),</w:t>
      </w:r>
      <w:r>
        <w:t xml:space="preserve"> </w:t>
      </w:r>
      <w:r>
        <w:rPr>
          <w:rStyle w:val="VerbatimChar"/>
        </w:rPr>
        <w:t xml:space="preserve">data/national_vecm_specs.json</w:t>
      </w:r>
      <w:r>
        <w:t xml:space="preserve"> </w:t>
      </w:r>
      <w:r>
        <w:t xml:space="preserve">(сравнение спецификаций),</w:t>
      </w:r>
      <w:r>
        <w:t xml:space="preserve"> </w:t>
      </w:r>
      <w:r>
        <w:rPr>
          <w:rStyle w:val="VerbatimChar"/>
        </w:rPr>
        <w:t xml:space="preserve">data/national_vecm_final.json</w:t>
      </w:r>
      <w:r>
        <w:t xml:space="preserve"> </w:t>
      </w:r>
      <w:r>
        <w:t xml:space="preserve">(коэффициенты, отклики,</w:t>
      </w:r>
      <w:r>
        <w:t xml:space="preserve"> </w:t>
      </w:r>
      <w:r>
        <w:t xml:space="preserve">сценарии),</w:t>
      </w:r>
      <w:r>
        <w:t xml:space="preserve"> </w:t>
      </w:r>
      <w:r>
        <w:rPr>
          <w:rStyle w:val="VerbatimChar"/>
        </w:rPr>
        <w:t xml:space="preserve">data/national_vecm_final.png</w:t>
      </w:r>
      <w:r>
        <w:t xml:space="preserve"> </w:t>
      </w:r>
      <w:r>
        <w:t xml:space="preserve">(график откликов); скрипты —</w:t>
      </w:r>
      <w:r>
        <w:t xml:space="preserve"> </w:t>
      </w:r>
      <w:r>
        <w:rPr>
          <w:rStyle w:val="VerbatimChar"/>
        </w:rPr>
        <w:t xml:space="preserve">scripts/build_national_vecm_panel.py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scripts/national_vecm_specs.py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scripts/national_vecm_final.py</w:t>
      </w:r>
      <w:r>
        <w:t xml:space="preserve">.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Первый VECM: спрос на жильё, доходы, сбережения и ставки (национальный уровень)</dc:title>
  <dc:creator/>
  <cp:keywords/>
  <dcterms:created xsi:type="dcterms:W3CDTF">2026-10-02T11:23:28Z</dcterms:created>
  <dcterms:modified xsi:type="dcterms:W3CDTF">2026-10-02T11:23:28Z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2026-10-02</vt:lpwstr>
  </property>
  <property fmtid="{D5CDD505-2E9C-101B-9397-08002B2CF9AE}" pid="3" name="status">
    <vt:lpwstr>draft</vt:lpwstr>
  </property>
  <property fmtid="{D5CDD505-2E9C-101B-9397-08002B2CF9AE}" pid="4" name="tags">
    <vt:lpwstr/>
  </property>
  <property fmtid="{D5CDD505-2E9C-101B-9397-08002B2CF9AE}" pid="5" name="type">
    <vt:lpwstr>results</vt:lpwstr>
  </property>
</Properties>
</file>