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Справка. Международная практика использования новостных индексов и тональной разметки в надзорном процессе</w:t>
      </w:r>
    </w:p>
    <w:p>
      <w:r>
        <w:t>Справка подготовлена для обсуждения на совместном ВКС с департаментом, разрабатывающим проект новостного индекса. Документ содержит описание конкретных кейсов внедрения новостных сентимент-индексов и технологий SupTech (supervisory technology — надзорная технология, применение инновационных технологий финансовыми надзорными органами) в практике центральных банков и надзорных ведомств разных стран, с библиографическими ссылками на первоисточники.</w:t>
      </w:r>
    </w:p>
    <w:p>
      <w:pPr>
        <w:pStyle w:val="Heading2"/>
      </w:pPr>
      <w:r>
        <w:t>1. КЕЙСЫ НАДЗОРНОГО ПРИМЕНЕНИЯ</w:t>
      </w:r>
    </w:p>
    <w:p>
      <w:pPr>
        <w:pStyle w:val="Heading3"/>
      </w:pPr>
      <w:r>
        <w:t>1.1. Монетарное ведомство Сингапура (MAS): новостной дашборд кредитного риска и Project Ellipse</w:t>
      </w:r>
    </w:p>
    <w:p>
      <w:r>
        <w:t>Монетарное ведомство Сингапура (MAS — Monetary Authority of Singapore) — один из наиболее продвинутых пользователей SupTech. В обзоре Совета по финансовой стабильности (FSB — Financial Stability Board) 2020 года MAS фигурирует в нескольких кейсах: новостной, аналитический и рейтинговый мониторинг сводится на едином дашборде кредитного риска, с автоматической обработкой нескольких языков [1, Case studies 12, 17, 18, 19, 28]. Важная деталь: MAS явно учитывает, что тональность новостей различается по юрисдикциям, поэтому инструмент способен собирать и анализировать новости на разных языках и агрегировать результаты на единый экран [1].</w:t>
      </w:r>
    </w:p>
    <w:p>
      <w:r>
        <w:t>В 2021–2022 годах BIS Innovation Hub и MAS совместно разработали прототип Project Ellipse — интегрированную платформу надзорных данных и аналитики, объединяющую структурированные отчётные данные с неструктурированными (новости, статьи). Платформа применяет машинное обучение и обработку естественного языка (NLP — natural language processing) для анализа тональности и корреляций рисков, обеспечивая надзорных сотрудников индикаторами раннего предупреждения в реальном времени [2, 3]. MAS адаптирует прототип для собственных надзорных нужд; код опубликован на BIS Open Tech как общественное благо [3].</w:t>
      </w:r>
    </w:p>
    <w:p>
      <w:pPr>
        <w:pStyle w:val="Heading3"/>
      </w:pPr>
      <w:r>
        <w:t>1.2. Банк Франции и ACPR: проект J-VEILLE</w:t>
      </w:r>
    </w:p>
    <w:p>
      <w:r>
        <w:t>Банк Франции и надзорный орган ACPR (Autorité de contrôle prudentiel et de résolution) разработали систему J-VEILLE для автоматизированного разбора судебных решений. Надзорное ведомство ежегодно получает лишь 7 000 публичных жалоб о недобросовестных практиках финансовых институтов, тогда как суды выносят около 100 000 решений в год, затрагивающих поднадзорные организации. J-VEILLE извлекает релевантную информацию из судебных решений с помощью NLP-алгоритма и вспомогательных источников (надзорный список организаций, правовые ресурсы), что позволяет надзору видеть полную картину, а не только публичную часть [1, Case study 22]. Проект входит в семейство «Augmented supervisor» (J-VEILLE, ISITEXT, DIXIT, KARTODOC, SAM) [1].</w:t>
      </w:r>
    </w:p>
    <w:p>
      <w:pPr>
        <w:pStyle w:val="Heading3"/>
      </w:pPr>
      <w:r>
        <w:t>1.3. Банк Англии и PRA: извлечение данных из неструктурированных текстов</w:t>
      </w:r>
    </w:p>
    <w:p>
      <w:r>
        <w:t>Пруденциальный надзорный орган Банка Англии (PRA — Prudential Regulation Authority) работает с огромным объёмом текстовой отчётности: только крупнейшие финансовые институты еженедельно направляют более 1,7 млн слов управленческой информации (MI — management information). PRA применяет технологии извлечения данных из неструктурированных текстов для проверки и анализа этой отчётности [1, Case study 21]. Также PRA выступал партнёром Project Ellipse совместно с BIS и MAS [2].</w:t>
      </w:r>
    </w:p>
    <w:p>
      <w:pPr>
        <w:pStyle w:val="Heading3"/>
      </w:pPr>
      <w:r>
        <w:t>1.4. Европейский центральный банк (ЕЦБ): система раннего предупреждения для менее значимых институтов</w:t>
      </w:r>
    </w:p>
    <w:p>
      <w:r>
        <w:t>ЕЦБ отвечает за надзорный надзор более чем за 2 400 менее значимых институтов (LSI — Less Significant Institutions) в странах Единого надзорного механизма (SSM — Single Supervisory Mechanism). Для приоритизации надзорных усилий ЕЦБ разработал систему раннего предупреждения (EWS — Early Warning System), использующую машинное обучение с учителем на основе квартальных надзорных данных (COREP, FINREP), банковских переменных и макроэкономических индикаторов [1, Case study 3]. ЕЦБ также развивает платформу Virtual Lab — цифровую инфраструктуру для удалённого сотрудничества надзорных органов [1].</w:t>
      </w:r>
    </w:p>
    <w:p>
      <w:pPr>
        <w:pStyle w:val="Heading3"/>
      </w:pPr>
      <w:r>
        <w:t>1.5. Банк Нидерландов (DNB): дашборд рисков COVID-19</w:t>
      </w:r>
    </w:p>
    <w:p>
      <w:r>
        <w:t>Банк Нидерландов (DNB — De Nederlandsche Bank) разработал интерактивный дашборд SAS-VA для мониторинга рисков, связанных с пандемией COVID-19, на уровне отдельных секторов и регионов. Дашборд визуализирует кредитный риск и воздействие экономического шока на занятость по регионам [1, Case study 27].</w:t>
      </w:r>
    </w:p>
    <w:p>
      <w:pPr>
        <w:pStyle w:val="Heading3"/>
      </w:pPr>
      <w:r>
        <w:t>1.6. Банк Испании (BdE): пилот зелёной экономики и SupTech-стратегия</w:t>
      </w:r>
    </w:p>
    <w:p>
      <w:r>
        <w:t>Банк Испании (BdE — Banco de España) запустил пилот в 2019 году для анализа внутренней зелёной экономики с помощью текстовых технологий [1, Case study 20]. По оценке BIS, BdE имеет одну из наиболее продвинутых SupTech-стратегий среди надзорных органов, с явной дорожной картой, поддержкой руководства и координацией между надзорным и цифровым подразделениями [4]. Основной фокус — кредитный риск на основе гранулярных данных CIRBE.</w:t>
      </w:r>
    </w:p>
    <w:p>
      <w:pPr>
        <w:pStyle w:val="Heading2"/>
      </w:pPr>
      <w:r>
        <w:t>2. ИНДЕКСЫ НЕОПРЕДЕЛЁННОСТИ И НОВОСТНОЙ СЕНТИМЕНТ: МЕТОДОЛОГИЧЕСКАЯ ОСНОВА</w:t>
      </w:r>
    </w:p>
    <w:p>
      <w:pPr>
        <w:pStyle w:val="Heading3"/>
      </w:pPr>
      <w:r>
        <w:t>2.1. Индекс экономической политической неопределённости (EPU)</w:t>
      </w:r>
    </w:p>
    <w:p>
      <w:r>
        <w:t>Бейкер, Блум и Дэвис (Baker, Bloom, Davis) разработали индекс экономической политической неопределённости (EPU — Economic Policy Uncertainty), основанный на частоте упоминаний в газетах терминов, связанных с экономикой, политикой и неопределённостью. Индекс строится для США и более чем 20 других стран. Метод: отбор статей из крупных газет по тройному критерию (экономика И политика И неопределённость), нормировка доли таких статей к общему объёму потока [5]. Этот метод стал стандартом де-факто для построения отраслевых и страновых индексов неопределённости.</w:t>
      </w:r>
    </w:p>
    <w:p>
      <w:pPr>
        <w:pStyle w:val="Heading3"/>
      </w:pPr>
      <w:r>
        <w:t>2.2. Всемирный индекс неопределённости (WUI)</w:t>
      </w:r>
    </w:p>
    <w:p>
      <w:r>
        <w:t>Ахир, Блум и Ферчери (Ahir, Bloom, Furceri) построили Всемирный индекс неопределённости (WUI — World Uncertainty Index) для 143 стран на квартальной основе с 1952 года. Источник — отчёт EIU (Economist Intelligence Unit) Country Report, частота упоминаний слова «uncertainty» в контексте каждой страны [6]. Индекс позволяет сравнивать уровни неопределённости между странами и во времени.</w:t>
      </w:r>
    </w:p>
    <w:p>
      <w:pPr>
        <w:pStyle w:val="Heading3"/>
      </w:pPr>
      <w:r>
        <w:t>2.3. Индекс неопределённости регуляторной политики на рынке жилья (REPU)</w:t>
      </w:r>
    </w:p>
    <w:p>
      <w:r>
        <w:t>Чэн, Мо, Тан и Ли (Chen, Mo, Tang, Li) предложили индекс неопределённости регуляторной политики на рынке недвижимости (REPU — Real Estate Policy Uncertainty) для Китая. Метод: из новостного корпуса отбираются статьи, одновременно содержащие ключевые слова по жилью (housing, mortgage, real estate), политике и регулированию (policy, regulation, decree, subsidy, ban) и неопределённости (uncertainty, uncertain, unstable, volatile, unpredictable). Доля таких статей в общем потоке образует месячный индекс. Векторная авторегрессия показывает, что рост REPU предвещает снижение темпов роста инвестиций в жилищное строительство, площади продаж и добавленной стоимости отрасли недвижимости [7]. Методология REPU послужила основой для построенного нами российского аналога (REPU-РФ) через GDELT DOC API.</w:t>
      </w:r>
    </w:p>
    <w:p>
      <w:pPr>
        <w:pStyle w:val="Heading3"/>
      </w:pPr>
      <w:r>
        <w:t>2.4. Ежедневный новостной сентимент-индекс ФРБ Сан-Франциско</w:t>
      </w:r>
    </w:p>
    <w:p>
      <w:r>
        <w:t>Федеральный резервный банк Сан-Франциско с 2020 года публикует открытый ежедневный индекс экономического настроения на основе словарной разметки новостей. Схема: 24 крупные американские газеты (через агрегатор Factiva), отбор статей о теме «экономика» длиной от 200 слов, оценка статьи по словарю с новостной поправкой, агрегирование по дням с поправкой на изменение состава корпуса и сглаживанием взвешенным средним. Словари, программный код и ряды опубликованы открыто [8, 9]. Индекс опережает опросные меры потребительского настроения и коррелирует с макроэкономическими переменными (занятость, промышленное производство, инфляция) [9].</w:t>
      </w:r>
    </w:p>
    <w:p>
      <w:pPr>
        <w:pStyle w:val="Heading2"/>
      </w:pPr>
      <w:r>
        <w:t>3. КЛАССИФИКАЦИЯ КОММУНИКАЦИЙ ЦЕНТРАЛЬНЫХ БАНКОВ</w:t>
      </w:r>
    </w:p>
    <w:p>
      <w:pPr>
        <w:pStyle w:val="Heading3"/>
      </w:pPr>
      <w:r>
        <w:t>3.1. Масштабное исследование МВФ: 74 882 документа, 169 центральных банков</w:t>
      </w:r>
    </w:p>
    <w:p>
      <w:r>
        <w:t>Силва, Мория и Вейрюн (Silva, Moriya, Veyrune) из МВФ обработали 74 882 документа (около 21 миллиона предложений) от 169 центральных банков за период с 1884 по 2025 год. Метод: дообучение открытой языковой модели на центрально-банковских текстах, классификация на уровне предложения по четырём измерениям — тема, позиция, сентимент, аудитория. Предложены четыре метрики: баланс «ястребиных» и «голубиных» формулировок (Net Policy Sentiment), индекс прямолинейности, индекс объяснительности, баланс уверенности с обозначением рисков (Net Confidence). Найдено, что прямолинейная коммуникация предсказывает будущие движения рыночных ставок, а опережающая коммуникация рисков предсказывает будущую волатильность рынков [10].</w:t>
      </w:r>
    </w:p>
    <w:p>
      <w:pPr>
        <w:pStyle w:val="Heading3"/>
      </w:pPr>
      <w:r>
        <w:t>3.2. CentralBankRoBERTa: дообученная модель для центрально-банковских текстов</w:t>
      </w:r>
    </w:p>
    <w:p>
      <w:r>
        <w:t>Пфайфер и Мароль (Pfeifer, Marohl) создали CentralBankRoBERTa — языковую модель на базе RoBERTa, дообученную на корпусе центрально- банковских коммуникаций. Модель решает две задачи: классификация экономических агентов (пять макроэкономических ролей) и бинарная сентимент-классификация (ястребиный — голубиный) [11]. Модель открыта и применима как базовый компонент для автоматизированного анализа коммуникаций.</w:t>
      </w:r>
    </w:p>
    <w:p>
      <w:pPr>
        <w:pStyle w:val="Heading3"/>
      </w:pPr>
      <w:r>
        <w:t>3.3. CB-LMs: языковые модели для центрального банкинга (BIS)</w:t>
      </w:r>
    </w:p>
    <w:p>
      <w:r>
        <w:t>Гамбакорта, Квон, Пак, Пателли и Чжу (Gambacorta, Kwon, Park, Patelli, Zhu) из BIS представили CB-LMs (central bank language models) — языковые модели, переобученные на масштабной коллекции центрально-банковских текстов. Исследованы два подхода: дообучение (LoRA — low-rank adaptation) и генерация. Дообучённые компактные модели превосходят zero-shot генеративные модели (включая ChatGPT-3.5) в задачах классификации сентимента, достигая точности выше 85 процентов [12]. Вывод: для надзорных задач дообучение компактной модели эффективнее и дешевле, чем использование больших генеративных моделей.</w:t>
      </w:r>
    </w:p>
    <w:p>
      <w:pPr>
        <w:pStyle w:val="Heading2"/>
      </w:pPr>
      <w:r>
        <w:t>4. ТЕХНОЛОГИЧЕСКАЯ КЛАССИФИКАЦИЯ SupTech</w:t>
      </w:r>
    </w:p>
    <w:p>
      <w:pPr>
        <w:pStyle w:val="Heading3"/>
      </w:pPr>
      <w:r>
        <w:t>4.1. Поколения SupTech по классификации BIS</w:t>
      </w:r>
    </w:p>
    <w:p>
      <w:r>
        <w:t>Ди Кастри, Холь, Куленкампф и Пренио (di Castri, Hohl, Kulenkampff, Prenio) выделили четыре поколения надзорных технологий: первое — ручная обработка данных с описательной аналитикой; второе — цифровая автоматизация отдельных процессов; третье — архитектура больших данных; четвёртое — добавление искусственного интеллекта. SupTech охватывает третье и четвёртое поколения: сбор данных на базе больших данных и аналитика на базе AI/ML [13]. Обзор 39 финансовых ведомств показал, что SupTech-инициативы concentrated в областях анализа недобросовестных практик, отчётности и управления данными; большинство инициатив экспериментальные [13].</w:t>
      </w:r>
    </w:p>
    <w:p>
      <w:pPr>
        <w:pStyle w:val="Heading3"/>
      </w:pPr>
      <w:r>
        <w:t>4.2. Обзор FSB: 61 кейс использования SupTech</w:t>
      </w:r>
    </w:p>
    <w:p>
      <w:r>
        <w:t>Совет по финансовой стабильности в октябре 2020 года опубликовал обзор 61 кейса использования надзорных технологий. Ключевые выводы: AI/ML — наиболее распространённый инструмент; SupTech улучшает надзор, обеспечивая индикаторы риска в реальном времени и прогнозную аналитику; языковая адаптация — главный барьер для неанглоязычных юрисдикций (требуется дообучение или пересоздание решений); интеграция с надзорным процессом важнее алгоритма [1]. Бродерс и Пренио (Broeders, Prenio) ранее заложили таксономию SupTech и описали опыт первых пользователей, подчеркнув необходимость обмена знаниями на глобальном уровне [14].</w:t>
      </w:r>
    </w:p>
    <w:p>
      <w:pPr>
        <w:pStyle w:val="Heading2"/>
      </w:pPr>
      <w:r>
        <w:t>5. СЛОВАРИ И ФИНАНСОВАЯ ТОНАЛЬНОСТЬ</w:t>
      </w:r>
    </w:p>
    <w:p>
      <w:pPr>
        <w:pStyle w:val="Heading3"/>
      </w:pPr>
      <w:r>
        <w:t>5.1. Финансовый словарь Лофран–Макдоналд</w:t>
      </w:r>
    </w:p>
    <w:p>
      <w:r>
        <w:t>Лофран и Макдоналд (Loughran, McDonald) создали финансовый словарь тональности на основе 50 115 годовых отчётов 10-K за 1994–2008 годы. Ключевая находка: почти три четверти слов, отмеченных как негативные в общем словаре Harvard General Inquirer, не являются негативными в финансовом контексте. Разработаны шесть категорий: негативные, позитивные, неопределённости, судебные, сильные модальные, слабые модальные. Словарь открыт и стал стандартом для словарного анализа финансовых текстов [15]. Принципиальный вывод: общий словарь тональности неприменим к финансовому тексту без адаптации — необходим отраслевой словарь.</w:t>
      </w:r>
    </w:p>
    <w:p>
      <w:pPr>
        <w:pStyle w:val="Heading2"/>
      </w:pPr>
      <w:r>
        <w:t>6. РЕЛЕВАНТНОСТЬ ДЛЯ ПРОЕКТА НОВОСТНОГО ИНДЕКСА</w:t>
      </w:r>
    </w:p>
    <w:p>
      <w:r>
        <w:t>Приведённые кейсы дают несколько прямых уроков для проекта:</w:t>
      </w:r>
    </w:p>
    <w:p>
      <w:pPr>
        <w:pStyle w:val="ListBullet"/>
      </w:pPr>
      <w:r>
        <w:rPr>
          <w:b/>
        </w:rPr>
        <w:t>Многоязычность как ключевое требование.</w:t>
      </w:r>
      <w:r>
        <w:t xml:space="preserve"> MAS явно фиксирует</w:t>
      </w:r>
    </w:p>
    <w:p>
      <w:r>
        <w:t>необходимость обработки новостей на разных языках и агрегации на единый экран [1]. Для российского проекта это означает: словарь или модель должны работать с русскоязычным корпусом напрямую, а не через перевод.</w:t>
      </w:r>
    </w:p>
    <w:p>
      <w:pPr>
        <w:pStyle w:val="ListBullet"/>
      </w:pPr>
      <w:r>
        <w:rPr>
          <w:b/>
        </w:rPr>
        <w:t>Интеграция важнее алгоритма.</w:t>
      </w:r>
      <w:r>
        <w:t xml:space="preserve"> Все реализованные кейсы (MAS, ACPR,</w:t>
      </w:r>
    </w:p>
    <w:p>
      <w:r>
        <w:t>PRA, ЕЦБ) встраивают новостной сентимент в более широкий надзорный дашборд с количественными данными по институции. Новостной индекс — компонент, а не самостоятельный инструмент [1, 2].</w:t>
      </w:r>
    </w:p>
    <w:p>
      <w:pPr>
        <w:pStyle w:val="ListBullet"/>
      </w:pPr>
      <w:r>
        <w:rPr>
          <w:b/>
        </w:rPr>
        <w:t>Каскадная методология.</w:t>
      </w:r>
      <w:r>
        <w:t xml:space="preserve"> МВФ [10] и BIS [12] подтверждают: каскад</w:t>
      </w:r>
    </w:p>
    <w:p>
      <w:r>
        <w:t>«словарь → языковая модель размечает выборку → дообучение компактного трансформера → локальный расчёт» — рабочий подход, превосходящий прямую генерацию большой моделью по точности и воспроизводимости при меньшей стоимости.</w:t>
      </w:r>
    </w:p>
    <w:p>
      <w:pPr>
        <w:pStyle w:val="ListBullet"/>
      </w:pPr>
      <w:r>
        <w:rPr>
          <w:b/>
        </w:rPr>
        <w:t>Событийная валидация.</w:t>
      </w:r>
      <w:r>
        <w:t xml:space="preserve"> Индекс REPU валидирован по датам крупных</w:t>
      </w:r>
    </w:p>
    <w:p>
      <w:r>
        <w:t>регуляторных решений [7]; аналогичный подход применим к российскому рынку (пик REPU-РФ в июле 2024 — закрытие массовой льготной ипотеки).</w:t>
      </w:r>
    </w:p>
    <w:p>
      <w:pPr>
        <w:pStyle w:val="ListBullet"/>
      </w:pPr>
      <w:r>
        <w:rPr>
          <w:b/>
        </w:rPr>
        <w:t>Открытые ресурсы.</w:t>
      </w:r>
      <w:r>
        <w:t xml:space="preserve"> Словарь Лофран–Макдоналд [15], код ФРБ</w:t>
      </w:r>
    </w:p>
    <w:p>
      <w:r>
        <w:t>Сан-Франциско [8], CentralBankRoBERTa [11], прототип Project Ellipse [2] — открыты и доступны для адаптации.</w:t>
      </w:r>
    </w:p>
    <w:p>
      <w:pPr>
        <w:pStyle w:val="Heading2"/>
      </w:pPr>
      <w:r>
        <w:t>ИСТОЧНИКИ</w:t>
      </w:r>
    </w:p>
    <w:p>
      <w:r>
        <w:t>1. FSB (2020). The Use of Supervisory and Regulatory Technology by Authorities and Regulated Institutions: Market Developments and Financial Stability Implications. Financial Stability Board, 9 October 2020. https://www.fsb.org/uploads/P091020.pdf</w:t>
      </w:r>
    </w:p>
    <w:p>
      <w:r>
        <w:t>2. BIS Innovation Hub, MAS (2022). Project Ellipse: An Integrated Regulatory Data and Analytics Platform. Bank for International Settlements, March 2022. https://bis.org/publications/project-ellipse-integrated-regulatory-data-and-analytics-platform.pdf</w:t>
      </w:r>
    </w:p>
    <w:p>
      <w:r>
        <w:t>3. BIS (2022). BIS Innovation Hub and Monetary Authority of Singapore develop prototype supervisory analytics platform. Press release, 31 March 2022. https://bis.org/press/p220331.htm</w:t>
      </w:r>
    </w:p>
    <w:p>
      <w:r>
        <w:t>4. BIS (2024). Banco de España Evaluation Programme — SupTech Assessment. Banco de España / BIS. https://www.bde.es/f/webbe/INF/MenuHorizontal/SobreElBanco/programa_evaluaciones/Report.pdf</w:t>
      </w:r>
    </w:p>
    <w:p>
      <w:r>
        <w:t>5. Baker, S. R., Bloom, N., Davis, S. J. (2016). Measuring Economic Policy Uncertainty. The Quarterly Journal of Economics, 131(4), 1593–1636. https://academic.oup.com/qje/article-abstract/131/4/1593/2468873 Рабочая версия: https://www.policyuncertainty.com/media/EPU_BBD_Mar2016.pdf</w:t>
      </w:r>
    </w:p>
    <w:p>
      <w:r>
        <w:t>6. Ahir, H., Bloom, N., Furceri, D. (2022). The World Uncertainty Index. NBER Working Paper No. 29763. https://www.nber.org/system/files/working_papers/w29763/w29763.pdf</w:t>
      </w:r>
    </w:p>
    <w:p>
      <w:r>
        <w:t>7. Chen, Y., Mo, D., Tang, S., Li, H. (2023). Measuring Real Estate Policy Uncertainty in China. China Economic Quarterly International, 3(1), 14–23. https://www.sciencedirect.com/science/article/pii/S2666933123000035</w:t>
      </w:r>
    </w:p>
    <w:p>
      <w:r>
        <w:t>8. Federal Reserve Bank of San Francisco (2020). Daily News Sentiment Index. Описание индекса и данные. https://www.frbsf.org/research-and-insights/data-and-indicators/daily-news-sentiment-index/</w:t>
      </w:r>
    </w:p>
    <w:p>
      <w:r>
        <w:t>9. Shapiro, A. H., Sudhof, M., Wilson, D. J. (2020). Measuring News Sentiment. Federal Reserve Bank of San Francisco Working Paper 2017-01 (обновлено 2020). https://www.frbsf.org/wp-content/uploads/wp2017-01.pdf</w:t>
      </w:r>
    </w:p>
    <w:p>
      <w:r>
        <w:t>10. Silva, T. C., Moriya, K., Veyrune, R. M. (2025). From Text to Quantified Insights: A Large-Scale LLM Analysis of Central Bank Communication. IMF Working Paper WP/25/109, June 2025. https://www.imf.org/en/publications/wp/issues/2025/06/06/from-text-to-quantified-insights-a-large-scale-llm-analysis-of-central-bank-communication-567522</w:t>
      </w:r>
    </w:p>
    <w:p>
      <w:r>
        <w:t>11. Pfeifer, M., Marohl, V. P. (2023). CentralBankRoBERTa: A Fine-Tuned Large Language Model for Central Bank Communications. The Journal of Finance and Data Science, 9, 100114. https://www.sciencedirect.com/science/article/pii/S2405918823000302 Код: https://github.com/Moritz-Pfeifer/CentralBankRoBERTa</w:t>
      </w:r>
    </w:p>
    <w:p>
      <w:r>
        <w:t>12. Gambacorta, L., Kwon, B., Park, T., Patelli, P., Zhu, S. (2025). CB-LMs: Language Models for Central Banking. BIS Working Papers No. 1215. https://www.bis.org/publications/working-paper-1215-cb-lms-language-models-central-banking</w:t>
      </w:r>
    </w:p>
    <w:p>
      <w:r>
        <w:t>13. di Castri, S., Hohl, S., Kulenkampff, A., Prenio, J. (2019). The Suptech Generations. FSI Insights on Policy Implementation No. 19, October 2019. Bank for International Settlements. https://www.bis.org/fsi/publ/insights19.pdf</w:t>
      </w:r>
    </w:p>
    <w:p>
      <w:r>
        <w:t>14. Broeders, D., Prenio, J. (2018). Innovative Technology in Financial Supervision (Suptech) — The Experience of Early Users. FSI Insights on Policy Implementation No. 9, July 2018. Bank for International Settlements. https://www.bis.org/fsi/publ/insights9.pdf</w:t>
      </w:r>
    </w:p>
    <w:p>
      <w:r>
        <w:t>15. Loughran, T., McDonald, B. (2011). When Is a Liability Not a Liability? Textual Analysis, Dictionaries, and 10-Ks. The Journal of Finance, 66(1), 35–65. https://onlinelibrary.wiley.com/doi/10.1111/j.1540-6261.2010.01625.x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