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Роль территориальных учреждений Банка России: тезисная справка</w:t>
      </w:r>
    </w:p>
    <w:p>
      <w:r>
        <w:rPr>
          <w:b/>
        </w:rPr>
        <w:t>Адресат:</w:t>
      </w:r>
      <w:r>
        <w:t xml:space="preserve"> руководство Банка России. </w:t>
      </w:r>
      <w:r>
        <w:rPr>
          <w:b/>
        </w:rPr>
        <w:t>Назначение:</w:t>
      </w:r>
      <w:r>
        <w:t xml:space="preserve"> актуализация понимания роли территориальных учреждений (ТУ) и подготовка возможной доработки Положения Банка России от 14.01.2026 № 880-П «О территориальных учреждениях Банка России». </w:t>
      </w:r>
      <w:r>
        <w:rPr>
          <w:b/>
        </w:rPr>
        <w:t>Основание:</w:t>
      </w:r>
      <w:r>
        <w:t xml:space="preserve"> обзор </w:t>
      </w:r>
      <w:r>
        <w:rPr>
          <w:rFonts w:ascii="Consolas" w:hAnsi="Consolas"/>
        </w:rPr>
        <w:t>queries/territorial-presence-central-banks-20261026.md</w:t>
      </w:r>
      <w:r>
        <w:t xml:space="preserve"> (версия 2 от 29.10.2026). </w:t>
      </w:r>
      <w:r>
        <w:rPr>
          <w:b/>
        </w:rPr>
        <w:t>Статус:</w:t>
      </w:r>
      <w:r>
        <w:t xml:space="preserve"> аналитическая записка, авторский синтез; не официальная позиция Банка России и не юридическое заключение. </w:t>
      </w:r>
      <w:r>
        <w:rPr>
          <w:b/>
        </w:rPr>
        <w:t>Как читать:</w:t>
      </w:r>
      <w:r>
        <w:t xml:space="preserve"> для решения достаточно разделов 1, 6 и 7; разделы 2–5 — обоснование, разделы 8–9 — проверка до запуска.</w:t>
      </w:r>
    </w:p>
    <w:p>
      <w:pPr>
        <w:pStyle w:val="Heading2"/>
      </w:pPr>
      <w:r>
        <w:t>1. Главное в девяти тезисах</w:t>
      </w:r>
    </w:p>
    <w:p>
      <w:pPr>
        <w:pStyle w:val="ListNumber"/>
      </w:pPr>
      <w:r>
        <w:rPr>
          <w:b/>
        </w:rPr>
        <w:t>Задачи ТУ в 880-П сформулированы через «участие» и не описывают продукт.</w:t>
      </w:r>
      <w:r>
        <w:t xml:space="preserve"> Пункт 1.4 перечисляет четыре области участия, а раздел 2 раскрывает их как набор функций. Ни одна из норм не устанавливает, что именно ТУ предоставляет органам власти субъектов, в каком формате, в какие сроки и с какой ответственностью. Из-за этого одна и та же работа в разных регионах выглядит по-разному, а её результат не проверяем.</w:t>
      </w:r>
    </w:p>
    <w:p>
      <w:pPr>
        <w:pStyle w:val="ListNumber"/>
      </w:pPr>
      <w:r>
        <w:rPr>
          <w:b/>
        </w:rPr>
        <w:t>Функция «консультирование органов государственной власти» в 880-П отсутствует.</w:t>
      </w:r>
      <w:r>
        <w:t xml:space="preserve"> Слово «консультационная» встречается один раз — в п. 2.13, применительно к поддержке педагогического сообщества. Взаимодействие с органами власти закреплено в пяти местах (п. 1.5, 2.1.6, 2.11, 2.12, 2.13), но как каналы коммуникации, а не как продукт с регламентом.</w:t>
      </w:r>
    </w:p>
    <w:p>
      <w:pPr>
        <w:pStyle w:val="ListNumber"/>
      </w:pPr>
      <w:r>
        <w:rPr>
          <w:b/>
        </w:rPr>
        <w:t>Пять текущих задач ТУ — визуальный контроль финансовых организаций, рассмотрение административных дел, региональный анализ и исследования в целях ДКП, финансовая грамотность, финансовая доступность — покрываются Положением, но с разной степенью детализации.</w:t>
      </w:r>
      <w:r>
        <w:t xml:space="preserve"> Аналитика прописана наиболее подробно (п. 2.1.1–2.1.7, 2.10), надзор и административное производство — через отсылки (п. 2.7, 2.9.5, 2.17.14), финграмотность и доступность — как деятельность с перечнем мероприятий (п. 2.11, 2.13). Термина «визуальный контроль» в тексте Положения нет: это внутреннее или разговорное наименование, требующее сверки с распорядительными актами.</w:t>
      </w:r>
    </w:p>
    <w:p>
      <w:pPr>
        <w:pStyle w:val="ListNumber"/>
      </w:pPr>
      <w:r>
        <w:rPr>
          <w:b/>
        </w:rPr>
        <w:t>В одних и тех же учреждениях совмещены экспертно-коммуникационные и юрисдикционно-надзорные роли.</w:t>
      </w:r>
      <w:r>
        <w:t xml:space="preserve"> Пункты 2.7 (контроль и надзор за эмитентами, включая проверки), 2.9.5 (производство по делам об административных правонарушениях) и 2.17.14 (поддержка принятия надзорных решений) соседствуют с функциями анализа и коммуникаций. Это главный источник риска при любом расширении разъяснительной работы с органами власти.</w:t>
      </w:r>
    </w:p>
    <w:p>
      <w:pPr>
        <w:pStyle w:val="ListNumber"/>
      </w:pPr>
      <w:r>
        <w:rPr>
          <w:b/>
        </w:rPr>
        <w:t>Международный опыт не даёт модели «регионального центра консультаций» в чистом виде.</w:t>
      </w:r>
      <w:r>
        <w:t xml:space="preserve"> Ни один из изученных центральных банков не консультирует региональные власти по финансовым решениям: все держат границу между публичной экспертизой и рекомендацией. Наиболее близкие формы — публичная территориальная экспертиза Banca d'Italia и функция community development Федеральной резервной системы США, где продукт адресован местным сообществам, но не содержит советов по сделкам.</w:t>
      </w:r>
    </w:p>
    <w:p>
      <w:pPr>
        <w:pStyle w:val="ListNumber"/>
      </w:pPr>
      <w:r>
        <w:rPr>
          <w:b/>
        </w:rPr>
        <w:t>Предлагаемое решение — не новое полномочие, а оформление существующего.</w:t>
      </w:r>
      <w:r>
        <w:t xml:space="preserve"> Центр экспертизы для органов власти собирается из п. 1.5, 2.1.6, 2.11, 2.12, 2.13 и требует организационного решения: регламента, выделенной роли, методического владельца и обучения. Изменение закона не требуется; доработка Положения — вопрос точности формулировки, а не расширения мандата.</w:t>
      </w:r>
    </w:p>
    <w:p>
      <w:pPr>
        <w:pStyle w:val="ListNumber"/>
      </w:pPr>
      <w:r>
        <w:rPr>
          <w:b/>
        </w:rPr>
        <w:t>Цена решения невелика, риск — управляем.</w:t>
      </w:r>
      <w:r>
        <w:t xml:space="preserve"> Основные издержки — время сотрудников ТУ и координация с центральным аппаратом. Основные риски — восприятие разъяснения как рекомендации, утечка надзорных сигналов и политизация материалов. Все три закрываются регламентом, информационным барьером и единым стандартом ответа, а не запретом направления.</w:t>
      </w:r>
    </w:p>
    <w:p>
      <w:pPr>
        <w:pStyle w:val="ListNumber"/>
      </w:pPr>
      <w:r>
        <w:rPr>
          <w:b/>
        </w:rPr>
        <w:t>Региональный доклад — сильный сбор наблюдений и слабый аналитический документ.</w:t>
      </w:r>
      <w:r>
        <w:t xml:space="preserve"> Замечание пользователей о том, что он «слишком размытый и не конкретный», подтверждается структурой выпуска № 47 (70 страниц): в нём нет ни резюме, ни выводов, а региональные разделы не цитируют числа из собственной таблицы показателей. Доработка не требует новых данных — требуется формат (раздел 5).</w:t>
      </w:r>
    </w:p>
    <w:p>
      <w:pPr>
        <w:pStyle w:val="ListNumber"/>
      </w:pPr>
      <w:r>
        <w:rPr>
          <w:b/>
        </w:rPr>
        <w:t>Публичная диагностика немонетарных факторов — самая чувствительная часть набора, но у неё есть готовая основа.</w:t>
      </w:r>
      <w:r>
        <w:t xml:space="preserve"> Банк России уже выпускал доклады на эту тему (2017 и 2019 годы), и во втором прямо указано, что анализ региональной специфики немонетарных факторов ведут территориальные учреждения, в том числе для внедрения стандарта развития конкуренции. После 2019 года доклад не обновлялся, а регулярного регионального продукта не появилось. Главный вопрос здесь не методический, а репутационный: как публично называть решения региональных властей фактором инфляции, не выходя за границу «не оцениваем политику органов власти» (раздел 4.7).</w:t>
      </w:r>
    </w:p>
    <w:p>
      <w:pPr>
        <w:pStyle w:val="Heading2"/>
      </w:pPr>
      <w:r>
        <w:t>2. Исходная точка: что закреплено сейчас</w:t>
      </w:r>
    </w:p>
    <w:p>
      <w:r>
        <w:rPr>
          <w:b/>
        </w:rPr>
        <w:t>Задачи ТУ (п. 1.4, дословно):</w:t>
      </w:r>
      <w:r>
        <w:t xml:space="preserve"> «участие в информационно-аналитической поддержке и коммуникациях по денежно-кредитной политике, участие в организации наличного денежного обращения, участие в обеспечении стабильности и развитии национальной платежной системы, а также участие в развитии финансового рынка Российской Федерации в субъекте (субъектах) Российской Федерации».</w:t>
      </w:r>
    </w:p>
    <w:p>
      <w:r>
        <w:rPr>
          <w:b/>
        </w:rPr>
        <w:t>Правовой статус (п. 1.1):</w:t>
      </w:r>
      <w:r>
        <w:t xml:space="preserve"> обособленное подразделение Банка России в единой централизованной системе с вертикальной структурой управления, </w:t>
      </w:r>
      <w:r>
        <w:rPr>
          <w:b/>
        </w:rPr>
        <w:t>без статуса юридического лица</w:t>
      </w:r>
      <w:r>
        <w:t>. Это ограничивает круг документов, которые ТУ может выпускать от своего имени, и распределение ответственности за содержание ответов.</w:t>
      </w:r>
    </w:p>
    <w:p>
      <w:r>
        <w:rPr>
          <w:b/>
        </w:rPr>
        <w:t>Функциональная карта по действующим задачам:</w:t>
      </w:r>
    </w:p>
    <w:p>
      <w:pPr>
        <w:pStyle w:val="ListBullet"/>
      </w:pPr>
      <w:r>
        <w:rPr>
          <w:b/>
        </w:rPr>
        <w:t>региональный анализ и исследования в целях ДКП</w:t>
      </w:r>
      <w:r>
        <w:t xml:space="preserve"> — п. 2.1.1 (сбор и анализ данных о социально-экономических и финансовых условиях территории, тематические исследования), 2.1.2 (моделирование и прогнозирование, материалы к предварительным совещаниям перед заседанием Совета директоров по ключевой ставке), 2.1.3 (мониторинг предприятий, оперативные опросы), 2.1.4 (отраслевой анализ), 2.1.5 (аналитические материалы), 2.1.7 (обследования условий банковского кредитования), 2.10 (статистическая деятельность);</w:t>
      </w:r>
    </w:p>
    <w:p>
      <w:pPr>
        <w:pStyle w:val="ListBullet"/>
      </w:pPr>
      <w:r>
        <w:rPr>
          <w:b/>
        </w:rPr>
        <w:t>визуальный контроль финансовых организаций</w:t>
      </w:r>
      <w:r>
        <w:t xml:space="preserve"> — п. 2.7 (регистрация выпусков, контроль и надзор за эмитентами и участниками корпоративных отношений, включая проверки, если функции не переданы в хаб) и п. 2.17.14 (мероприятия по поддержке принятия надзорных решений);</w:t>
      </w:r>
    </w:p>
    <w:p>
      <w:pPr>
        <w:pStyle w:val="ListBullet"/>
      </w:pPr>
      <w:r>
        <w:rPr>
          <w:b/>
        </w:rPr>
        <w:t>рассмотрение административных дел</w:t>
      </w:r>
      <w:r>
        <w:t xml:space="preserve"> — п. 2.9.5 и ст. 23.74 КоАП РФ;</w:t>
      </w:r>
    </w:p>
    <w:p>
      <w:pPr>
        <w:pStyle w:val="ListBullet"/>
      </w:pPr>
      <w:r>
        <w:rPr>
          <w:b/>
        </w:rPr>
        <w:t>финансовая грамотность</w:t>
      </w:r>
      <w:r>
        <w:t xml:space="preserve"> — п. 2.13 (региональные программы, межведомственные координационные органы, методологическая поддержка педагогического сообщества);</w:t>
      </w:r>
    </w:p>
    <w:p>
      <w:pPr>
        <w:pStyle w:val="ListBullet"/>
      </w:pPr>
      <w:r>
        <w:rPr>
          <w:b/>
        </w:rPr>
        <w:t>финансовая доступность</w:t>
      </w:r>
      <w:r>
        <w:t xml:space="preserve"> — п. 2.11 (сельская местность, отдалённые и малонаселённые территории, анализ инфраструктуры, информационно-аналитические материалы);</w:t>
      </w:r>
    </w:p>
    <w:p>
      <w:pPr>
        <w:pStyle w:val="ListBullet"/>
      </w:pPr>
      <w:r>
        <w:rPr>
          <w:b/>
        </w:rPr>
        <w:t>коммуникации и разъяснение решений</w:t>
      </w:r>
      <w:r>
        <w:t xml:space="preserve"> (в постановке отдельно не названы, но закреплены) — п. 1.5, 2.1.6, 2.12.</w:t>
      </w:r>
    </w:p>
    <w:p>
      <w:r>
        <w:rPr>
          <w:b/>
        </w:rPr>
        <w:t>Что уже производится публично.</w:t>
      </w:r>
      <w:r>
        <w:t xml:space="preserve"> Доклад «Региональная экономика: комментарии ГУ» — ежемесячный, готовится экономическими подразделениями ТУ, архив с 2020 года, в 2026 году размещены выпуски за февраль, март, апрель, июнь, июль, сентябрь и октябрь (страница обновлена 14.10.2026). Индикаторы финансовой доступности за 2025 год опубликованы отдельным выпуском (страница обновлена 17.07.2026); обзоры состояния финансовой доступности — за 2015–2018 годы. Вывод: дефицит не в данных, а в формате подачи для конкретного потребителя — органа власти субъекта.</w:t>
      </w:r>
    </w:p>
    <w:p>
      <w:pPr>
        <w:pStyle w:val="Heading2"/>
      </w:pPr>
      <w:r>
        <w:t>3. Международный опыт: что переносимо, а что нет</w:t>
      </w:r>
    </w:p>
    <w:p>
      <w:r>
        <w:rPr>
          <w:b/>
        </w:rPr>
        <w:t>США, Федеральная резервная система.</w:t>
      </w:r>
      <w:r>
        <w:t xml:space="preserve"> Двенадцать резервных банков с собственными органами управления; Бежевая книга (Beige Book) собирает качественные сведения о конъюнктуре по округам и встроена в цикл заседаний FOMC (Федеральный комитет по открытому рынку). Отдельно существует функция community development: резервные банки предоставляют данные и аналитические инструменты публике и местным сообществам, ведут исследования и организуют встречи заинтересованных сторон. </w:t>
      </w:r>
      <w:r>
        <w:rPr>
          <w:i/>
        </w:rPr>
        <w:t>Переносимо:</w:t>
      </w:r>
      <w:r>
        <w:t xml:space="preserve"> разделение «внутренний конъюнктурный сбор» и «публичная экспертиза для местных сообществ», а также формат готовых инструментов вместо индивидуальных советов. </w:t>
      </w:r>
      <w:r>
        <w:rPr>
          <w:i/>
        </w:rPr>
        <w:t>Не переносимо:</w:t>
      </w:r>
      <w:r>
        <w:t xml:space="preserve"> институциональная конструкция резервных банков.</w:t>
      </w:r>
    </w:p>
    <w:p>
      <w:r>
        <w:rPr>
          <w:b/>
        </w:rPr>
        <w:t>Великобритания, Банк Англии.</w:t>
      </w:r>
      <w:r>
        <w:t xml:space="preserve"> Двенадцать агентств по стране; агенты проводят конфиденциальные встречи с предприятиями и общественными организациями и передают сведения комитетам по денежной политике, финансовой стабильности и пруденциальному регулированию. Заявленные масштабы: порядка 6 000 обсуждений, порядка 500 презентаций и около 60 поездок политиков в год. </w:t>
      </w:r>
      <w:r>
        <w:rPr>
          <w:i/>
        </w:rPr>
        <w:t>Переносимо:</w:t>
      </w:r>
      <w:r>
        <w:t xml:space="preserve"> конфиденциальность контактов и обязанность передавать сигнал в решения, а не публиковать его. </w:t>
      </w:r>
      <w:r>
        <w:rPr>
          <w:i/>
        </w:rPr>
        <w:t>Не переносимо:</w:t>
      </w:r>
      <w:r>
        <w:t xml:space="preserve"> масштаб — он определяется ресурсом, а не моделью.</w:t>
      </w:r>
    </w:p>
    <w:p>
      <w:r>
        <w:rPr>
          <w:b/>
        </w:rPr>
        <w:t>Италия, Banca d'Italia.</w:t>
      </w:r>
      <w:r>
        <w:t xml:space="preserve"> Территориальная сеть исследований готовит ежегодные отчёты об экономике каждого региона (публикуются в июне) и последующие тематические материалы. </w:t>
      </w:r>
      <w:r>
        <w:rPr>
          <w:i/>
        </w:rPr>
        <w:t>Переносимо:</w:t>
      </w:r>
      <w:r>
        <w:t xml:space="preserve"> идея «одна территория — один регулярный отчёт с фиксированной датой», что делает экспертизу предсказуемой для органов власти. </w:t>
      </w:r>
      <w:r>
        <w:rPr>
          <w:i/>
        </w:rPr>
        <w:t>Не переносимо:</w:t>
      </w:r>
      <w:r>
        <w:t xml:space="preserve"> бюджет и кадровая обеспеченность сети.</w:t>
      </w:r>
    </w:p>
    <w:p>
      <w:r>
        <w:rPr>
          <w:b/>
        </w:rPr>
        <w:t>Германия и еврозона.</w:t>
      </w:r>
      <w:r>
        <w:t xml:space="preserve"> Bundesbank работает примерно в 40 локациях (точное число филиалов официально не фиксируется); надзор в еврозоне организован через совместные надзорные группы (Joint Supervisory Teams), то есть надзорная функция выведена на наднациональный уровень. </w:t>
      </w:r>
      <w:r>
        <w:rPr>
          <w:i/>
        </w:rPr>
        <w:t>Переносимо:</w:t>
      </w:r>
      <w:r>
        <w:t xml:space="preserve"> разделение операционной сети и надзорной вертикали — надзор не «привязан» к территории. </w:t>
      </w:r>
      <w:r>
        <w:rPr>
          <w:i/>
        </w:rPr>
        <w:t>Не переносимо:</w:t>
      </w:r>
      <w:r>
        <w:t xml:space="preserve"> наднациональная конструкция.</w:t>
      </w:r>
    </w:p>
    <w:p>
      <w:r>
        <w:rPr>
          <w:b/>
        </w:rPr>
        <w:t>Австралия, Reserve Bank of Australia.</w:t>
      </w:r>
      <w:r>
        <w:t xml:space="preserve"> Программа связей с предприятиями, отраслевыми объединениями, органами власти и общественными организациями; часть работы выполняют небольшие региональные офисы. Банк прямо описывает контакты как дополнение к статистике и моделям, а не как регуляторное полномочие. </w:t>
      </w:r>
      <w:r>
        <w:rPr>
          <w:i/>
        </w:rPr>
        <w:t>Переносимо:</w:t>
      </w:r>
      <w:r>
        <w:t xml:space="preserve"> компактность и явная формулировка «это дополнение к данным, а не полномочие».</w:t>
      </w:r>
    </w:p>
    <w:p>
      <w:r>
        <w:rPr>
          <w:b/>
        </w:rPr>
        <w:t>Индия, RBI.</w:t>
      </w:r>
      <w:r>
        <w:t xml:space="preserve"> Присутствие в 34 локациях; местные советы (Local Boards) — отдельный институт: четыре совета, по пять членов, назначаемых центральным правительством на четыре года, с ограничением общего срока восемью годами; совет консультирует Центральный совет по переданным вопросам. </w:t>
      </w:r>
      <w:r>
        <w:rPr>
          <w:i/>
        </w:rPr>
        <w:t>Переносимо:</w:t>
      </w:r>
      <w:r>
        <w:t xml:space="preserve"> идея совещательного органа с ограниченным сроком полномочий и без права на политику. </w:t>
      </w:r>
      <w:r>
        <w:rPr>
          <w:i/>
        </w:rPr>
        <w:t>Не переносимо:</w:t>
      </w:r>
      <w:r>
        <w:t xml:space="preserve"> сам институт — он не является органом денежно-кредитной политики и работает в иной правовой традиции.</w:t>
      </w:r>
    </w:p>
    <w:p>
      <w:r>
        <w:rPr>
          <w:b/>
        </w:rPr>
        <w:t>Бразилия, BCB.</w:t>
      </w:r>
      <w:r>
        <w:t xml:space="preserve"> Девять региональных представительств: обеспечение наличными, изучение региональной конъюнктуры, инспектирование финансовых учреждений. </w:t>
      </w:r>
      <w:r>
        <w:rPr>
          <w:i/>
        </w:rPr>
        <w:t>Переносимо:</w:t>
      </w:r>
      <w:r>
        <w:t xml:space="preserve"> сочетание операционной, аналитической и инспекционной функций в одном офисе — то же, что и в России, с теми же рисками совмещения.</w:t>
      </w:r>
    </w:p>
    <w:p>
      <w:r>
        <w:rPr>
          <w:b/>
        </w:rPr>
        <w:t>Китай, Народный банк Китая.</w:t>
      </w:r>
      <w:r>
        <w:t xml:space="preserve"> Реформа 2023 года: возвращение к провинциальному уровню, упразднение уездных подразделений; по сообщениям People's Daily и Xinhua о запуске новой сети 18.08.2023 — 31 провинциальный филиал, пять филиалов в городах с отдельным плановым статусом, 317 филиалов уровня префектур. </w:t>
      </w:r>
      <w:r>
        <w:rPr>
          <w:i/>
        </w:rPr>
        <w:t>Вывод:</w:t>
      </w:r>
      <w:r>
        <w:t xml:space="preserve"> укрупнение сети — мировой тренд, но результаты реформы независимыми оценками не подтверждены.</w:t>
      </w:r>
    </w:p>
    <w:p>
      <w:r>
        <w:rPr>
          <w:b/>
        </w:rPr>
        <w:t>Общий вывод по международному опыту.</w:t>
      </w:r>
      <w:r>
        <w:t xml:space="preserve"> Территориальная сеть везде выполняет одно из трёх: сбор сведений для решений, операционное обслуживание, публичную экспертизу. Ни одна модель не даёт региональным властям индивидуальных финансовых рекомендаций. Российская конструкция ближе всего к бразильской по составу функций и к итальянской по потенциалу публичной региональной экспертизы.</w:t>
      </w:r>
    </w:p>
    <w:p>
      <w:pPr>
        <w:pStyle w:val="Heading2"/>
      </w:pPr>
      <w:r>
        <w:t>4. Предлагаемые задачи: семь направлений</w:t>
      </w:r>
    </w:p>
    <w:p>
      <w:r>
        <w:t>Направления упорядочены по убыванию близости к действующим нормам. Первое — продолжение уже закреплённой работы, шестое и седьмое — новое оформление существующих функций.</w:t>
      </w:r>
    </w:p>
    <w:p>
      <w:r>
        <w:rPr>
          <w:b/>
        </w:rPr>
        <w:t>4.1. Стандартизированный региональный мониторинг конъюнктуры.</w:t>
      </w:r>
      <w:r>
        <w:t xml:space="preserve"> Повторяемая панель контактов с предприятиями разных размеров и отраслей, банками, застройщиками, домохозяйствами; единый опросник и протокол интервью; качественные сигналы хранятся отдельно от официальной статистики, с датой, географией, отраслью и оценкой неопределённости. </w:t>
      </w:r>
      <w:r>
        <w:rPr>
          <w:i/>
        </w:rPr>
        <w:t>Опора:</w:t>
      </w:r>
      <w:r>
        <w:t xml:space="preserve"> п. 2.1.1, 2.1.3, 2.1.6. </w:t>
      </w:r>
      <w:r>
        <w:rPr>
          <w:i/>
        </w:rPr>
        <w:t>Критерий приёмки:</w:t>
      </w:r>
      <w:r>
        <w:t xml:space="preserve"> соблюдение календаря и полноты панели, доля сигналов, подтверждённых официальными данными впоследствии.</w:t>
      </w:r>
    </w:p>
    <w:p>
      <w:r>
        <w:rPr>
          <w:b/>
        </w:rPr>
        <w:t>4.2. Развитие доклада «Региональная экономика: комментарии ГУ».</w:t>
      </w:r>
      <w:r>
        <w:t xml:space="preserve"> Не новый продукт, а доработка существующего: фиксированный календарь, единая методика, явное разделение «данные / экспертная оценка / неустановленное», связь с центральным аналитическим циклом. </w:t>
      </w:r>
      <w:r>
        <w:rPr>
          <w:i/>
        </w:rPr>
        <w:t>Опора:</w:t>
      </w:r>
      <w:r>
        <w:t xml:space="preserve"> п. 2.1.5, 2.12. </w:t>
      </w:r>
      <w:r>
        <w:rPr>
          <w:i/>
        </w:rPr>
        <w:t>Критерий приёмки:</w:t>
      </w:r>
      <w:r>
        <w:t xml:space="preserve"> соблюдение даты публикации, доля материалов, использованных в центральном цикле.</w:t>
      </w:r>
    </w:p>
    <w:p>
      <w:r>
        <w:rPr>
          <w:b/>
        </w:rPr>
        <w:t>4.3. Аналитика региональной трансмиссии без регионализации ставки.</w:t>
      </w:r>
      <w:r>
        <w:t xml:space="preserve"> Регулярные разрезы по инфляции, ставкам, кредитам, депозитам, ипотеке, строительству и жилью; цель — понять, почему единые решения передаются неодинаково, а не компенсировать различия льготной ДКП. </w:t>
      </w:r>
      <w:r>
        <w:rPr>
          <w:i/>
        </w:rPr>
        <w:t>Опора:</w:t>
      </w:r>
      <w:r>
        <w:t xml:space="preserve"> п. 2.1.1, 2.1.2, 2.10. </w:t>
      </w:r>
      <w:r>
        <w:rPr>
          <w:i/>
        </w:rPr>
        <w:t>Критерий приёмки:</w:t>
      </w:r>
      <w:r>
        <w:t xml:space="preserve"> добавочная точность краткосрочных прогнозов относительно заранее закреплённого бенчмарка.</w:t>
      </w:r>
    </w:p>
    <w:p>
      <w:r>
        <w:rPr>
          <w:b/>
        </w:rPr>
        <w:t>4.4. Финансовая инфраструктура, доступность и защита потребителей на территории.</w:t>
      </w:r>
      <w:r>
        <w:t xml:space="preserve"> Единые стандарты, мониторинг непрерывности платежей и наличного обращения, выявление локальных пробелов в доступе к услугам, координация с банками и органами власти. </w:t>
      </w:r>
      <w:r>
        <w:rPr>
          <w:i/>
        </w:rPr>
        <w:t>Опора:</w:t>
      </w:r>
      <w:r>
        <w:t xml:space="preserve"> п. 2.11. </w:t>
      </w:r>
      <w:r>
        <w:rPr>
          <w:i/>
        </w:rPr>
        <w:t>Критерий приёмки:</w:t>
      </w:r>
      <w:r>
        <w:t xml:space="preserve"> охват населённых пунктов мониторингом, число устранённых пробелов, динамика индикаторов доступности.</w:t>
      </w:r>
    </w:p>
    <w:p>
      <w:r>
        <w:rPr>
          <w:b/>
        </w:rPr>
        <w:t>4.5. Публичная коммуникация с бизнесом, населением и СМИ.</w:t>
      </w:r>
      <w:r>
        <w:t xml:space="preserve"> Регулярные открытые встречи и объяснение решений, отдельный канал вопросов от регионального бизнеса и населения, обязательное объяснение того, почему единая ставка применяется при неодинаковой региональной инфляции. </w:t>
      </w:r>
      <w:r>
        <w:rPr>
          <w:i/>
        </w:rPr>
        <w:t>Опора:</w:t>
      </w:r>
      <w:r>
        <w:t xml:space="preserve"> п. 2.1.6, 2.1.8, 2.12. </w:t>
      </w:r>
      <w:r>
        <w:rPr>
          <w:i/>
        </w:rPr>
        <w:t>Критерий приёмки:</w:t>
      </w:r>
      <w:r>
        <w:t xml:space="preserve"> понимание решений аудиторией по опросам, а не число мероприятий.</w:t>
      </w:r>
    </w:p>
    <w:p>
      <w:r>
        <w:rPr>
          <w:b/>
        </w:rPr>
        <w:t>4.6. Региональная команда представителей Банка России как центр экспертизы и финансовых консультаций для органов власти.</w:t>
      </w:r>
      <w:r>
        <w:t xml:space="preserve"> Ключевое предложение. Адресаты — органы государственной власти субъектов, органы местного самоуправления, территориальные органы федеральных органов власти (круг п. 1.5). Финансовые организации адресатами не являются.</w:t>
      </w:r>
    </w:p>
    <w:p>
      <w:r>
        <w:t>Внутри направления различаются три вида деятельности, которые нельзя смешивать ни в регламенте, ни в коммуникации:</w:t>
      </w:r>
    </w:p>
    <w:p>
      <w:pPr>
        <w:pStyle w:val="ListBullet"/>
      </w:pPr>
      <w:r>
        <w:rPr>
          <w:b/>
        </w:rPr>
        <w:t>экспертиза</w:t>
      </w:r>
      <w:r>
        <w:t xml:space="preserve"> — публичная аналитика и методология для неопределённого круга или для всех органов власти одинаково;</w:t>
      </w:r>
    </w:p>
    <w:p>
      <w:pPr>
        <w:pStyle w:val="ListBullet"/>
      </w:pPr>
      <w:r>
        <w:rPr>
          <w:b/>
        </w:rPr>
        <w:t>финансовое консультирование в мандате</w:t>
      </w:r>
      <w:r>
        <w:t xml:space="preserve"> — ответ на конкретный вопрос конкретного органа, предмет которого ограничен тремя темами: разъяснение регулирования финансового рынка и решений Банка России, разъяснение методологии показателей, указание на опубликованные данные и корректное их использование. Ответ не содержит оценки целесообразности решений органа власти и не формулирует рекомендацию, что делать;</w:t>
      </w:r>
    </w:p>
    <w:p>
      <w:pPr>
        <w:pStyle w:val="ListBullet"/>
      </w:pPr>
      <w:r>
        <w:rPr>
          <w:b/>
        </w:rPr>
        <w:t>коммерческий консалтинг и инвестиционное консультирование</w:t>
      </w:r>
      <w:r>
        <w:t xml:space="preserve"> — рекомендации по сделкам, инструментам, эмитентам, контрагентам, структуре заимствований, оценка инвестиционной привлекательности проектов. Банк России такую деятельность не ведёт: инвестиционное консультирование — лицензируемая деятельность по ст. 6.1 Федерального закона от 22.04.1996 № 39-ФЗ «О рынке ценных бумаг». Вопросы этой категории консультационный канал не обрабатывает.</w:t>
      </w:r>
    </w:p>
    <w:p>
      <w:r>
        <w:rPr>
          <w:b/>
        </w:rPr>
        <w:t>Продуктовая линейка (семь продуктов):</w:t>
      </w:r>
    </w:p>
    <w:p>
      <w:pPr>
        <w:pStyle w:val="ListNumber"/>
      </w:pPr>
      <w:r>
        <w:t>краткое разъяснение решения по ключевой ставке для органов власти — после каждого заседания Совета директоров, две-три страницы, только на основе опубликованных материалов;</w:t>
      </w:r>
    </w:p>
    <w:p>
      <w:pPr>
        <w:pStyle w:val="ListNumber"/>
      </w:pPr>
      <w:r>
        <w:t>региональная панель индикаторов финансового сектора — ежеквартально, только опубликованные агрегаты Банка России, с методическими пояснениями;</w:t>
      </w:r>
    </w:p>
    <w:p>
      <w:pPr>
        <w:pStyle w:val="ListNumber"/>
      </w:pPr>
      <w:r>
        <w:t>методологическая поддержка региональных программ финансовой грамотности и доступности — по циклу актуализации программы, не реже раза в год;</w:t>
      </w:r>
    </w:p>
    <w:p>
      <w:pPr>
        <w:pStyle w:val="ListNumber"/>
      </w:pPr>
      <w:r>
        <w:t>экспертные сессии и обучение для финансовых органов субъектов и муниципалитетов — два раза в год плюс тематические сессии;</w:t>
      </w:r>
    </w:p>
    <w:p>
      <w:pPr>
        <w:pStyle w:val="ListNumber"/>
      </w:pPr>
      <w:r>
        <w:t>разбор региональных инициатив на соответствие регулированию — по запросу, письменное заключение о применимых нормах без оценки целесообразности и бюджетных последствий;</w:t>
      </w:r>
    </w:p>
    <w:p>
      <w:pPr>
        <w:pStyle w:val="ListNumber"/>
      </w:pPr>
      <w:r>
        <w:t>публичный реестр типовых вопросов и ответов — непрерывное пополнение, ежеквартальная ревизия, единый для всех ТУ;</w:t>
      </w:r>
    </w:p>
    <w:p>
      <w:pPr>
        <w:pStyle w:val="ListNumber"/>
      </w:pPr>
      <w:r>
        <w:t>аналитическая записка к бюджетному циклу региона — на основе опубликованных данных, без прогноза доходов региона и без оценок бюджетной политики.</w:t>
      </w:r>
    </w:p>
    <w:p>
      <w:r>
        <w:rPr>
          <w:b/>
        </w:rPr>
        <w:t>Что центр не делает (границы мандата):</w:t>
      </w:r>
      <w:r>
        <w:t xml:space="preserve"> не оценивает инвестиционную привлекательность проектов, инструментов и эмитентов; не даёт рекомендаций по заимствованиям и размещению средств; не подменяет Минфин России и финансовые органы субъектов; не выступает арбитром в спорах региона с финансовыми организациями; не раскрывает сведения ограниченного доступа, включая полученные при надзоре и производстве по делам; не консультирует поднадзорные организации по их бизнесу; не лоббирует интересы региона; не даёт гарантий и не обещает финансирование.</w:t>
      </w:r>
    </w:p>
    <w:p>
      <w:r>
        <w:rPr>
          <w:b/>
        </w:rPr>
        <w:t>Управление ответственностью:</w:t>
      </w:r>
      <w:r>
        <w:t xml:space="preserve"> публичный перечень тем, по которым консультации оказываются; письменный мотивированный отказ по темам вне перечня; протоколирование обращений; обезличенная публикация вопросов и ответов; стандартная оговорка об отсутствии рекомендательного характера; правило «совет не является основанием для регуляторного решения».</w:t>
      </w:r>
    </w:p>
    <w:p>
      <w:r>
        <w:rPr>
          <w:b/>
        </w:rPr>
        <w:t>4.7. Публичная диагностика немонетарных факторов инфляции в отраслях региона.</w:t>
      </w:r>
      <w:r>
        <w:t xml:space="preserve"> Запрос экспертов: территориальные учреждения оценивают изменение экономической ситуации в регионах и публично объясняют, в каких отраслях и как факторы предложения влияют на инфляцию, а также как на цены в разных отраслях региона влияют решения региональных органов исполнительной власти (РОИВ).</w:t>
      </w:r>
    </w:p>
    <w:p>
      <w:r>
        <w:rPr>
          <w:b/>
        </w:rPr>
        <w:t>Правовая и содержательная основа уже есть.</w:t>
      </w:r>
      <w:r>
        <w:t xml:space="preserve"> Банк России выпустил доклад «О немонетарных факторах инфляции и мерах по снижению её волатильности» (2017, 60 страниц) и доклад «О немонетарных факторах инфляции в 2017–2019 годах» (18.12.2019). В пресс-релизе ко второму докладу прямо сказано, что анализ региональной специфики немонетарных факторов необходим «в том числе для внедрения стандарта развития конкуренции в субъектах Российской Федерации», и что «эту работу проводят территориальные учреждения Банка России». То есть функция не новая; отсутствует регулярный публичный продукт — после 2019 года доклад не обновлялся, а в разделе денежно-кредитной политики на сайте Банка России более поздних материалов этого жанра нет. </w:t>
      </w:r>
      <w:r>
        <w:rPr>
          <w:i/>
        </w:rPr>
        <w:t>Опора:</w:t>
      </w:r>
      <w:r>
        <w:t xml:space="preserve"> п. 2.1.1, 2.1.4, 2.1.5, 2.1.6, 2.12.</w:t>
      </w:r>
    </w:p>
    <w:p>
      <w:r>
        <w:rPr>
          <w:b/>
        </w:rPr>
        <w:t>Три предлагаемых продукта:</w:t>
      </w:r>
    </w:p>
    <w:p>
      <w:pPr>
        <w:pStyle w:val="ListNumber"/>
      </w:pPr>
      <w:r>
        <w:rPr>
          <w:b/>
        </w:rPr>
        <w:t>Квартальная записка «Немонетарные факторы инфляции в регионе»</w:t>
      </w:r>
      <w:r>
        <w:t xml:space="preserve"> — по товарным группам, где фактор предложения значим: что произошло, вклад в процентных пунктах, ожидаемая длительность, источник данных.</w:t>
      </w:r>
    </w:p>
    <w:p>
      <w:pPr>
        <w:pStyle w:val="ListNumber"/>
      </w:pPr>
      <w:r>
        <w:rPr>
          <w:b/>
        </w:rPr>
        <w:t>Отраслевая декомпозиция прироста цен</w:t>
      </w:r>
      <w:r>
        <w:t xml:space="preserve"> — разложение на вклад спроса, вклад факторов предложения (сырьё, логистика, тарифы, урожай, экспортный паритет), вклад мер регулирования и неразложенный остаток.</w:t>
      </w:r>
    </w:p>
    <w:p>
      <w:pPr>
        <w:pStyle w:val="ListNumber"/>
      </w:pPr>
      <w:r>
        <w:rPr>
          <w:b/>
        </w:rPr>
        <w:t>Каталог немонетарных факторов региона</w:t>
      </w:r>
      <w:r>
        <w:t xml:space="preserve"> — перечень факторов с указанием вида регулирования и органа, принимающего решение, обновляемый раз в год.</w:t>
      </w:r>
    </w:p>
    <w:p>
      <w:r>
        <w:rPr>
          <w:b/>
        </w:rPr>
        <w:t>Главный дизайнерский вопрос: как отделить оценку фактора от оценки органа.</w:t>
      </w:r>
      <w:r>
        <w:t xml:space="preserve"> Формулировка запроса «как решения РОИВ влияют на инфляцию» в прямом виде конфликтует с границей, зафиксированной в разделе 4.6: Банк России не оценивает целесообразность решений органов государственной власти, и такой функции в 880-П нет. Разрешение конфликта — в предмете оценки: измеряется </w:t>
      </w:r>
      <w:r>
        <w:rPr>
          <w:b/>
        </w:rPr>
        <w:t>механизм</w:t>
      </w:r>
      <w:r>
        <w:t>, а не решение.</w:t>
      </w:r>
    </w:p>
    <w:p>
      <w:pPr>
        <w:pStyle w:val="ListBullet"/>
      </w:pPr>
      <w:r>
        <w:rPr>
          <w:b/>
        </w:rPr>
        <w:t>Допустимо:</w:t>
      </w:r>
      <w:r>
        <w:t xml:space="preserve"> «повышение тарифа на услугу X на Y % дало Z процентных пункта в приросте цен», «сворачивание субсидии на электроэнергию добавляет W процентных пункта к годовой инфляции», «ограничение доступа к розничным рынкам в N-й торговой сети изменило цены в сегменте». Оценка даётся виду регулирования — тарифному, земельному, торговому, разрешительному, бюджетному, — а не органу.</w:t>
      </w:r>
    </w:p>
    <w:p>
      <w:pPr>
        <w:pStyle w:val="ListBullet"/>
      </w:pPr>
      <w:r>
        <w:rPr>
          <w:b/>
        </w:rPr>
        <w:t>Недопустимо:</w:t>
      </w:r>
      <w:r>
        <w:t xml:space="preserve"> суждения «решение правильное или ошибочное», «власть разгоняет инфляцию», сравнение регионов по качеству управления, любые формулировки, которые читаются как оценка деятельности должностных лиц.</w:t>
      </w:r>
    </w:p>
    <w:p>
      <w:pPr>
        <w:pStyle w:val="ListBullet"/>
      </w:pPr>
      <w:r>
        <w:rPr>
          <w:b/>
        </w:rPr>
        <w:t>Порядок для адресных оценок:</w:t>
      </w:r>
      <w:r>
        <w:t xml:space="preserve"> оценка влияния конкретного решения органа готовится по его письменному запросу и публикуется только с его согласия либо с одновременным опубликованием его комментария. Это снимает конфликт и превращает продукт из обвинения в совместный разбор.</w:t>
      </w:r>
    </w:p>
    <w:p>
      <w:r>
        <w:rPr>
          <w:b/>
        </w:rPr>
        <w:t>Международная практика подтверждает такую конструкцию.</w:t>
      </w:r>
      <w:r>
        <w:t xml:space="preserve"> Резервный банк Австралии в «Заявлении о денежно-кредитной политике» регулярно публикует вклад регулируемых цен (administered prices) и эффект сворачивания субсидий штатов на электроэнергию: в выпуске за февраль 2026 года отмечено, что электроэнергия дала около 0,5 процентного пункта прироста цен, а в выпуске за май 2026 года прямо указано, что окончание действия субсидий правительств штатов повышает общую инфляцию в ближайшей перспективе. Государственные решения обсуждаются публично, количественно и без оценок политики. Европейский центральный банк публикует отдельные врезки о влиянии мер правительств на инфляцию (например, в Economic Bulletin за февраль 2023 года — о фискальной поддержке в энергетическом кризисе). Обратный пример осторожности — Бежевая книга Федеральной резервной системы: условия описываются, но решения властей не атрибутируются.</w:t>
      </w:r>
    </w:p>
    <w:p>
      <w:r>
        <w:rPr>
          <w:b/>
        </w:rPr>
        <w:t>Методические требования (иначе продукт превращается в мнение):</w:t>
      </w:r>
      <w:r>
        <w:t xml:space="preserve"> считать вклад, а не вину; всегда указывать базу и период; различать разовый сдвиг уровня цен и вклад в годовую инфляцию; отделять прямой эффект (тариф в корзине ИПЦ) от косвенного (через издержки); при отсутствии данных писать «оценка невозможна», а не «влияние незначительно»; в каждом материале приводить вклад спроса и ставки в том же разложении — иначе публикация читается как оправдание денежно-кредитной политики.</w:t>
      </w:r>
    </w:p>
    <w:p>
      <w:r>
        <w:rPr>
          <w:b/>
        </w:rPr>
        <w:t>Критерии приёмки:</w:t>
      </w:r>
      <w:r>
        <w:t xml:space="preserve"> разложение охватывает не менее 80 % веса корзины ИПЦ региона; в 100 % утверждений о влиянии указан числовой вклад; ноль публикаций с адресной оценкой действий органа без его согласия; расхождение разложения с фактическим ИПЦ не более 0,3 процентного пункта.</w:t>
      </w:r>
    </w:p>
    <w:p>
      <w:r>
        <w:rPr>
          <w:b/>
        </w:rPr>
        <w:t>Пилот:</w:t>
      </w:r>
      <w:r>
        <w:t xml:space="preserve"> два-три региона с разной структурой цен (промышленный, аграрный, курортный), единая методика, публикация после согласования с Департаментом денежно-кредитной политики.</w:t>
      </w:r>
    </w:p>
    <w:p>
      <w:pPr>
        <w:pStyle w:val="Heading2"/>
      </w:pPr>
      <w:r>
        <w:t>5. Региональный доклад: анализ и предложения по доработке</w:t>
      </w:r>
    </w:p>
    <w:p>
      <w:r>
        <w:t>Замечание пользователей — «слишком размытый и не конкретный» — проверяемо и подтверждается структурой выпуска № 47 (октябрь 2026 года, 70 страниц, опубликован 14.10.2026).</w:t>
      </w:r>
    </w:p>
    <w:p>
      <w:pPr>
        <w:pStyle w:val="Heading3"/>
      </w:pPr>
      <w:r>
        <w:t>5.1. Что в докладе уже сделано хорошо</w:t>
      </w:r>
    </w:p>
    <w:p>
      <w:pPr>
        <w:pStyle w:val="ListBullet"/>
      </w:pPr>
      <w:r>
        <w:rPr>
          <w:b/>
        </w:rPr>
        <w:t>регулярность:</w:t>
      </w:r>
      <w:r>
        <w:t xml:space="preserve"> ежемесячный выпуск с 2020 года, в 2026 году вышли февраль, март, апрель, июнь, июль, сентябрь и октябрь;</w:t>
      </w:r>
    </w:p>
    <w:p>
      <w:pPr>
        <w:pStyle w:val="ListBullet"/>
      </w:pPr>
      <w:r>
        <w:rPr>
          <w:b/>
        </w:rPr>
        <w:t>охват:</w:t>
      </w:r>
      <w:r>
        <w:t xml:space="preserve"> все семь макрорегионов — ЦФО, Северо-Западное, Волго-Вятское, Южное, Уральское, Сибирское, Дальневосточное ГУ;</w:t>
      </w:r>
    </w:p>
    <w:p>
      <w:pPr>
        <w:pStyle w:val="ListBullet"/>
      </w:pPr>
      <w:r>
        <w:rPr>
          <w:b/>
        </w:rPr>
        <w:t>количественная база:</w:t>
      </w:r>
      <w:r>
        <w:t xml:space="preserve"> таблица 20 показателей по России и макрорегионам (с. 9) — инфляция, базовая инфляция, промышленность, инвестиции, строительство, ввод жилья, розничная торговля, платные услуги, реальная заработная плата, реальные денежные доходы, безработица, задолженность по потребительским кредитам и ипотеке, средства на счетах эскроу, веса ГУ в инфляции;</w:t>
      </w:r>
    </w:p>
    <w:p>
      <w:pPr>
        <w:pStyle w:val="ListBullet"/>
      </w:pPr>
      <w:r>
        <w:rPr>
          <w:b/>
        </w:rPr>
        <w:t>динамика:</w:t>
      </w:r>
      <w:r>
        <w:t xml:space="preserve"> приложение 1 с рядами с 2024 года (с. 51);</w:t>
      </w:r>
    </w:p>
    <w:p>
      <w:pPr>
        <w:pStyle w:val="ListBullet"/>
      </w:pPr>
      <w:r>
        <w:rPr>
          <w:b/>
        </w:rPr>
        <w:t>углублённые разборы:</w:t>
      </w:r>
      <w:r>
        <w:t xml:space="preserve"> три врезки — деловая и инвестиционная активность (с. 26), региональные и отраслевые факторы на рынке труда (с. 33), урожай 2026 года (с. 42);</w:t>
      </w:r>
    </w:p>
    <w:p>
      <w:pPr>
        <w:pStyle w:val="ListBullet"/>
      </w:pPr>
      <w:r>
        <w:rPr>
          <w:b/>
        </w:rPr>
        <w:t>первичные данные:</w:t>
      </w:r>
      <w:r>
        <w:t xml:space="preserve"> опрос 11 459 предприятий в октябре 2026 года;</w:t>
      </w:r>
    </w:p>
    <w:p>
      <w:pPr>
        <w:pStyle w:val="ListBullet"/>
      </w:pPr>
      <w:r>
        <w:rPr>
          <w:b/>
        </w:rPr>
        <w:t>корректность оговорок:</w:t>
      </w:r>
      <w:r>
        <w:t xml:space="preserve"> официальная статистика приводится без учёта ДНР, ЛНР, Запорожской и Херсонской областей.</w:t>
      </w:r>
    </w:p>
    <w:p>
      <w:pPr>
        <w:pStyle w:val="Heading3"/>
      </w:pPr>
      <w:r>
        <w:t>5.2. Пять причин, по которым доклад читается как размытый</w:t>
      </w:r>
    </w:p>
    <w:p>
      <w:pPr>
        <w:pStyle w:val="ListNumber"/>
      </w:pPr>
      <w:r>
        <w:rPr>
          <w:b/>
        </w:rPr>
        <w:t>Нет резюме и нет выводов.</w:t>
      </w:r>
      <w:r>
        <w:t xml:space="preserve"> В тексте выпуска отсутствует раздел «Резюме»; слово «вывод» в аналитическом смысле не встречается ни разу — единственное вхождение это «вывод новых проектов на рынок», а «резюме» встречается один раз в подписи к графику («вакансии/резюме»). Читатель, открывший доклад, не получает сжатого ответа на вопрос «что происходит и что это значит».</w:t>
      </w:r>
    </w:p>
    <w:p>
      <w:pPr>
        <w:pStyle w:val="ListNumber"/>
      </w:pPr>
      <w:r>
        <w:rPr>
          <w:b/>
        </w:rPr>
        <w:t>Текст не сшит с собственной таблицей.</w:t>
      </w:r>
      <w:r>
        <w:t xml:space="preserve"> На с. 9 приведены 20 показателей по России и семи макрорегионам, но разделы по ГУ (по две страницы на макрорегион, с. 12–25) описывают ту же динамику словами, не приводя значений: «в сентябре годовая инфляция в макрорегионе сохранилась на прежнем уровне, оставаясь ниже общероссийской» — при том, что в таблице стоят 5,5 % по ЦФО против 6,4 % по России. Раздел «Ключевые тенденции в регионах» (с. 8) идёт ещё дальше и даёт по три-четыре предложения на макрорегион почти без цифр: «объём услуг в сфере туризма в августе несколько вырос по сравнению с предыдущими месяцами», «по сравнению с другими макрорегионами безработица оставалась на самом низком уровне».</w:t>
      </w:r>
    </w:p>
    <w:p>
      <w:pPr>
        <w:pStyle w:val="ListNumber"/>
      </w:pPr>
      <w:r>
        <w:rPr>
          <w:b/>
        </w:rPr>
        <w:t>Оценочные наречия без шкалы.</w:t>
      </w:r>
      <w:r>
        <w:t xml:space="preserve"> По всему тексту «в целом» — 44 вхождения, основа «продолж-» — 44, «нескольк-» — 29, «некотор-» — 28, «заметн-» — 14, «умеренн-» — 8. При этом доля предложений, содержащих хотя бы одну цифру, составляет 36,4 % (322 из 884 предложений длиннее 40 знаков, включая таблицы и подписи к графикам). Ни одно из наречий не имеет определённой шкалы: «умеренный рост» в разных разделах означает разное.</w:t>
      </w:r>
    </w:p>
    <w:p>
      <w:pPr>
        <w:pStyle w:val="ListNumber"/>
      </w:pPr>
      <w:r>
        <w:rPr>
          <w:b/>
        </w:rPr>
        <w:t>Типы утверждений не различены.</w:t>
      </w:r>
      <w:r>
        <w:t xml:space="preserve"> В одном абзаце соседствуют данные Росстата, расчёты Банка России, сообщения отдельных ретейлеров и ожидания участников рынка, причём без указания числа респондентов по макрорегиону, горизонта ожиданий и диапазона оценки. Теряется главное для аналитика: что здесь факт, что оценка, а что мнение.</w:t>
      </w:r>
    </w:p>
    <w:p>
      <w:pPr>
        <w:pStyle w:val="ListNumber"/>
      </w:pPr>
      <w:r>
        <w:rPr>
          <w:b/>
        </w:rPr>
        <w:t>Нет изменения относительно прошлого выпуска и нет вывода для ДКП.</w:t>
      </w:r>
      <w:r>
        <w:t xml:space="preserve"> Читатель не может понять, ухудшилась оценка активности против № 46 или улучшилась: сравнение с предыдущим выпуском не приводится. И ни один региональный раздел не заканчивается строкой о том, как наблюдение влияет на инфляционное давление, — то есть текст останавливается на описании, хотя именно интерпретация составляет ценность доклада для денежно-кредитной политики.</w:t>
      </w:r>
    </w:p>
    <w:p>
      <w:r>
        <w:t>Дополнительно — структурный перекос: из 70 страниц на наблюдения по макрорегионам приходится 14 (с. 12–25), на врезки — 20 (с. 26–45), на выводы — ноль.</w:t>
      </w:r>
    </w:p>
    <w:p>
      <w:pPr>
        <w:pStyle w:val="Heading3"/>
      </w:pPr>
      <w:r>
        <w:t>5.3. Предложения по доработке (тезисно)</w:t>
      </w:r>
    </w:p>
    <w:p>
      <w:pPr>
        <w:pStyle w:val="ListNumber"/>
      </w:pPr>
      <w:r>
        <w:rPr>
          <w:b/>
        </w:rPr>
        <w:t>Резюме на одну страницу.</w:t>
      </w:r>
      <w:r>
        <w:t xml:space="preserve"> Пять-семь пунктов, в каждом: число, знак изменения к предыдущему выпуску, следствие для инфляционного давления. </w:t>
      </w:r>
      <w:r>
        <w:rPr>
          <w:i/>
        </w:rPr>
        <w:t>Критерий приёмки:</w:t>
      </w:r>
      <w:r>
        <w:t xml:space="preserve"> в каждом пункте резюме есть не менее одного числа и явное направление изменения.</w:t>
      </w:r>
    </w:p>
    <w:p>
      <w:pPr>
        <w:pStyle w:val="ListNumber"/>
      </w:pPr>
      <w:r>
        <w:rPr>
          <w:b/>
        </w:rPr>
        <w:t>Карточка макрорегиона по единому шаблону.</w:t>
      </w:r>
      <w:r>
        <w:t xml:space="preserve"> Шесть блоков в фиксированном порядке — спрос, предложение, рынок труда, цены, кредит и депозиты, вывод одной строкой. </w:t>
      </w:r>
      <w:r>
        <w:rPr>
          <w:i/>
        </w:rPr>
        <w:t>Критерий приёмки:</w:t>
      </w:r>
      <w:r>
        <w:t xml:space="preserve"> структура совпадает во всех семи региональных разделах на 100 %.</w:t>
      </w:r>
    </w:p>
    <w:p>
      <w:pPr>
        <w:pStyle w:val="ListNumber"/>
      </w:pPr>
      <w:r>
        <w:rPr>
          <w:b/>
        </w:rPr>
        <w:t>Правило «утверждение — цифра или шкала».</w:t>
      </w:r>
      <w:r>
        <w:t xml:space="preserve"> Качественная оценка допускается только при определённой шкале и указании источника: например, «умеренно» означает 0–2 % с.к. месяц к месяцу. </w:t>
      </w:r>
      <w:r>
        <w:rPr>
          <w:i/>
        </w:rPr>
        <w:t>Критерий приёмки:</w:t>
      </w:r>
      <w:r>
        <w:t xml:space="preserve"> доля предложений с числом в региональных разделах не ниже 60 % против текущих 36,4 % по всему тексту.</w:t>
      </w:r>
    </w:p>
    <w:p>
      <w:pPr>
        <w:pStyle w:val="ListNumber"/>
      </w:pPr>
      <w:r>
        <w:rPr>
          <w:b/>
        </w:rPr>
        <w:t>Сравнение с предыдущим выпуском.</w:t>
      </w:r>
      <w:r>
        <w:t xml:space="preserve"> В каждом разделе — строка «оценка против № 46»: что подтвердилось, что изменилось, что не подтвердилось. </w:t>
      </w:r>
      <w:r>
        <w:rPr>
          <w:i/>
        </w:rPr>
        <w:t>Критерий приёмки:</w:t>
      </w:r>
      <w:r>
        <w:t xml:space="preserve"> такая строка присутствует в 100 % разделов.</w:t>
      </w:r>
    </w:p>
    <w:p>
      <w:pPr>
        <w:pStyle w:val="ListNumber"/>
      </w:pPr>
      <w:r>
        <w:rPr>
          <w:b/>
        </w:rPr>
        <w:t>Маркировка типов утверждений.</w:t>
      </w:r>
      <w:r>
        <w:t xml:space="preserve"> Четыре пометки: данные (источник, дата), оценка Банка России (диапазон), сообщение участников рынка (сколько и кого опросили), ожидание (горизонт). </w:t>
      </w:r>
      <w:r>
        <w:rPr>
          <w:i/>
        </w:rPr>
        <w:t>Критерий приёмки:</w:t>
      </w:r>
      <w:r>
        <w:t xml:space="preserve"> ни одно утверждение не остаётся без пометки при выборочной проверке.</w:t>
      </w:r>
    </w:p>
    <w:p>
      <w:pPr>
        <w:pStyle w:val="ListNumber"/>
      </w:pPr>
      <w:r>
        <w:rPr>
          <w:b/>
        </w:rPr>
        <w:t>Репрезентативность выборки по макрорегионам.</w:t>
      </w:r>
      <w:r>
        <w:t xml:space="preserve"> Число опрошенных предприятий и их доля в выборке по каждому ГУ, сопоставление со структурой валовой добавленной стоимости. Сейчас указано только 11 459 предприятий по стране в целом, и неизвестно, как они распределены между макрорегионами. </w:t>
      </w:r>
      <w:r>
        <w:rPr>
          <w:i/>
        </w:rPr>
        <w:t>Критерий приёмки:</w:t>
      </w:r>
      <w:r>
        <w:t xml:space="preserve"> таблица распределения выборки в приложении.</w:t>
      </w:r>
    </w:p>
    <w:p>
      <w:pPr>
        <w:pStyle w:val="ListNumber"/>
      </w:pPr>
      <w:r>
        <w:rPr>
          <w:b/>
        </w:rPr>
        <w:t>Вывод по трансмиссии в одну строку на макрорегион.</w:t>
      </w:r>
      <w:r>
        <w:t xml:space="preserve"> Знак и сила влияния наблюдения на инфляционное давление — без рекомендаций по ставке. Это ровно та граница, которую описывает п. 2.1.5: аналитический материал, а не предложение по решению. </w:t>
      </w:r>
      <w:r>
        <w:rPr>
          <w:i/>
        </w:rPr>
        <w:t>Критерий приёмки:</w:t>
      </w:r>
      <w:r>
        <w:t xml:space="preserve"> вывод присутствует в каждом региональном разделе и не содержит оценочных суждений о политике.</w:t>
      </w:r>
    </w:p>
    <w:p>
      <w:pPr>
        <w:pStyle w:val="ListNumber"/>
      </w:pPr>
      <w:r>
        <w:rPr>
          <w:b/>
        </w:rPr>
        <w:t>Разделить продукт на два формата.</w:t>
      </w:r>
      <w:r>
        <w:t xml:space="preserve"> Дайджест 12–15 страниц (резюме и карточки макрорегионов) и полный отчёт (наблюдения, врезки, приложение) вместо одного 70-страничного документа; машиночитаемая выгрузка таблицы показателей (CSV) к каждому выпуску; фиксированная дата публикации, привязанная к выходу данных Росстата по инфляции. </w:t>
      </w:r>
      <w:r>
        <w:rPr>
          <w:i/>
        </w:rPr>
        <w:t>Критерий приёмки:</w:t>
      </w:r>
      <w:r>
        <w:t xml:space="preserve"> соблюдение даты и наличие CSV.</w:t>
      </w:r>
    </w:p>
    <w:p>
      <w:r>
        <w:rPr>
          <w:b/>
        </w:rPr>
        <w:t>Что менять не нужно:</w:t>
      </w:r>
      <w:r>
        <w:t xml:space="preserve"> периодичность, охват макрорегионов, состав таблицы на с. 9 (он соответствует набору показателей, необходимому для анализа трансмиссии), оговорки о новых регионах и сам формат врезок.</w:t>
      </w:r>
    </w:p>
    <w:p>
      <w:r>
        <w:rPr>
          <w:b/>
        </w:rPr>
        <w:t>Ожидаемый эффект.</w:t>
      </w:r>
      <w:r>
        <w:t xml:space="preserve"> Доклад перестаёт быть сводкой наблюдений и становится документом, из которого можно взять число и вывод. Одновременно он становится пригоден и как готовый продукт для органов власти (направление 4.6, продукт 1), и как полноценный вход в центральный аналитический цикл, поскольку сейчас региональные материалы используются в нём слабее, чем позволяют данные.</w:t>
      </w:r>
    </w:p>
    <w:p>
      <w:pPr>
        <w:pStyle w:val="Heading2"/>
      </w:pPr>
      <w:r>
        <w:t>6. Что предлагается закрепить в Положении о ТУ</w:t>
      </w:r>
    </w:p>
    <w:p>
      <w:r>
        <w:t>Возможны три уровня вмешательства. Рекомендуется второй: он снимает правовую неопределённость, не создавая нового полномочия.</w:t>
      </w:r>
    </w:p>
    <w:p>
      <w:r>
        <w:rPr>
          <w:b/>
        </w:rPr>
        <w:t>Вариант 1 — без изменения Положения.</w:t>
      </w:r>
      <w:r>
        <w:t xml:space="preserve"> Выпустить организационно-распорядительный акт: регламент взаимодействия ТУ с органами власти, перечень тем, формы ответов, порядок учёта и публикации. Достоинство — обратимость и скорость. Недостаток — регламент не решает вопрос о том, вправе ли ТУ выпускать такие документы и кто отвечает за их содержание, поскольку ТУ не является юридическим лицом.</w:t>
      </w:r>
    </w:p>
    <w:p>
      <w:r>
        <w:rPr>
          <w:b/>
        </w:rPr>
        <w:t>Вариант 2 — минимальная правка: дополнить раздел 2.1 одним пунктом.</w:t>
      </w:r>
      <w:r>
        <w:t xml:space="preserve"> Пункт фиксирует предмет разъяснительной работы, её границы и порядок учёта, отсылая детали к распорядительным актам. Достоинство — норма появляется в Положении, но мандат не расширяется: содержание остаётся в рамках п. 1.4 и 1.5. Недостаток — требует юридической квалификации формулировки.</w:t>
      </w:r>
    </w:p>
    <w:p>
      <w:r>
        <w:rPr>
          <w:b/>
        </w:rPr>
        <w:t>Вариант 3 — отдельный раздел о взаимодействии с органами власти.</w:t>
      </w:r>
      <w:r>
        <w:t xml:space="preserve"> Наиболее полное решение, включающее продукты, сроки, информационный барьер и метрики. Достоинство — максимальная определённость. Недостаток — Положение становится тяжелее, а часть вопросов (сроки, формы) всё равно уходит в распорядительные акты.</w:t>
      </w:r>
    </w:p>
    <w:p>
      <w:r>
        <w:rPr>
          <w:b/>
        </w:rPr>
        <w:t>Предлагаемая редакция пункта для варианта 2</w:t>
      </w:r>
      <w:r>
        <w:t xml:space="preserve"> (проект, требует юридической проверки):</w:t>
      </w:r>
    </w:p>
    <w:p>
      <w:r>
        <w:t>&gt; «2.1.10. В целях информационно-аналитической поддержки и коммуникаций по денежно-кредитной политике главное управление в пределах своей компетенции осуществляет информационно-разъяснительное взаимодействие с органами государственной власти субъекта (субъектов) Российской Федерации и органами местного самоуправления по вопросам применения нормативных и иных актов Банка России, методологии расчёта показателей Банка России и использования официальной статистической информации, а также участвует в методологическом обеспечении региональных программ повышения финансовой грамотности и доступности финансовых услуг.</w:t>
      </w:r>
    </w:p>
    <w:p>
      <w:r>
        <w:t>&gt;</w:t>
      </w:r>
    </w:p>
    <w:p>
      <w:r>
        <w:t>&gt; Указанное взаимодействие не включает оценку инвестиционной привлекательности проектов, финансовых инструментов и эмитентов, подготовку рекомендаций по заимствованиям и размещению средств, оценку целесообразности решений органов государственной власти, а также предоставление сведений ограниченного доступа, полученных при осуществлении надзорных функций и производства по делам об административных правонарушениях.</w:t>
      </w:r>
    </w:p>
    <w:p>
      <w:r>
        <w:t>&gt;</w:t>
      </w:r>
    </w:p>
    <w:p>
      <w:r>
        <w:t>&gt; Порядок учёта обращений, сроки их рассмотрения и порядок опубликования обезличенных разъяснений устанавливаются организационно-распорядительными актами Банка России.»</w:t>
      </w:r>
    </w:p>
    <w:p>
      <w:r>
        <w:rPr>
          <w:b/>
        </w:rPr>
        <w:t>Что даёт эта редакция.</w:t>
      </w:r>
      <w:r>
        <w:t xml:space="preserve"> Вводит предмет (нормы, методология, статистика) и адресата (органы власти), фиксирует четыре запрета и отсылает процедуру к распорядительным актам. Она не создаёт права давать рекомендации и не меняет статус ТУ.</w:t>
      </w:r>
    </w:p>
    <w:p>
      <w:r>
        <w:rPr>
          <w:b/>
        </w:rPr>
        <w:t>Предлагаемая редакция пункта для направления 4.7</w:t>
      </w:r>
      <w:r>
        <w:t xml:space="preserve"> (проект, требует юридической проверки):</w:t>
      </w:r>
    </w:p>
    <w:p>
      <w:r>
        <w:t>&gt; «2.1.11. Главное управление в пределах своей компетенции готовит и публикует аналитические материалы о факторах инфляции в регионе, включая факторы предложения и эффекты мер регулирования, с количественной оценкой их вклада в динамику цен.</w:t>
      </w:r>
    </w:p>
    <w:p>
      <w:r>
        <w:t>&gt;</w:t>
      </w:r>
    </w:p>
    <w:p>
      <w:r>
        <w:t>&gt; Указанные материалы не содержат оценки целесообразности решений органов государственной власти. Оценка влияния конкретного решения органа государственной власти может быть подготовлена по его письменному запросу и публикуется только с его согласия.</w:t>
      </w:r>
    </w:p>
    <w:p>
      <w:r>
        <w:t>&gt;</w:t>
      </w:r>
    </w:p>
    <w:p>
      <w:r>
        <w:t>&gt; Порядок подготовки и согласования материалов с Департаментом денежно-кредитной политики устанавливается организационно-распорядительными актами Банка России.»</w:t>
      </w:r>
    </w:p>
    <w:p>
      <w:r>
        <w:rPr>
          <w:b/>
        </w:rPr>
        <w:t>Почему отдельный пункт, а не оговорка в 2.1.10.</w:t>
      </w:r>
      <w:r>
        <w:t xml:space="preserve"> Публикация материалов о факторах инфляции — самостоятельное действие с собственным риском, и смешивать её с разъяснительной работой для органов власти нежелательно: у них разные адресаты, разные процедуры согласования и разный режим публичности. Если выбирается вариант 3 (отдельный раздел), оба пункта входят в него.</w:t>
      </w:r>
    </w:p>
    <w:p>
      <w:r>
        <w:rPr>
          <w:b/>
        </w:rPr>
        <w:t>Что предлагается закрепить вне Положения, распорядительными актами:</w:t>
      </w:r>
      <w:r>
        <w:t xml:space="preserve"> единый перечень тем; форма ответа и обязательная оговорка; срок рассмотрения; порядок согласования сложных ответов с профильным подразделением центрального аппарата; информационный барьер между консультационным и надзорным контурами; кадровое разделение; методический владелец и аудит согласованности ответов; порядок ведения реестра вопросов и ответов.</w:t>
      </w:r>
    </w:p>
    <w:p>
      <w:pPr>
        <w:pStyle w:val="Heading2"/>
      </w:pPr>
      <w:r>
        <w:t>7. Риски и меры</w:t>
      </w:r>
    </w:p>
    <w:p>
      <w:r>
        <w:rPr>
          <w:b/>
        </w:rPr>
        <w:t>Ответственность за совет.</w:t>
      </w:r>
      <w:r>
        <w:t xml:space="preserve"> Ответ может быть воспринят как основание решения, а при неблагоприятных последствиях — как его причина; поскольку ТУ не юридическое лицо, последствия ложатся на Банк России. </w:t>
      </w:r>
      <w:r>
        <w:rPr>
          <w:i/>
        </w:rPr>
        <w:t>Мера:</w:t>
      </w:r>
      <w:r>
        <w:t xml:space="preserve"> узкий предмет, письменная форма, стандартная оговорка, согласование сложных ответов, публикация в реестре.</w:t>
      </w:r>
    </w:p>
    <w:p>
      <w:r>
        <w:rPr>
          <w:b/>
        </w:rPr>
        <w:t>Регуляторный захват.</w:t>
      </w:r>
      <w:r>
        <w:t xml:space="preserve"> Регулярное тесное взаимодействие с органами власти может сдвинуть оценки ТУ в пользу региональных интересов, в том числе через поднадзорные организации. </w:t>
      </w:r>
      <w:r>
        <w:rPr>
          <w:i/>
        </w:rPr>
        <w:t>Мера:</w:t>
      </w:r>
      <w:r>
        <w:t xml:space="preserve"> запрет передавать региональные позиции как позиции ТУ, ротация ответственных, раскрытие агрегированной статистики взаимодействия, аудит методического владельца.</w:t>
      </w:r>
    </w:p>
    <w:p>
      <w:r>
        <w:rPr>
          <w:b/>
        </w:rPr>
        <w:t>Утечка надзорной информации.</w:t>
      </w:r>
      <w:r>
        <w:t xml:space="preserve"> В ТУ, где сохранены функции п. 2.7, 2.9.5 и 2.17.14, консультационный и надзорный контуры близки кадрово и территориально. </w:t>
      </w:r>
      <w:r>
        <w:rPr>
          <w:i/>
        </w:rPr>
        <w:t>Мера:</w:t>
      </w:r>
      <w:r>
        <w:t xml:space="preserve"> единый безусловный отказ от комментариев о конкретных организациях независимо от наличия надзорных действий; кадровое разделение; работа консультационного контура только с публичными и агрегированными данными; порог агрегирования для малых рынков.</w:t>
      </w:r>
    </w:p>
    <w:p>
      <w:r>
        <w:rPr>
          <w:b/>
        </w:rPr>
        <w:t>Смешение с инвестиционным консультированием.</w:t>
      </w:r>
      <w:r>
        <w:t xml:space="preserve"> Ответы о займах субъекта или размещении средств могут восприниматься как индивидуальные инвестиционные рекомендации. </w:t>
      </w:r>
      <w:r>
        <w:rPr>
          <w:i/>
        </w:rPr>
        <w:t>Мера:</w:t>
      </w:r>
      <w:r>
        <w:t xml:space="preserve"> исключение оценок конкретных инструментов, эмитентов и участников; только разъяснение регулирования и публичной статистики.</w:t>
      </w:r>
    </w:p>
    <w:p>
      <w:r>
        <w:rPr>
          <w:b/>
        </w:rPr>
        <w:t>Конфликт с процессуальной ролью.</w:t>
      </w:r>
      <w:r>
        <w:t xml:space="preserve"> Орган власти может одновременно быть адресатом консультаций и участником производства по делу. </w:t>
      </w:r>
      <w:r>
        <w:rPr>
          <w:i/>
        </w:rPr>
        <w:t>Мера:</w:t>
      </w:r>
      <w:r>
        <w:t xml:space="preserve"> отклонение и регистрация обращений, связанных с делами и надзорными мероприятиями.</w:t>
      </w:r>
    </w:p>
    <w:p>
      <w:r>
        <w:rPr>
          <w:b/>
        </w:rPr>
        <w:t>Политизация.</w:t>
      </w:r>
      <w:r>
        <w:t xml:space="preserve"> Материалы могут использоваться в региональной полемике как аргумент «за» или «против» действий власти. </w:t>
      </w:r>
      <w:r>
        <w:rPr>
          <w:i/>
        </w:rPr>
        <w:t>Мера:</w:t>
      </w:r>
      <w:r>
        <w:t xml:space="preserve"> публичность и одинаковость продуктов для всех адресатов, запрет оценок политики органов власти.</w:t>
      </w:r>
    </w:p>
    <w:p>
      <w:r>
        <w:rPr>
          <w:b/>
        </w:rPr>
        <w:t>Расхождение с центральной коммуникацией.</w:t>
      </w:r>
      <w:r>
        <w:t xml:space="preserve"> Региональные комментарии могут быть прочитаны рынком как сигнал по ДКП. </w:t>
      </w:r>
      <w:r>
        <w:rPr>
          <w:i/>
        </w:rPr>
        <w:t>Мера:</w:t>
      </w:r>
      <w:r>
        <w:t xml:space="preserve"> следование графику центрального аппарата, опора только на опубликованные материалы.</w:t>
      </w:r>
    </w:p>
    <w:p>
      <w:r>
        <w:rPr>
          <w:b/>
        </w:rPr>
        <w:t>Вытеснение основных функций.</w:t>
      </w:r>
      <w:r>
        <w:t xml:space="preserve"> Консультационная нагрузка забирает ресурс у мониторинга и надзорной поддержки, особенно в малочисленных ТУ. </w:t>
      </w:r>
      <w:r>
        <w:rPr>
          <w:i/>
        </w:rPr>
        <w:t>Мера:</w:t>
      </w:r>
      <w:r>
        <w:t xml:space="preserve"> лимит доли рабочего времени в пилоте, учёт трудозатрат, остановка компонента при превышении лимита.</w:t>
      </w:r>
    </w:p>
    <w:p>
      <w:r>
        <w:rPr>
          <w:b/>
        </w:rPr>
        <w:t>Перекладывание ответственности («инфляция не наша»).</w:t>
      </w:r>
      <w:r>
        <w:t xml:space="preserve"> Публичное перечисление немонетарных факторов читается как снятие ответственности с денежно-кредитной политики и снижает доверие к ней ровно в той степени, в какой аудитория не видит вклада ставки и спроса. </w:t>
      </w:r>
      <w:r>
        <w:rPr>
          <w:i/>
        </w:rPr>
        <w:t>Мера:</w:t>
      </w:r>
      <w:r>
        <w:t xml:space="preserve"> в каждом материале приводится полное разложение — спрос, ставка, факторы предложения, регулирование, остаток; заголовки формулируются как «что происходит с ценами», а не «кто виноват»; материалы с дисбалансом разделов не публикуются.</w:t>
      </w:r>
    </w:p>
    <w:p>
      <w:r>
        <w:rPr>
          <w:b/>
        </w:rPr>
        <w:t>Конфликт с региональными властями.</w:t>
      </w:r>
      <w:r>
        <w:t xml:space="preserve"> Адресная оценка влияния решения органа власти на цены воспринимается как вмешательство в его компетенцию и может ухудшить рабочие отношения, от которых зависит и мониторинг предприятий, и координация по финграмотности и доступности. </w:t>
      </w:r>
      <w:r>
        <w:rPr>
          <w:i/>
        </w:rPr>
        <w:t>Мера:</w:t>
      </w:r>
      <w:r>
        <w:t xml:space="preserve"> атрибуция к виду регулирования, а не к органу; адресные оценки только по письменному запросу и с согласия органа; предварительное информирование органа о готовящемся материале, если он упоминается.</w:t>
      </w:r>
    </w:p>
    <w:p>
      <w:r>
        <w:rPr>
          <w:b/>
        </w:rPr>
        <w:t>Неравный доступ.</w:t>
      </w:r>
      <w:r>
        <w:t xml:space="preserve"> Более активные органы власти получат больше внимания, что усилит, а не сгладит различия. </w:t>
      </w:r>
      <w:r>
        <w:rPr>
          <w:i/>
        </w:rPr>
        <w:t>Мера:</w:t>
      </w:r>
      <w:r>
        <w:t xml:space="preserve"> базовые продукты 1–3 предоставляются всем субъектам зоны ТУ без запроса, охват отслеживается.</w:t>
      </w:r>
    </w:p>
    <w:p>
      <w:pPr>
        <w:pStyle w:val="Heading2"/>
      </w:pPr>
      <w:r>
        <w:t>8. Как проверять результат</w:t>
      </w:r>
    </w:p>
    <w:p>
      <w:r>
        <w:t>Пилот на 12 месяцев в нескольких макрорегионах с разной структурой экономики, при единой методике и контрольной группе ТУ, продолжающих обычную практику. Перечень регионов — после аудита кадров и процессов.</w:t>
      </w:r>
    </w:p>
    <w:p>
      <w:r>
        <w:rPr>
          <w:b/>
        </w:rPr>
        <w:t>Метрики аналитического контура:</w:t>
      </w:r>
      <w:r>
        <w:t xml:space="preserve"> регулярность и полнота панели; баланс отраслей и размеров предприятий; срок от сигнала до использования в центральном цикле; доля сигналов, подтверждённых официальными данными; добавочная точность прогнозов относительно закреплённого бенчмарка; документированное использование материалов комитетами.</w:t>
      </w:r>
    </w:p>
    <w:p>
      <w:r>
        <w:rPr>
          <w:b/>
        </w:rPr>
        <w:t>Метрики консультационного контура:</w:t>
      </w:r>
      <w:r>
        <w:t xml:space="preserve"> доля обращений вне мандата, получивших мотивированный отказ (цель — 100 %); число случаев переклассификации ответа в коммерческую категорию при аудите (цель — ноль); доля ответов в регламентный срок; согласованность ответов между регионами на одинаковые вопросы; охват органов власти без концентрации на одном адресате; число инцидентов раскрытия информации ограниченного доступа (цель — ноль).</w:t>
      </w:r>
    </w:p>
    <w:p>
      <w:r>
        <w:rPr>
          <w:b/>
        </w:rPr>
        <w:t>Метрики контура немонетарных факторов (направление 4.7):</w:t>
      </w:r>
      <w:r>
        <w:t xml:space="preserve"> доля веса корзины ИПЦ, охваченная разложением (цель — не менее 80 %); расхождение разложенного прироста с фактическим (не более 0,3 процентного пункта); доля утверждений с числовым вкладом (100 %); число публикаций с адресной оценкой решений органа без его согласия (цель — ноль); наличие полного разложения «спрос — ставка — предложение — регулирование» в каждом материале (100 %).</w:t>
      </w:r>
    </w:p>
    <w:p>
      <w:r>
        <w:rPr>
          <w:b/>
        </w:rPr>
        <w:t>Правило масштабирования:</w:t>
      </w:r>
      <w:r>
        <w:t xml:space="preserve"> только при одновременном выполнении трёх условий — ноль инцидентов по информации ограниченного доступа, соблюдение границ мандата при выборочном аудите, подтверждённое единообразие ответов. Высокая оценка полезности при нарушении любого из них оснований для масштабирования не даёт.</w:t>
      </w:r>
    </w:p>
    <w:p>
      <w:pPr>
        <w:pStyle w:val="Heading2"/>
      </w:pPr>
      <w:r>
        <w:t>9. Что требует проверки до решения</w:t>
      </w:r>
    </w:p>
    <w:p>
      <w:pPr>
        <w:pStyle w:val="ListBullet"/>
      </w:pPr>
      <w:r>
        <w:rPr>
          <w:b/>
        </w:rPr>
        <w:t>Внутренние регламенты.</w:t>
      </w:r>
      <w:r>
        <w:t xml:space="preserve"> Не установлено, существуют ли акты, регулирующие ответы ТУ на запросы органов власти: сроки, согласование, форма, учёт. Если существуют — предложения нужно встраивать в них.</w:t>
      </w:r>
    </w:p>
    <w:p>
      <w:pPr>
        <w:pStyle w:val="ListBullet"/>
      </w:pPr>
      <w:r>
        <w:rPr>
          <w:b/>
        </w:rPr>
        <w:t>Кадровый ресурс.</w:t>
      </w:r>
      <w:r>
        <w:t xml:space="preserve"> Численность и квалификация ТУ после передачи функций в хабы публично не раскрываются; неизвестно, есть ли в каждом пилотном ТУ сотрудники для аналитических продуктов без отвлечения от основных функций.</w:t>
      </w:r>
    </w:p>
    <w:p>
      <w:pPr>
        <w:pStyle w:val="ListBullet"/>
      </w:pPr>
      <w:r>
        <w:rPr>
          <w:b/>
        </w:rPr>
        <w:t>Нагрузка.</w:t>
      </w:r>
      <w:r>
        <w:t xml:space="preserve"> Поток обращений не оценён; лимиты трудозатрат предложены без количественной базы.</w:t>
      </w:r>
    </w:p>
    <w:p>
      <w:pPr>
        <w:pStyle w:val="ListBullet"/>
      </w:pPr>
      <w:r>
        <w:rPr>
          <w:b/>
        </w:rPr>
        <w:t>Правовая квалификация продуктов 4–7.</w:t>
      </w:r>
      <w:r>
        <w:t xml:space="preserve"> Не проверено, могут ли разборы региональных программ и ответы квалифицироваться как официальные разъяснения, заключения или инвестиционные рекомендации, и вправе ли ТУ выпускать такие документы от своего имени.</w:t>
      </w:r>
    </w:p>
    <w:p>
      <w:pPr>
        <w:pStyle w:val="ListBullet"/>
      </w:pPr>
      <w:r>
        <w:rPr>
          <w:b/>
        </w:rPr>
        <w:t>Антикоррупционные требования.</w:t>
      </w:r>
      <w:r>
        <w:t xml:space="preserve"> Не проанализировано, как регулярное взаимодействие с должностными лицами соотносится с требованиями о конфликте интересов и ограничениях на участие в рабочих группах.</w:t>
      </w:r>
    </w:p>
    <w:p>
      <w:pPr>
        <w:pStyle w:val="ListBullet"/>
      </w:pPr>
      <w:r>
        <w:rPr>
          <w:b/>
        </w:rPr>
        <w:t>Порог агрегирования.</w:t>
      </w:r>
      <w:r>
        <w:t xml:space="preserve"> Не установлено, при каком числе организаций региональные данные можно передавать без риска раскрытия сведений об отдельных участниках.</w:t>
      </w:r>
    </w:p>
    <w:p>
      <w:pPr>
        <w:pStyle w:val="ListBullet"/>
      </w:pPr>
      <w:r>
        <w:rPr>
          <w:b/>
        </w:rPr>
        <w:t>Передача функций в хабы.</w:t>
      </w:r>
      <w:r>
        <w:t xml:space="preserve"> Не установлено, какие именно функции по п. 2.7 переданы и какие ТУ их сохраняют; от этого зависит строгость информационного барьера.</w:t>
      </w:r>
    </w:p>
    <w:p>
      <w:pPr>
        <w:pStyle w:val="ListBullet"/>
      </w:pPr>
      <w:r>
        <w:rPr>
          <w:b/>
        </w:rPr>
        <w:t>Правовая рамка публичных оценок влияния решений органов власти (направление 4.7).</w:t>
      </w:r>
      <w:r>
        <w:t xml:space="preserve"> Не проверено, как квалифицируется публикация оценки влияния мер регулирования на цены: как аналитический материал Банка России или как оценка деятельности органа власти, требующая иного режима. Нужно заключение до первого выпуска.</w:t>
      </w:r>
    </w:p>
    <w:p>
      <w:pPr>
        <w:pStyle w:val="ListBullet"/>
      </w:pPr>
      <w:r>
        <w:rPr>
          <w:b/>
        </w:rPr>
        <w:t>Данные для декомпозиции.</w:t>
      </w:r>
      <w:r>
        <w:t xml:space="preserve"> Не установлено, доступны ли по каждому региону ряды регулируемых тарифов, ставок акцизов и субсидий с достаточной детализацией: без них разложение по отраслям не достигает заявленного порога 80 % веса корзины.</w:t>
      </w:r>
    </w:p>
    <w:p>
      <w:pPr>
        <w:pStyle w:val="ListBullet"/>
      </w:pPr>
      <w:r>
        <w:rPr>
          <w:b/>
        </w:rPr>
        <w:t>Методика.</w:t>
      </w:r>
      <w:r>
        <w:t xml:space="preserve"> Единой методики разложения региональной инфляции на спрос, предложение и регулирование публично не существует; её нужно разработать и зафиксировать до пилота, иначе результаты между регионами будут несопоставимы.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Положение Банка России от 14.01.2026 № 880-П «О территориальных учреждениях Банка России» (Вестник Банка России № 3 (2592) от 28.01.2026): https://www.cbr.ru/Queries/UniDbQuery/File/90134/7455</w:t>
      </w:r>
    </w:p>
    <w:p>
      <w:pPr>
        <w:pStyle w:val="ListBullet"/>
      </w:pPr>
      <w:r>
        <w:t>Банк России, доклад «Региональная экономика: комментарии ГУ»: https://cbr.ru/analytics/dkp/reg_review/ ; выпуск № 47, октябрь 2026 (PDF, 70 с.): https://cbr.ru/Collection/Collection/File/62449/1026.pdf ; выпуск № 46, сентябрь 2026: https://cbr.ru/analytics/dkp/reg_review/0926/</w:t>
      </w:r>
    </w:p>
    <w:p>
      <w:pPr>
        <w:pStyle w:val="ListBullet"/>
      </w:pPr>
      <w:r>
        <w:t>Банк России, доклад «О немонетарных факторах инфляции и мерах по снижению её волатильности» (2017, 60 с.): https://www.cbr.ru/Content/Document/File/25502/nfi.pdf</w:t>
      </w:r>
    </w:p>
    <w:p>
      <w:pPr>
        <w:pStyle w:val="ListBullet"/>
      </w:pPr>
      <w:r>
        <w:t>Банк России, доклад «О немонетарных факторах инфляции в 2017–2019 годах» (18.12.2019): http://cbr.ru/Content/Document/File/95172/ddcp_20191218.pdf ; пресс-релиз: http://cbr.ru/press/event/?id=5254</w:t>
      </w:r>
    </w:p>
    <w:p>
      <w:pPr>
        <w:pStyle w:val="ListBullet"/>
      </w:pPr>
      <w:r>
        <w:t>Банк России, финансовая доступность: https://www.cbr.ru/analytics/develop/fin_avail/</w:t>
      </w:r>
    </w:p>
    <w:p>
      <w:pPr>
        <w:pStyle w:val="ListBullet"/>
      </w:pPr>
      <w:r>
        <w:t>Банк России, территориальные учреждения: https://www.cbr.ru/about_br/tubr/</w:t>
      </w:r>
    </w:p>
    <w:p>
      <w:pPr>
        <w:pStyle w:val="ListBullet"/>
      </w:pPr>
      <w:r>
        <w:t>Федеральный закон от 10.07.2002 № 86-ФЗ «О Центральном банке Российской Федерации (Банке России)»: https://www.pravo.gov.ru/proxy/ips/?docbody=&amp;nd=102077052</w:t>
      </w:r>
    </w:p>
    <w:p>
      <w:pPr>
        <w:pStyle w:val="ListBullet"/>
      </w:pPr>
      <w:r>
        <w:t>Федеральный закон от 22.04.1996 № 39-ФЗ «О рынке ценных бумаг», ст. 6.1 (инвестиционное консультирование)</w:t>
      </w:r>
    </w:p>
    <w:p>
      <w:pPr>
        <w:pStyle w:val="ListBullet"/>
      </w:pPr>
      <w:r>
        <w:t>КоАП РФ, ст. 23.74 (Банк России как орган, рассматривающий дела об административных правонарушениях)</w:t>
      </w:r>
    </w:p>
    <w:p>
      <w:pPr>
        <w:pStyle w:val="ListBullet"/>
      </w:pPr>
      <w:r>
        <w:t>Federal Reserve, структура системы: https://www.federalreserve.gov/aboutthefed/structure-federal-reserve-system.htm ; Beige Book: https://www.federalreserve.gov/monetarypolicy/publications/beige-book-default.htm ; community development: https://www.federalreserve.gov/consumerscommunities/comm-dev-system-map.htm</w:t>
      </w:r>
    </w:p>
    <w:p>
      <w:pPr>
        <w:pStyle w:val="ListBullet"/>
      </w:pPr>
      <w:r>
        <w:t>Bank of England, сеть агентов: https://www.bankofengland.co.uk/about/people/agents</w:t>
      </w:r>
    </w:p>
    <w:p>
      <w:pPr>
        <w:pStyle w:val="ListBullet"/>
      </w:pPr>
      <w:r>
        <w:t>Banca d'Italia, сеть территориальных исследований: https://www.bancaditalia.it/compiti/ricerca-economica/rete-territoriale-ricerca/index.html</w:t>
      </w:r>
    </w:p>
    <w:p>
      <w:pPr>
        <w:pStyle w:val="ListBullet"/>
      </w:pPr>
      <w:r>
        <w:t>Bundesbank, организация и региональные офисы: https://www.bundesbank.de/en/bundesbank/organisation ; https://www.bundesbank.de/en/bundesbank/regional-offices-branches</w:t>
      </w:r>
    </w:p>
    <w:p>
      <w:pPr>
        <w:pStyle w:val="ListBullet"/>
      </w:pPr>
      <w:r>
        <w:t>ECB Banking Supervision, совместные надзорные группы: https://www.bankingsupervision.europa.eu/framework/approach/Joint-supervisory-teams/html/index.en.html</w:t>
      </w:r>
    </w:p>
    <w:p>
      <w:pPr>
        <w:pStyle w:val="ListBullet"/>
      </w:pPr>
      <w:r>
        <w:t>RBA, программа связей: https://www.rba.gov.au/publications/bulletin/2022/sep/the-reserve-banks-liaison-program-turns-21.html</w:t>
      </w:r>
    </w:p>
    <w:p>
      <w:pPr>
        <w:pStyle w:val="ListBullet"/>
      </w:pPr>
      <w:r>
        <w:t>RBA, Statement on Monetary Policy, февраль 2026: https://www.rba.gov.au/publications/smp/2026/feb/pdf/statement-on-monetary-policy-2026-02.pdf ; май 2026 (Outlook): https://www.rba.gov.au/publications/smp/2026/may/outlook.html</w:t>
      </w:r>
    </w:p>
    <w:p>
      <w:pPr>
        <w:pStyle w:val="ListBullet"/>
      </w:pPr>
      <w:r>
        <w:t>ECB, Economic Bulletin, врезка о фискальных мерах в энергетическом кризисе (февраль 2023): https://www.ecb.europa.eu/press/economic-bulletin/focus/2023/html/ecb.ebbox202302_09~37755e445d.en.html</w:t>
      </w:r>
    </w:p>
    <w:p>
      <w:pPr>
        <w:pStyle w:val="ListBullet"/>
      </w:pPr>
      <w:r>
        <w:t>RBI, региональные офисы: https://rbi.org.in/Scripts/RegionalOffices.aspx ; RBI Act, section 9: https://rbidocs.rbi.org.in/rdocs/Publications/PDFs/RBIA1934170510.pdf</w:t>
      </w:r>
    </w:p>
    <w:p>
      <w:pPr>
        <w:pStyle w:val="ListBullet"/>
      </w:pPr>
      <w:r>
        <w:t>Banco Central do Brasil, региональные представительства: https://www.bcb.gov.br/acessoinformacao/regionais</w:t>
      </w:r>
    </w:p>
    <w:p>
      <w:pPr>
        <w:pStyle w:val="ListBullet"/>
      </w:pPr>
      <w:r>
        <w:t>People's Daily, запуск филиалов НБК (19.08.2023): https://paper.people.com.cn/rmrbhwb/html/2023-08/19/content_26012188.htm ; Xinhua (18.08.2023): http://www.news.cn/fortune/2023-08/18/c_1129810276.htm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