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Дизайн прогноза спроса на жильё в расширенной рамке: первичка, вторичка, доходы, сбережения</w:t>
      </w:r>
    </w:p>
    <w:bookmarkStart w:id="9" w:name="расширение-вопроса"/>
    <w:p>
      <w:pPr>
        <w:pStyle w:val="Heading1"/>
      </w:pPr>
      <w:r>
        <w:t xml:space="preserve">1. Расширение вопроса</w:t>
      </w:r>
    </w:p>
    <w:p>
      <w:pPr>
        <w:pStyle w:val="FirstParagraph"/>
      </w:pPr>
      <w:r>
        <w:t xml:space="preserve">Прежний дизайн отвечал на вопрос «как изменится спрос на первичку из-за реформы</w:t>
      </w:r>
      <w:r>
        <w:t xml:space="preserve"> </w:t>
      </w:r>
      <w:r>
        <w:t xml:space="preserve">семейной ипотеки». Новая рамка шире:</w:t>
      </w:r>
      <w:r>
        <w:t xml:space="preserve"> </w:t>
      </w:r>
      <w:r>
        <w:rPr>
          <w:b/>
          <w:bCs/>
        </w:rPr>
        <w:t xml:space="preserve">спрос на первичное жильё как часть системы</w:t>
      </w:r>
      <w:r>
        <w:rPr>
          <w:b/>
          <w:bCs/>
        </w:rPr>
        <w:t xml:space="preserve"> </w:t>
      </w:r>
      <w:r>
        <w:rPr>
          <w:b/>
          <w:bCs/>
        </w:rPr>
        <w:t xml:space="preserve">решений домохозяйства</w:t>
      </w:r>
      <w:r>
        <w:t xml:space="preserve"> </w:t>
      </w:r>
      <w:r>
        <w:t xml:space="preserve">— купить новостройку или готовое жильё, сколько взять в</w:t>
      </w:r>
      <w:r>
        <w:t xml:space="preserve"> </w:t>
      </w:r>
      <w:r>
        <w:t xml:space="preserve">кредит, сколько накопить и куда положить сбережения. Вопрос формулируется так:</w:t>
      </w:r>
    </w:p>
    <w:p>
      <w:pPr>
        <w:pStyle w:val="BlockText"/>
      </w:pPr>
      <w:r>
        <w:t xml:space="preserve">как связаны спрос на первичное и вторичное жильё, доходы населения и динамика</w:t>
      </w:r>
      <w:r>
        <w:t xml:space="preserve"> </w:t>
      </w:r>
      <w:r>
        <w:t xml:space="preserve">сбережений — и что из этого позволяет прогнозировать спрос на первичку на</w:t>
      </w:r>
      <w:r>
        <w:t xml:space="preserve"> </w:t>
      </w:r>
      <w:r>
        <w:t xml:space="preserve">краткосрочном (1–3 месяца) и среднесрочном (1–3 года) горизонте?</w:t>
      </w:r>
    </w:p>
    <w:p>
      <w:pPr>
        <w:pStyle w:val="FirstParagraph"/>
      </w:pPr>
      <w:r>
        <w:t xml:space="preserve">Прежняя работа остаётся внутри: реформа 01.10.2026 — это шок предложения субсидии,</w:t>
      </w:r>
      <w:r>
        <w:t xml:space="preserve"> </w:t>
      </w:r>
      <w:r>
        <w:t xml:space="preserve">а не альтернативная рамка.</w:t>
      </w:r>
    </w:p>
    <w:bookmarkEnd w:id="9"/>
    <w:bookmarkStart w:id="10" w:name="экономическая-рамка"/>
    <w:p>
      <w:pPr>
        <w:pStyle w:val="Heading1"/>
      </w:pPr>
      <w:r>
        <w:t xml:space="preserve">2. Экономическая рамка</w:t>
      </w:r>
    </w:p>
    <w:p>
      <w:pPr>
        <w:pStyle w:val="FirstParagraph"/>
      </w:pPr>
      <w:r>
        <w:t xml:space="preserve">Домохозяйство решает задачу выбора между тремя активами и одним благом: жильё</w:t>
      </w:r>
      <w:r>
        <w:t xml:space="preserve"> </w:t>
      </w:r>
      <w:r>
        <w:t xml:space="preserve">(первичное или вторичное), вклады (сбережения) и текущее потребление. Отсюда пять</w:t>
      </w:r>
      <w:r>
        <w:t xml:space="preserve"> </w:t>
      </w:r>
      <w:r>
        <w:t xml:space="preserve">каналов, которые должны быть в модели явно, иначе прогноз не интерпретируем: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Доходный канал</w:t>
      </w:r>
      <w:r>
        <w:t xml:space="preserve"> </w:t>
      </w:r>
      <w:r>
        <w:t xml:space="preserve">— рост доходов повышает платёжеспособность и спрос на жильё;</w:t>
      </w:r>
      <w:r>
        <w:t xml:space="preserve"> </w:t>
      </w:r>
      <w:r>
        <w:t xml:space="preserve">эластичность здесь ключевой параметр.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Канал альтернативной стоимости</w:t>
      </w:r>
      <w:r>
        <w:t xml:space="preserve"> </w:t>
      </w:r>
      <w:r>
        <w:t xml:space="preserve">— при высоких ставках по вкладам</w:t>
      </w:r>
      <w:r>
        <w:t xml:space="preserve"> </w:t>
      </w:r>
      <w:r>
        <w:t xml:space="preserve">домохозяйство откладывает покупку и накапливает первоначальный взнос. Этот канал</w:t>
      </w:r>
      <w:r>
        <w:t xml:space="preserve"> </w:t>
      </w:r>
      <w:r>
        <w:t xml:space="preserve">противоположен по знаку первому и в периоды высокой ключевой ставки может его</w:t>
      </w:r>
      <w:r>
        <w:t xml:space="preserve"> </w:t>
      </w:r>
      <w:r>
        <w:t xml:space="preserve">перевешивать.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Кредитный канал</w:t>
      </w:r>
      <w:r>
        <w:t xml:space="preserve"> </w:t>
      </w:r>
      <w:r>
        <w:t xml:space="preserve">— ставка по ипотеке и её субсидируемая часть определяют</w:t>
      </w:r>
      <w:r>
        <w:t xml:space="preserve"> </w:t>
      </w:r>
      <w:r>
        <w:t xml:space="preserve">стоимость кредита; здесь работает прежний дизайн (эластичность −1,0 по</w:t>
      </w:r>
      <w:r>
        <w:t xml:space="preserve"> </w:t>
      </w:r>
      <w:r>
        <w:t xml:space="preserve">первичному рынку).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Канал замещения первичка/вторичка</w:t>
      </w:r>
      <w:r>
        <w:t xml:space="preserve"> </w:t>
      </w:r>
      <w:r>
        <w:t xml:space="preserve">— при сжатии субсидий в новостройках</w:t>
      </w:r>
      <w:r>
        <w:t xml:space="preserve"> </w:t>
      </w:r>
      <w:r>
        <w:t xml:space="preserve">(где льготы были сосредоточены) спрос частично уходит на вторичный рынок, который</w:t>
      </w:r>
      <w:r>
        <w:t xml:space="preserve"> </w:t>
      </w:r>
      <w:r>
        <w:t xml:space="preserve">в льготных программах почти не участвует.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Канал накопления взноса</w:t>
      </w:r>
      <w:r>
        <w:t xml:space="preserve"> </w:t>
      </w:r>
      <w:r>
        <w:t xml:space="preserve">— сбережения не только альтернатива, но и источник</w:t>
      </w:r>
      <w:r>
        <w:t xml:space="preserve"> </w:t>
      </w:r>
      <w:r>
        <w:t xml:space="preserve">первоначального взноса: рост вкладов может предшествовать всплеску покупок.</w:t>
      </w:r>
    </w:p>
    <w:p>
      <w:pPr>
        <w:pStyle w:val="FirstParagraph"/>
      </w:pPr>
      <w:r>
        <w:t xml:space="preserve">Содержательно важно, что каналы 1 и 2 действуют в противоположные стороны, а канал 4</w:t>
      </w:r>
      <w:r>
        <w:t xml:space="preserve"> </w:t>
      </w:r>
      <w:r>
        <w:t xml:space="preserve">переносит спрос между сегментами. Именно поэтому прогноз «одной переменной» здесь</w:t>
      </w:r>
      <w:r>
        <w:t xml:space="preserve"> </w:t>
      </w:r>
      <w:r>
        <w:t xml:space="preserve">некорректен: нужна система.</w:t>
      </w:r>
    </w:p>
    <w:bookmarkEnd w:id="10"/>
    <w:bookmarkStart w:id="13" w:name="данные-что-есть-и-чего-не-хватает"/>
    <w:p>
      <w:pPr>
        <w:pStyle w:val="Heading1"/>
      </w:pPr>
      <w:r>
        <w:t xml:space="preserve">3. Данные: что есть и чего не хватает</w:t>
      </w:r>
    </w:p>
    <w:bookmarkStart w:id="11" w:name="доступно-сейчас"/>
    <w:p>
      <w:pPr>
        <w:pStyle w:val="Heading2"/>
      </w:pPr>
      <w:r>
        <w:t xml:space="preserve">3.1. Доступно сейчас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Ряд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Покрытие</w:t>
            </w:r>
          </w:p>
        </w:tc>
        <w:tc>
          <w:tcPr/>
          <w:p>
            <w:pPr>
              <w:pStyle w:val="Compact"/>
            </w:pPr>
            <w:r>
              <w:t xml:space="preserve">Глубина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Первичка</w:t>
            </w:r>
          </w:p>
        </w:tc>
        <w:tc>
          <w:tcPr/>
          <w:p>
            <w:pPr>
              <w:pStyle w:val="Compact"/>
            </w:pPr>
            <w:r>
              <w:t xml:space="preserve">ИЖК под залог прав требования по ДДУ (число, объём, ставка)</w:t>
            </w:r>
          </w:p>
        </w:tc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85 регионов</w:t>
            </w:r>
          </w:p>
        </w:tc>
        <w:tc>
          <w:tcPr/>
          <w:p>
            <w:pPr>
              <w:pStyle w:val="Compact"/>
            </w:pPr>
            <w:r>
              <w:t xml:space="preserve">2019-01…2026-08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Первичка</w:t>
            </w:r>
          </w:p>
        </w:tc>
        <w:tc>
          <w:tcPr/>
          <w:p>
            <w:pPr>
              <w:pStyle w:val="Compact"/>
            </w:pPr>
            <w:r>
              <w:t xml:space="preserve">Действующие ДДУ (количество, суммарная цена)</w:t>
            </w:r>
          </w:p>
        </w:tc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98 регионов</w:t>
            </w:r>
          </w:p>
        </w:tc>
        <w:tc>
          <w:tcPr/>
          <w:p>
            <w:pPr>
              <w:pStyle w:val="Compact"/>
            </w:pPr>
            <w:r>
              <w:t xml:space="preserve">2021-01…2026-08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Первичка</w:t>
            </w:r>
          </w:p>
        </w:tc>
        <w:tc>
          <w:tcPr/>
          <w:p>
            <w:pPr>
              <w:pStyle w:val="Compact"/>
            </w:pPr>
            <w:r>
              <w:t xml:space="preserve">Эскроу: счета, остатки, раскрытия</w:t>
            </w:r>
          </w:p>
        </w:tc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85 регионов</w:t>
            </w:r>
          </w:p>
        </w:tc>
        <w:tc>
          <w:tcPr/>
          <w:p>
            <w:pPr>
              <w:pStyle w:val="Compact"/>
            </w:pPr>
            <w:r>
              <w:t xml:space="preserve">2022-01…2026-07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Первичка</w:t>
            </w:r>
          </w:p>
        </w:tc>
        <w:tc>
          <w:tcPr/>
          <w:p>
            <w:pPr>
              <w:pStyle w:val="Compact"/>
            </w:pPr>
            <w:r>
              <w:t xml:space="preserve">Ввод жилья оперативно</w:t>
            </w:r>
          </w:p>
        </w:tc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РФ</w:t>
            </w:r>
          </w:p>
        </w:tc>
        <w:tc>
          <w:tcPr/>
          <w:p>
            <w:pPr>
              <w:pStyle w:val="Compact"/>
            </w:pPr>
            <w:r>
              <w:t xml:space="preserve">2024-01…2026-08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Первичка</w:t>
            </w:r>
          </w:p>
        </w:tc>
        <w:tc>
          <w:tcPr/>
          <w:p>
            <w:pPr>
              <w:pStyle w:val="Compact"/>
            </w:pPr>
            <w:r>
              <w:t xml:space="preserve">Программные выдачи ДОМ.РФ, воронка заявок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неделя</w:t>
            </w:r>
          </w:p>
        </w:tc>
        <w:tc>
          <w:tcPr/>
          <w:p>
            <w:pPr>
              <w:pStyle w:val="Compact"/>
            </w:pPr>
            <w:r>
              <w:t xml:space="preserve">89 регионов</w:t>
            </w:r>
          </w:p>
        </w:tc>
        <w:tc>
          <w:tcPr/>
          <w:p>
            <w:pPr>
              <w:pStyle w:val="Compact"/>
            </w:pPr>
            <w:r>
              <w:t xml:space="preserve">2022-11…2026-09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Вторичка</w:t>
            </w:r>
          </w:p>
        </w:tc>
        <w:tc>
          <w:tcPr/>
          <w:p>
            <w:pPr>
              <w:pStyle w:val="Compact"/>
            </w:pPr>
            <w:r>
              <w:t xml:space="preserve">ИЖК всего (число, объём)</w:t>
            </w:r>
          </w:p>
        </w:tc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86 регионов</w:t>
            </w:r>
          </w:p>
        </w:tc>
        <w:tc>
          <w:tcPr/>
          <w:p>
            <w:pPr>
              <w:pStyle w:val="Compact"/>
            </w:pPr>
            <w:r>
              <w:t xml:space="preserve">в базе 13 мес,</w:t>
            </w:r>
            <w:r>
              <w:t xml:space="preserve"> </w:t>
            </w:r>
            <w:r>
              <w:rPr>
                <w:b/>
                <w:bCs/>
              </w:rPr>
              <w:t xml:space="preserve">источник 2019-01+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Вторичка</w:t>
            </w:r>
          </w:p>
        </w:tc>
        <w:tc>
          <w:tcPr/>
          <w:p>
            <w:pPr>
              <w:pStyle w:val="Compact"/>
            </w:pPr>
            <w:r>
              <w:t xml:space="preserve">Цены: уровень и индексы первички и вторички</w:t>
            </w:r>
          </w:p>
        </w:tc>
        <w:tc>
          <w:tcPr/>
          <w:p>
            <w:pPr>
              <w:pStyle w:val="Compact"/>
            </w:pPr>
            <w:r>
              <w:t xml:space="preserve">квартал</w:t>
            </w:r>
          </w:p>
        </w:tc>
        <w:tc>
          <w:tcPr/>
          <w:p>
            <w:pPr>
              <w:pStyle w:val="Compact"/>
            </w:pPr>
            <w:r>
              <w:t xml:space="preserve">Урал + РФ</w:t>
            </w:r>
          </w:p>
        </w:tc>
        <w:tc>
          <w:tcPr/>
          <w:p>
            <w:pPr>
              <w:pStyle w:val="Compact"/>
            </w:pPr>
            <w:r>
              <w:t xml:space="preserve">2016Q1…2026Q2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Доходы</w:t>
            </w:r>
          </w:p>
        </w:tc>
        <w:tc>
          <w:tcPr/>
          <w:p>
            <w:pPr>
              <w:pStyle w:val="Compact"/>
            </w:pPr>
            <w:r>
              <w:t xml:space="preserve">Реальные располагаемые доходы, зарплата</w:t>
            </w:r>
          </w:p>
        </w:tc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только РФ</w:t>
            </w:r>
          </w:p>
        </w:tc>
        <w:tc>
          <w:tcPr/>
          <w:p>
            <w:pPr>
              <w:pStyle w:val="Compact"/>
            </w:pPr>
            <w:r>
              <w:t xml:space="preserve">1999-01…2026-06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Сбережения</w:t>
            </w:r>
          </w:p>
        </w:tc>
        <w:tc>
          <w:tcPr/>
          <w:p>
            <w:pPr>
              <w:pStyle w:val="Compact"/>
            </w:pPr>
            <w:r>
              <w:t xml:space="preserve">Объём вкладов физлиц</w:t>
            </w:r>
          </w:p>
        </w:tc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только РФ</w:t>
            </w:r>
          </w:p>
        </w:tc>
        <w:tc>
          <w:tcPr/>
          <w:p>
            <w:pPr>
              <w:pStyle w:val="Compact"/>
            </w:pPr>
            <w:r>
              <w:t xml:space="preserve">1999-01…2026-07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Ставки</w:t>
            </w:r>
          </w:p>
        </w:tc>
        <w:tc>
          <w:tcPr/>
          <w:p>
            <w:pPr>
              <w:pStyle w:val="Compact"/>
            </w:pPr>
            <w:r>
              <w:t xml:space="preserve">Ключевая, ипотечные по субъектам</w:t>
            </w:r>
          </w:p>
        </w:tc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84 региона</w:t>
            </w:r>
          </w:p>
        </w:tc>
        <w:tc>
          <w:tcPr/>
          <w:p>
            <w:pPr>
              <w:pStyle w:val="Compact"/>
            </w:pPr>
            <w:r>
              <w:t xml:space="preserve">2018-01…2026-08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Ставки</w:t>
            </w:r>
          </w:p>
        </w:tc>
        <w:tc>
          <w:tcPr/>
          <w:p>
            <w:pPr>
              <w:pStyle w:val="Compact"/>
            </w:pPr>
            <w:r>
              <w:t xml:space="preserve">Средневзвешенный срок и ставка по ИЖК</w:t>
            </w:r>
          </w:p>
        </w:tc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85 регионов</w:t>
            </w:r>
          </w:p>
        </w:tc>
        <w:tc>
          <w:tcPr/>
          <w:p>
            <w:pPr>
              <w:pStyle w:val="Compact"/>
            </w:pPr>
            <w:r>
              <w:t xml:space="preserve">источник 2019-01+</w:t>
            </w:r>
          </w:p>
        </w:tc>
      </w:tr>
    </w:tbl>
    <w:p>
      <w:pPr>
        <w:pStyle w:val="BodyText"/>
      </w:pPr>
      <w:r>
        <w:t xml:space="preserve">Прямое следствие для выбора методов:</w:t>
      </w:r>
      <w:r>
        <w:t xml:space="preserve"> </w:t>
      </w:r>
      <w:r>
        <w:rPr>
          <w:b/>
          <w:bCs/>
        </w:rPr>
        <w:t xml:space="preserve">национальный блок имеет длинную историю</w:t>
      </w:r>
      <w:r>
        <w:rPr>
          <w:b/>
          <w:bCs/>
        </w:rPr>
        <w:t xml:space="preserve"> </w:t>
      </w:r>
      <w:r>
        <w:rPr>
          <w:b/>
          <w:bCs/>
        </w:rPr>
        <w:t xml:space="preserve">(месячные ряды с конца 1990-х), региональный блок — короткую (с 2019 года, около</w:t>
      </w:r>
      <w:r>
        <w:rPr>
          <w:b/>
          <w:bCs/>
        </w:rPr>
        <w:t xml:space="preserve"> </w:t>
      </w:r>
      <w:r>
        <w:rPr>
          <w:b/>
          <w:bCs/>
        </w:rPr>
        <w:t xml:space="preserve">90 месяцев)</w:t>
      </w:r>
      <w:r>
        <w:t xml:space="preserve">. Это разные модели, а не одна панель.</w:t>
      </w:r>
    </w:p>
    <w:bookmarkEnd w:id="11"/>
    <w:bookmarkStart w:id="12" w:name="пробелы-и-как-их-закрывать"/>
    <w:p>
      <w:pPr>
        <w:pStyle w:val="Heading2"/>
      </w:pPr>
      <w:r>
        <w:t xml:space="preserve">3.2. Пробелы и как их закрывать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Региональные доходы.</w:t>
      </w:r>
      <w:r>
        <w:t xml:space="preserve"> </w:t>
      </w:r>
      <w:r>
        <w:t xml:space="preserve">В базе отсутствуют; Росстат/ЕМИСС публикует доходы и</w:t>
      </w:r>
      <w:r>
        <w:t xml:space="preserve"> </w:t>
      </w:r>
      <w:r>
        <w:t xml:space="preserve">зарплату по субъектам (зарплата — месячно, доходы — квартально/годово). Известное</w:t>
      </w:r>
      <w:r>
        <w:t xml:space="preserve"> </w:t>
      </w:r>
      <w:r>
        <w:t xml:space="preserve">ограничение: ЕМИСС с VPS отдаёт 403, нужен обходной канал или YC-IP. Ближайшая</w:t>
      </w:r>
      <w:r>
        <w:t xml:space="preserve"> </w:t>
      </w:r>
      <w:r>
        <w:t xml:space="preserve">замена, доступная без новых источников, — начисленная зарплата по субъектам и</w:t>
      </w:r>
      <w:r>
        <w:t xml:space="preserve"> </w:t>
      </w:r>
      <w:r>
        <w:t xml:space="preserve">индексы потребительских цен.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Региональные сбережения.</w:t>
      </w:r>
      <w:r>
        <w:t xml:space="preserve"> </w:t>
      </w:r>
      <w:r>
        <w:t xml:space="preserve">Вклады физлиц по субъектам ЦБ публикует (раздел</w:t>
      </w:r>
      <w:r>
        <w:t xml:space="preserve"> </w:t>
      </w:r>
      <w:r>
        <w:t xml:space="preserve">«Сведения о размещённых и привлечённых средствах»); файл по регионам существует,</w:t>
      </w:r>
      <w:r>
        <w:t xml:space="preserve"> </w:t>
      </w:r>
      <w:r>
        <w:t xml:space="preserve">но требует отдельной разведки и загрузки.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Вторичный рынок: сделки.</w:t>
      </w:r>
      <w:r>
        <w:t xml:space="preserve"> </w:t>
      </w:r>
      <w:r>
        <w:t xml:space="preserve">Прямого ряда сделок по регионам нет; доступный</w:t>
      </w:r>
      <w:r>
        <w:t xml:space="preserve"> </w:t>
      </w:r>
      <w:r>
        <w:t xml:space="preserve">путь —</w:t>
      </w:r>
      <w:r>
        <w:t xml:space="preserve"> </w:t>
      </w:r>
      <w:r>
        <w:rPr>
          <w:b/>
          <w:bCs/>
        </w:rPr>
        <w:t xml:space="preserve">ИЖК без ДДУ как прокси</w:t>
      </w:r>
      <w:r>
        <w:t xml:space="preserve">: разность «ИЖК всего» (</w:t>
      </w:r>
      <w:r>
        <w:rPr>
          <w:rStyle w:val="VerbatimChar"/>
        </w:rPr>
        <w:t xml:space="preserve">02_10</w:t>
      </w:r>
      <w:r>
        <w:t xml:space="preserve">/</w:t>
      </w:r>
      <w:r>
        <w:rPr>
          <w:rStyle w:val="VerbatimChar"/>
        </w:rPr>
        <w:t xml:space="preserve">02_11</w:t>
      </w:r>
      <w:r>
        <w:t xml:space="preserve">) и</w:t>
      </w:r>
      <w:r>
        <w:t xml:space="preserve"> </w:t>
      </w:r>
      <w:r>
        <w:t xml:space="preserve">«ИЖК по ДДУ» (</w:t>
      </w:r>
      <w:r>
        <w:rPr>
          <w:rStyle w:val="VerbatimChar"/>
        </w:rPr>
        <w:t xml:space="preserve">02_15</w:t>
      </w:r>
      <w:r>
        <w:t xml:space="preserve">/</w:t>
      </w:r>
      <w:r>
        <w:rPr>
          <w:rStyle w:val="VerbatimChar"/>
        </w:rPr>
        <w:t xml:space="preserve">02_16</w:t>
      </w:r>
      <w:r>
        <w:t xml:space="preserve">). Оба региональные и месячные; в базе ИЖК всего</w:t>
      </w:r>
      <w:r>
        <w:t xml:space="preserve"> </w:t>
      </w:r>
      <w:r>
        <w:t xml:space="preserve">загружен лишь за 13 месяцев, источник даёт с 2019 года.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Цены по всем регионам.</w:t>
      </w:r>
      <w:r>
        <w:t xml:space="preserve"> </w:t>
      </w:r>
      <w:r>
        <w:t xml:space="preserve">Росстат даёт квартальные; в базе только Урал. Для</w:t>
      </w:r>
      <w:r>
        <w:t xml:space="preserve"> </w:t>
      </w:r>
      <w:r>
        <w:t xml:space="preserve">панели нужны все субъекты.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Ставки по вкладам.</w:t>
      </w:r>
      <w:r>
        <w:t xml:space="preserve"> </w:t>
      </w:r>
      <w:r>
        <w:t xml:space="preserve">Индекс ставок по вкладам ЦБ — национальный; для</w:t>
      </w:r>
      <w:r>
        <w:t xml:space="preserve"> </w:t>
      </w:r>
      <w:r>
        <w:t xml:space="preserve">регионального разреза придётся использовать средневзвешенные ставки банков</w:t>
      </w:r>
      <w:r>
        <w:t xml:space="preserve"> </w:t>
      </w:r>
      <w:r>
        <w:t xml:space="preserve">региона или общероссийский ряд как общий фактор.</w:t>
      </w:r>
    </w:p>
    <w:p>
      <w:pPr>
        <w:pStyle w:val="FirstParagraph"/>
      </w:pPr>
      <w:r>
        <w:t xml:space="preserve">Пункты 1–4 — это работы по данным, а не по моделям; без них расширенная рамка</w:t>
      </w:r>
      <w:r>
        <w:t xml:space="preserve"> </w:t>
      </w:r>
      <w:r>
        <w:t xml:space="preserve">останется национальной.</w:t>
      </w:r>
    </w:p>
    <w:bookmarkEnd w:id="12"/>
    <w:bookmarkEnd w:id="13"/>
    <w:bookmarkStart w:id="17" w:name="методы-матрица-выбора"/>
    <w:p>
      <w:pPr>
        <w:pStyle w:val="Heading1"/>
      </w:pPr>
      <w:r>
        <w:t xml:space="preserve">4. Методы: матрица выбора</w:t>
      </w:r>
    </w:p>
    <w:p>
      <w:pPr>
        <w:pStyle w:val="FirstParagraph"/>
      </w:pPr>
      <w:r>
        <w:t xml:space="preserve">Метод выбирается по горизонту и по типу данных, а не по вкусу. Ниже — матрица с</w:t>
      </w:r>
      <w:r>
        <w:t xml:space="preserve"> </w:t>
      </w:r>
      <w:r>
        <w:t xml:space="preserve">обоснованием и ограничениями.</w:t>
      </w:r>
    </w:p>
    <w:bookmarkStart w:id="14" w:name="краткосрочный-горизонт-13-месяца"/>
    <w:p>
      <w:pPr>
        <w:pStyle w:val="Heading2"/>
      </w:pPr>
      <w:r>
        <w:t xml:space="preserve">4.1. Краткосрочный горизонт (1–3 месяца)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Почему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Nowcast первички, РФ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Bridge-уравнение + MIDAS</w:t>
            </w:r>
          </w:p>
        </w:tc>
        <w:tc>
          <w:tcPr/>
          <w:p>
            <w:pPr>
              <w:pStyle w:val="Compact"/>
            </w:pPr>
            <w:r>
              <w:t xml:space="preserve">недельные заявки ДОМ.РФ → месячные выдачи; доходы; ставки</w:t>
            </w:r>
          </w:p>
        </w:tc>
        <w:tc>
          <w:tcPr/>
          <w:p>
            <w:pPr>
              <w:pStyle w:val="Compact"/>
            </w:pPr>
            <w:r>
              <w:t xml:space="preserve">недельные данные выходят раньше месячных; MIDAS использует всю частоту без грубой агрегации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Nowcast первички, регионы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Панельный bridge</w:t>
            </w:r>
            <w:r>
              <w:t xml:space="preserve"> </w:t>
            </w:r>
            <w:r>
              <w:t xml:space="preserve">с недельными регрессорами</w:t>
            </w:r>
          </w:p>
        </w:tc>
        <w:tc>
          <w:tcPr/>
          <w:p>
            <w:pPr>
              <w:pStyle w:val="Compact"/>
            </w:pPr>
            <w:r>
              <w:t xml:space="preserve">недельные по регионам, панель с 2019</w:t>
            </w:r>
          </w:p>
        </w:tc>
        <w:tc>
          <w:tcPr/>
          <w:p>
            <w:pPr>
              <w:pStyle w:val="Compact"/>
            </w:pPr>
            <w:r>
              <w:t xml:space="preserve">короткая панель не тянет отдельные модели по регионам, нужен пулинг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Базовый ориентир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ARIMA / ARIMAX</w:t>
            </w:r>
          </w:p>
        </w:tc>
        <w:tc>
          <w:tcPr/>
          <w:p>
            <w:pPr>
              <w:pStyle w:val="Compact"/>
            </w:pPr>
            <w:r>
              <w:t xml:space="preserve">один ряд + экзогенные</w:t>
            </w:r>
          </w:p>
        </w:tc>
        <w:tc>
          <w:tcPr/>
          <w:p>
            <w:pPr>
              <w:pStyle w:val="Compact"/>
            </w:pPr>
            <w:r>
              <w:t xml:space="preserve">обязательный бенчмарк: метод считается полезным, только если бьёт ARIMA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Много рядов сразу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Динамические факторы (FAVAR-lite)</w:t>
            </w:r>
          </w:p>
        </w:tc>
        <w:tc>
          <w:tcPr/>
          <w:p>
            <w:pPr>
              <w:pStyle w:val="Compact"/>
            </w:pPr>
            <w:r>
              <w:t xml:space="preserve">30–80 месячных рядов</w:t>
            </w:r>
          </w:p>
        </w:tc>
        <w:tc>
          <w:tcPr/>
          <w:p>
            <w:pPr>
              <w:pStyle w:val="Compact"/>
            </w:pPr>
            <w:r>
              <w:t xml:space="preserve">сжатие размерности, устойчив к шуму отдельных рядов</w:t>
            </w:r>
          </w:p>
        </w:tc>
      </w:tr>
    </w:tbl>
    <w:bookmarkEnd w:id="14"/>
    <w:bookmarkStart w:id="15" w:name="среднесрочный-горизонт-13-года"/>
    <w:p>
      <w:pPr>
        <w:pStyle w:val="Heading2"/>
      </w:pPr>
      <w:r>
        <w:t xml:space="preserve">4.2. Среднесрочный горизонт (1–3 года)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Почему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Система «доходы — сбережения — ставки — цены — кредит»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VECM (коинтеграционный VAR)</w:t>
            </w:r>
          </w:p>
        </w:tc>
        <w:tc>
          <w:tcPr/>
          <w:p>
            <w:pPr>
              <w:pStyle w:val="Compact"/>
            </w:pPr>
            <w:r>
              <w:t xml:space="preserve">месячные национальные ряды 1999+/2015+</w:t>
            </w:r>
          </w:p>
        </w:tc>
        <w:tc>
          <w:tcPr/>
          <w:p>
            <w:pPr>
              <w:pStyle w:val="Compact"/>
            </w:pPr>
            <w:r>
              <w:t xml:space="preserve">ряды нестационарны и связаны долгосрочно; VECM разделяет кратко- и долгосрочную динамику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Условный прогноз по сценариям ставки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Условный прогноз в VAR/VECM</w:t>
            </w:r>
          </w:p>
        </w:tc>
        <w:tc>
          <w:tcPr/>
          <w:p>
            <w:pPr>
              <w:pStyle w:val="Compact"/>
            </w:pPr>
            <w:r>
              <w:t xml:space="preserve">те же + траектория ставки</w:t>
            </w:r>
          </w:p>
        </w:tc>
        <w:tc>
          <w:tcPr/>
          <w:p>
            <w:pPr>
              <w:pStyle w:val="Compact"/>
            </w:pPr>
            <w:r>
              <w:t xml:space="preserve">позволяет получить прогноз при заданной политике, а не только безусловный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Большая информационная выборка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FAVAR</w:t>
            </w:r>
          </w:p>
        </w:tc>
        <w:tc>
          <w:tcPr/>
          <w:p>
            <w:pPr>
              <w:pStyle w:val="Compact"/>
            </w:pPr>
            <w:r>
              <w:t xml:space="preserve">50–120 рядов</w:t>
            </w:r>
          </w:p>
        </w:tc>
        <w:tc>
          <w:tcPr/>
          <w:p>
            <w:pPr>
              <w:pStyle w:val="Compact"/>
            </w:pPr>
            <w:r>
              <w:t xml:space="preserve">VAR с 10+ переменными теряет степени свободы; факторы решают это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Первичка vs вторичка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Система из двух уравнений (2SLS/3SLS)</w:t>
            </w:r>
            <w:r>
              <w:t xml:space="preserve"> </w:t>
            </w:r>
            <w:r>
              <w:t xml:space="preserve">либо VAR со знаковой идентификацией</w:t>
            </w:r>
          </w:p>
        </w:tc>
        <w:tc>
          <w:tcPr/>
          <w:p>
            <w:pPr>
              <w:pStyle w:val="Compact"/>
            </w:pPr>
            <w:r>
              <w:t xml:space="preserve">ИЖК по ДДУ и ИЖК без ДДУ, цены обоих сегментов</w:t>
            </w:r>
          </w:p>
        </w:tc>
        <w:tc>
          <w:tcPr/>
          <w:p>
            <w:pPr>
              <w:pStyle w:val="Compact"/>
            </w:pPr>
            <w:r>
              <w:t xml:space="preserve">объёмы и цены определяются совместно; нужна идентификация, а не одна регрессия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Региональная гетерогенность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Панельная ECM с общими факторами</w:t>
            </w:r>
            <w:r>
              <w:t xml:space="preserve"> </w:t>
            </w:r>
            <w:r>
              <w:t xml:space="preserve">и пространственными лагами</w:t>
            </w:r>
          </w:p>
        </w:tc>
        <w:tc>
          <w:tcPr/>
          <w:p>
            <w:pPr>
              <w:pStyle w:val="Compact"/>
            </w:pPr>
            <w:r>
              <w:t xml:space="preserve">панель 2019+, демография ВПН</w:t>
            </w:r>
          </w:p>
        </w:tc>
        <w:tc>
          <w:tcPr/>
          <w:p>
            <w:pPr>
              <w:pStyle w:val="Compact"/>
            </w:pPr>
            <w:r>
              <w:t xml:space="preserve">эффекты соседства (по результатам Zvereva) и общий макрофактор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Импульсные отклики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Локальные проекции</w:t>
            </w:r>
          </w:p>
        </w:tc>
        <w:tc>
          <w:tcPr/>
          <w:p>
            <w:pPr>
              <w:pStyle w:val="Compact"/>
            </w:pPr>
            <w:r>
              <w:t xml:space="preserve">те же</w:t>
            </w:r>
          </w:p>
        </w:tc>
        <w:tc>
          <w:tcPr/>
          <w:p>
            <w:pPr>
              <w:pStyle w:val="Compact"/>
            </w:pPr>
            <w:r>
              <w:t xml:space="preserve">устойчивее VAR на коротких выборках и с малым числом наблюдений на параметр</w:t>
            </w:r>
          </w:p>
        </w:tc>
      </w:tr>
    </w:tbl>
    <w:bookmarkEnd w:id="15"/>
    <w:bookmarkStart w:id="16" w:name="чего-делать-не-следует"/>
    <w:p>
      <w:pPr>
        <w:pStyle w:val="Heading2"/>
      </w:pPr>
      <w:r>
        <w:t xml:space="preserve">4.3. Чего делать не следует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DSGE-модель</w:t>
      </w:r>
      <w:r>
        <w:t xml:space="preserve"> </w:t>
      </w:r>
      <w:r>
        <w:t xml:space="preserve">— нет данных для калибровки параметров предпочтений и не</w:t>
      </w:r>
      <w:r>
        <w:t xml:space="preserve"> </w:t>
      </w:r>
      <w:r>
        <w:t xml:space="preserve">выдерживает проверки на коротких региональных рядах.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ML-модели как основной инструмент</w:t>
      </w:r>
      <w:r>
        <w:t xml:space="preserve"> </w:t>
      </w:r>
      <w:r>
        <w:t xml:space="preserve">— при 90 месячных наблюдениях и требовании</w:t>
      </w:r>
      <w:r>
        <w:t xml:space="preserve"> </w:t>
      </w:r>
      <w:r>
        <w:t xml:space="preserve">интерпретировать канал (замещение, альтернативная стоимость) чёрный ящик бесполезен;</w:t>
      </w:r>
      <w:r>
        <w:t xml:space="preserve"> </w:t>
      </w:r>
      <w:r>
        <w:t xml:space="preserve">допустимы как вспомогательный бенчмарк на факторах.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Панельная регрессия с долей льготных программ как регрессором</w:t>
      </w:r>
      <w:r>
        <w:t xml:space="preserve"> </w:t>
      </w:r>
      <w:r>
        <w:t xml:space="preserve">— уже</w:t>
      </w:r>
      <w:r>
        <w:t xml:space="preserve"> </w:t>
      </w:r>
      <w:r>
        <w:t xml:space="preserve">отбракована: регрессор эндогенен (см. бэктест дизайна на событии 2024 года).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Одна регрессия на всё</w:t>
      </w:r>
      <w:r>
        <w:t xml:space="preserve"> </w:t>
      </w:r>
      <w:r>
        <w:t xml:space="preserve">— каналы 1 и 2 противоположны по знаку, поэтому</w:t>
      </w:r>
      <w:r>
        <w:t xml:space="preserve"> </w:t>
      </w:r>
      <w:r>
        <w:t xml:space="preserve">уравнение должно их различать, иначе оценка будет смесью.</w:t>
      </w:r>
    </w:p>
    <w:bookmarkEnd w:id="16"/>
    <w:bookmarkEnd w:id="17"/>
    <w:bookmarkStart w:id="18" w:name="стратегия-проверки"/>
    <w:p>
      <w:pPr>
        <w:pStyle w:val="Heading1"/>
      </w:pPr>
      <w:r>
        <w:t xml:space="preserve">5. Стратегия проверки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Скользящий вневыборочный бэктест</w:t>
      </w:r>
      <w:r>
        <w:t xml:space="preserve"> </w:t>
      </w:r>
      <w:r>
        <w:t xml:space="preserve">(rolling origin) по каждому горизонту:</w:t>
      </w:r>
      <w:r>
        <w:t xml:space="preserve"> </w:t>
      </w:r>
      <w:r>
        <w:t xml:space="preserve">переобучение с расширяющимся окном, ошибка на 1, 3, 6 и 12 месяцев вперёд.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Сравнение с бенчмарками</w:t>
      </w:r>
      <w:r>
        <w:t xml:space="preserve">: наивный прогноз (последнее значение, сезонный</w:t>
      </w:r>
      <w:r>
        <w:t xml:space="preserve"> </w:t>
      </w:r>
      <w:r>
        <w:t xml:space="preserve">наивный) и ARIMA. Метод, не бьющий ARIMA, в отчёт не идёт.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Тест Дибольда–Мариано</w:t>
      </w:r>
      <w:r>
        <w:t xml:space="preserve"> </w:t>
      </w:r>
      <w:r>
        <w:t xml:space="preserve">на значимость различий ошибок; при малой выборке —</w:t>
      </w:r>
      <w:r>
        <w:t xml:space="preserve"> </w:t>
      </w:r>
      <w:r>
        <w:t xml:space="preserve">тест на основе бутстрапа.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Проверка на двух известных событиях</w:t>
      </w:r>
      <w:r>
        <w:t xml:space="preserve">: закрытие массовой программы</w:t>
      </w:r>
      <w:r>
        <w:t xml:space="preserve"> </w:t>
      </w:r>
      <w:r>
        <w:t xml:space="preserve">01.07.2024 (есть зафиксированная оценка −1,0 по первичному рынку) и реформа</w:t>
      </w:r>
      <w:r>
        <w:t xml:space="preserve"> </w:t>
      </w:r>
      <w:r>
        <w:t xml:space="preserve">01.10.2026 (зафиксированный прогноз −12,1…−25,2 %).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Стабильность параметров</w:t>
      </w:r>
      <w:r>
        <w:t xml:space="preserve">: тесты на структурные сдвиги (Chow, Bai–Perron) —</w:t>
      </w:r>
      <w:r>
        <w:t xml:space="preserve"> </w:t>
      </w:r>
      <w:r>
        <w:t xml:space="preserve">после 2022 года режим изменился, и модель обязана это учитывать, а не сглаживать.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Предрегистрация</w:t>
      </w:r>
      <w:r>
        <w:t xml:space="preserve">: прогноз фиксируется до выхода данных, иначе бэктест</w:t>
      </w:r>
      <w:r>
        <w:t xml:space="preserve"> </w:t>
      </w:r>
      <w:r>
        <w:t xml:space="preserve">превращается в подгонку (в прежнем дизайне это уже применено).</w:t>
      </w:r>
    </w:p>
    <w:bookmarkEnd w:id="18"/>
    <w:bookmarkStart w:id="19" w:name="этапы"/>
    <w:p>
      <w:pPr>
        <w:pStyle w:val="Heading1"/>
      </w:pPr>
      <w:r>
        <w:t xml:space="preserve">6. Этапы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</w:pPr>
            <w:r>
              <w:t xml:space="preserve">Зависимость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Дозагрузка данных: ИЖК всего по субъектам (</w:t>
            </w:r>
            <w:r>
              <w:rPr>
                <w:rStyle w:val="VerbatimChar"/>
              </w:rPr>
              <w:t xml:space="preserve">02_10</w:t>
            </w:r>
            <w:r>
              <w:t xml:space="preserve">/</w:t>
            </w:r>
            <w:r>
              <w:rPr>
                <w:rStyle w:val="VerbatimChar"/>
              </w:rPr>
              <w:t xml:space="preserve">02_11</w:t>
            </w:r>
            <w:r>
              <w:t xml:space="preserve">), цены по всем регионам, сроки (</w:t>
            </w:r>
            <w:r>
              <w:rPr>
                <w:rStyle w:val="VerbatimChar"/>
              </w:rPr>
              <w:t xml:space="preserve">02_13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Вторичный рынок: построение ряда «ИЖК без ДДУ», проверка на сходимость с балансом</w:t>
            </w:r>
          </w:p>
        </w:tc>
        <w:tc>
          <w:tcPr/>
          <w:p>
            <w:pPr>
              <w:pStyle w:val="Compact"/>
            </w:pPr>
            <w:r>
              <w:t xml:space="preserve">этап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Национальный блок: доходы, вклады, ставки — сборка единого месячного датасета 2000+/2015+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Краткосрочные модели: ARIMA-бенчмарк, bridge + MIDAS, панельный bridge</w:t>
            </w:r>
          </w:p>
        </w:tc>
        <w:tc>
          <w:tcPr/>
          <w:p>
            <w:pPr>
              <w:pStyle w:val="Compact"/>
            </w:pPr>
            <w:r>
              <w:t xml:space="preserve">этапы A–C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Среднесрочные модели: VECM, FAVAR, условные прогнозы по траекториям ставки</w:t>
            </w:r>
          </w:p>
        </w:tc>
        <w:tc>
          <w:tcPr/>
          <w:p>
            <w:pPr>
              <w:pStyle w:val="Compact"/>
            </w:pPr>
            <w:r>
              <w:t xml:space="preserve">этап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Первичка/вторичка: система двух уравнений, тест замещения против комплементарности</w:t>
            </w:r>
          </w:p>
        </w:tc>
        <w:tc>
          <w:tcPr/>
          <w:p>
            <w:pPr>
              <w:pStyle w:val="Compact"/>
            </w:pPr>
            <w:r>
              <w:t xml:space="preserve">этапы B,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Региональные доходы и вклады: разведка источников и догрузка</w:t>
            </w:r>
          </w:p>
        </w:tc>
        <w:tc>
          <w:tcPr/>
          <w:p>
            <w:pPr>
              <w:pStyle w:val="Compact"/>
            </w:pPr>
            <w:r>
              <w:t xml:space="preserve">этап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Сводный прогноз: кратко- и среднесрочный, сценарии, интервалы</w:t>
            </w:r>
          </w:p>
        </w:tc>
        <w:tc>
          <w:tcPr/>
          <w:p>
            <w:pPr>
              <w:pStyle w:val="Compact"/>
            </w:pPr>
            <w:r>
              <w:t xml:space="preserve">этапы D–F</w:t>
            </w:r>
          </w:p>
        </w:tc>
      </w:tr>
    </w:tbl>
    <w:bookmarkEnd w:id="19"/>
    <w:bookmarkStart w:id="20" w:name="риски"/>
    <w:p>
      <w:pPr>
        <w:pStyle w:val="Heading1"/>
      </w:pPr>
      <w:r>
        <w:t xml:space="preserve">7. Риски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Короткая региональная панель</w:t>
      </w:r>
      <w:r>
        <w:t xml:space="preserve"> </w:t>
      </w:r>
      <w:r>
        <w:t xml:space="preserve">(с 2019 года) — не поддерживает региональные</w:t>
      </w:r>
      <w:r>
        <w:t xml:space="preserve"> </w:t>
      </w:r>
      <w:r>
        <w:t xml:space="preserve">VAR; отсюда ставка на пулинг и общие факторы.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Структурный сдвиг 2022 года</w:t>
      </w:r>
      <w:r>
        <w:t xml:space="preserve">: смена режима (уход иностранных банков,</w:t>
      </w:r>
      <w:r>
        <w:t xml:space="preserve"> </w:t>
      </w:r>
      <w:r>
        <w:t xml:space="preserve">мобилизационные выплаты, разворот потоков) делает оценки до 2022 года частично</w:t>
      </w:r>
      <w:r>
        <w:t xml:space="preserve"> </w:t>
      </w:r>
      <w:r>
        <w:t xml:space="preserve">неприменимыми; нужны тесты на сдвиг и, вероятно, оценка на подвыборках.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Эндогенность ставок и цен</w:t>
      </w:r>
      <w:r>
        <w:t xml:space="preserve">: и ставка, и цены реагируют на спрос; причинные</w:t>
      </w:r>
      <w:r>
        <w:t xml:space="preserve"> </w:t>
      </w:r>
      <w:r>
        <w:t xml:space="preserve">утверждения требуют внешней вариации (сюрприз ставки, дискретное изменение</w:t>
      </w:r>
      <w:r>
        <w:t xml:space="preserve"> </w:t>
      </w:r>
      <w:r>
        <w:t xml:space="preserve">программы).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Данные о доходах</w:t>
      </w:r>
      <w:r>
        <w:t xml:space="preserve">: национальные ряды Росстата пересматриваются; региональные</w:t>
      </w:r>
      <w:r>
        <w:t xml:space="preserve"> </w:t>
      </w:r>
      <w:r>
        <w:t xml:space="preserve">доступны с ограничениями (403 с VPS).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Смешение частот</w:t>
      </w:r>
      <w:r>
        <w:t xml:space="preserve">: недельные ряды ДОМ.РФ короче (с 2022-11) и содержат</w:t>
      </w:r>
      <w:r>
        <w:t xml:space="preserve"> </w:t>
      </w:r>
      <w:r>
        <w:t xml:space="preserve">неполноту по автономным округам — это ограничит MIDAS на региональном уровне.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Одновременность первички и вторички</w:t>
      </w:r>
      <w:r>
        <w:t xml:space="preserve">: без внешней вариации система не</w:t>
      </w:r>
      <w:r>
        <w:t xml:space="preserve"> </w:t>
      </w:r>
      <w:r>
        <w:t xml:space="preserve">идентифицируется, поэтому потребуется либо знаковая идентификация, либо</w:t>
      </w:r>
      <w:r>
        <w:t xml:space="preserve"> </w:t>
      </w:r>
      <w:r>
        <w:t xml:space="preserve">инструменты.</w:t>
      </w:r>
    </w:p>
    <w:bookmarkEnd w:id="20"/>
    <w:bookmarkStart w:id="21" w:name="что-даст-расширенная-рамка"/>
    <w:p>
      <w:pPr>
        <w:pStyle w:val="Heading1"/>
      </w:pPr>
      <w:r>
        <w:t xml:space="preserve">8. Что даст расширенная рамка</w:t>
      </w:r>
    </w:p>
    <w:p>
      <w:pPr>
        <w:pStyle w:val="FirstParagraph"/>
      </w:pPr>
      <w:r>
        <w:t xml:space="preserve">Прежний прогноз отвечал, сколько первичка потеряет от реформы. Расширенная рамка</w:t>
      </w:r>
      <w:r>
        <w:t xml:space="preserve"> </w:t>
      </w:r>
      <w:r>
        <w:t xml:space="preserve">добавляет три вещи, которых в нём не было:</w:t>
      </w:r>
      <w:r>
        <w:t xml:space="preserve"> </w:t>
      </w:r>
      <w:r>
        <w:rPr>
          <w:b/>
          <w:bCs/>
        </w:rPr>
        <w:t xml:space="preserve">куда уходит спрос</w:t>
      </w:r>
      <w:r>
        <w:t xml:space="preserve"> </w:t>
      </w:r>
      <w:r>
        <w:t xml:space="preserve">(вторичка как</w:t>
      </w:r>
      <w:r>
        <w:t xml:space="preserve"> </w:t>
      </w:r>
      <w:r>
        <w:t xml:space="preserve">поглотитель при сжатии субсидий в новостройках),</w:t>
      </w:r>
      <w:r>
        <w:t xml:space="preserve"> </w:t>
      </w:r>
      <w:r>
        <w:rPr>
          <w:b/>
          <w:bCs/>
        </w:rPr>
        <w:t xml:space="preserve">при каком состоянии доходов и</w:t>
      </w:r>
      <w:r>
        <w:rPr>
          <w:b/>
          <w:bCs/>
        </w:rPr>
        <w:t xml:space="preserve"> </w:t>
      </w:r>
      <w:r>
        <w:rPr>
          <w:b/>
          <w:bCs/>
        </w:rPr>
        <w:t xml:space="preserve">сбережений</w:t>
      </w:r>
      <w:r>
        <w:t xml:space="preserve"> </w:t>
      </w:r>
      <w:r>
        <w:t xml:space="preserve">спрос вообще может восстановиться, и</w:t>
      </w:r>
      <w:r>
        <w:t xml:space="preserve"> </w:t>
      </w:r>
      <w:r>
        <w:rPr>
          <w:b/>
          <w:bCs/>
        </w:rPr>
        <w:t xml:space="preserve">что произойдёт на горизонте</w:t>
      </w:r>
      <w:r>
        <w:rPr>
          <w:b/>
          <w:bCs/>
        </w:rPr>
        <w:t xml:space="preserve"> </w:t>
      </w:r>
      <w:r>
        <w:rPr>
          <w:b/>
          <w:bCs/>
        </w:rPr>
        <w:t xml:space="preserve">года-трёх</w:t>
      </w:r>
      <w:r>
        <w:t xml:space="preserve">, а не только в первые месяцы после реформы.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Дизайн прогноза спроса на жильё в расширенной рамке: первичка, вторичка, доходы, сбережения</dc:title>
  <dc:creator/>
  <cp:keywords/>
  <dcterms:created xsi:type="dcterms:W3CDTF">2026-10-02T08:51:37Z</dcterms:created>
  <dcterms:modified xsi:type="dcterms:W3CDTF">2026-10-02T08:51:37Z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2026-10-02</vt:lpwstr>
  </property>
  <property fmtid="{D5CDD505-2E9C-101B-9397-08002B2CF9AE}" pid="3" name="sources">
    <vt:lpwstr/>
  </property>
  <property fmtid="{D5CDD505-2E9C-101B-9397-08002B2CF9AE}" pid="4" name="status">
    <vt:lpwstr>draft</vt:lpwstr>
  </property>
  <property fmtid="{D5CDD505-2E9C-101B-9397-08002B2CF9AE}" pid="5" name="tags">
    <vt:lpwstr/>
  </property>
  <property fmtid="{D5CDD505-2E9C-101B-9397-08002B2CF9AE}" pid="6" name="type">
    <vt:lpwstr>design</vt:lpwstr>
  </property>
</Properties>
</file>