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基于变电站补全的电网渐进拓扑搜索</w:t>
      </w:r>
    </w:p>
    <w:p>
      <w:pPr>
        <w:pStyle w:val="Heading1"/>
      </w:pPr>
      <w:r>
        <w:t>摘要</w:t>
      </w:r>
    </w:p>
    <w:p>
      <w:pPr>
        <w:ind w:firstLine="460"/>
      </w:pPr>
      <w:r>
        <w:rPr>
          <w:b w:val="0"/>
        </w:rPr>
        <w:t>在线电网控制通过预测仿真比较拓扑动作，候选评估的计算开销直接影响控制效率。全局排序将同一变电站的不同配置分散排列，提前停止可能遗漏已发现变电站内的优质配置，增加后续运行成本。本文提出渐进拓扑搜索框架 FRAME，将分批评估与变电站补全结合：根据已获得的反馈扩展候选前缀，在扩展停止后集中比较当前最佳候选所在变电站的剩余配置，以局部补查改善提前停止的质量与计算权衡。在 Grid2Op 的四个开发日期上，FRAME 相对完整搜索减少了 69.37% 的候选查询和 13.11% 的控制时间，补全将最坏完整周成本增幅从 4.810% 降至 0.372%；在另行冻结的三个确认日期上，FRAME 保持与完整搜索相同的存活结果，控制时间减少 6.09%，两个发生搜索的日期平均减少查询 83.54%，完整周成本增幅最高为 0.014%。实验表明，利用动作的结构归属分配额外评估，可以在保留大部分搜索节省的同时改善控制质量。</w:t>
      </w:r>
    </w:p>
    <w:p>
      <w:pPr>
        <w:ind w:firstLine="460"/>
      </w:pPr>
      <w:r>
        <w:rPr>
          <w:b w:val="0"/>
        </w:rPr>
        <w:t>关键词：电网拓扑控制；在线搜索；计算分配；变电站补全</w:t>
      </w:r>
    </w:p>
    <w:p>
      <w:pPr>
        <w:pStyle w:val="Heading1"/>
      </w:pPr>
      <w:r>
        <w:t>1 引言</w:t>
      </w:r>
    </w:p>
    <w:p>
      <w:pPr>
        <w:ind w:firstLine="460"/>
      </w:pPr>
      <w:r>
        <w:rPr>
          <w:b w:val="0"/>
        </w:rPr>
        <w:t>电网拓扑控制通过调整线路、发电机和负荷与母线的连接关系缓解拥塞。在线控制器需要随负荷与发电变化，将拓扑调整与再调度、弃电、储能和恢复操作协调起来。预测仿真使控制器能够在执行前检查候选动作的后果，也引入了逐候选评估的计算开销。Grid2Op 为这一连续决策过程提供了公开实验环境 [1]。如何以较少的评估获得高质量动作，是提高在线控制效率的关键。</w:t>
      </w:r>
    </w:p>
    <w:p>
      <w:pPr>
        <w:ind w:firstLine="460"/>
      </w:pPr>
      <w:r>
        <w:rPr>
          <w:b w:val="0"/>
        </w:rPr>
        <w:t>已有方法通过混合控制与学习排序提高动作选择效率。LJN 智能体结合连续优化和离散拓扑搜索 [2]；SoftGNN 及相关图学习方法利用电网结构为动作排序，再通过仿真验证候选 [3,4]。这些方法为有希望的动作赋予较高优先级，使控制器能够在搜索前段获得可用方案。随着候选池扩大，控制器还需要决定何时停止评估，以及停止前应进一步比较哪些动作。</w:t>
      </w:r>
    </w:p>
    <w:p>
      <w:pPr>
        <w:ind w:firstLine="460"/>
      </w:pPr>
      <w:r>
        <w:rPr>
          <w:b w:val="0"/>
        </w:rPr>
        <w:t>全局排序与拓扑动作的结构分组之间存在一个具体的不一致：同一变电站的不同配置可能相距很远。搜索已经发现某个有效变电站后，即使连续几个候选未带来奖励提升，该站仍可能保留尚未查询的有效配置。此时直接结束搜索，可能错过位于序列后部的更好配置；继续遍历整个候选池，则会增加大量其他变电站的评估。这个问题为结构化地分配剩余计算提供了机会。</w:t>
      </w:r>
    </w:p>
    <w:p>
      <w:pPr>
        <w:ind w:firstLine="460"/>
      </w:pPr>
      <w:r>
        <w:rPr>
          <w:b w:val="0"/>
        </w:rPr>
        <w:t>本文提出 FRAME，将渐进前缀搜索与当前最佳候选的变电站补全结合起来。前缀搜索负责快速找到可接纳方案，并依据奖励改进和预测负载率决定扩展长度；变电站补全负责在扩展停止后，集中评估已发现结构单元内的剩余配置。两部分形成由全局发现到局部比较的搜索流程。该流程通过统一接口接入混合控制器，候选排序器可以按应用需要替换。</w:t>
      </w:r>
    </w:p>
    <w:p>
      <w:pPr>
        <w:ind w:firstLine="460"/>
      </w:pPr>
      <w:r>
        <w:rPr>
          <w:b w:val="0"/>
        </w:rPr>
        <w:t>本文的主要贡献包括三点。第一，提出结合渐进停止和变电站补全的拓扑搜索框架，将有限评估集中到当前有价值的配置组。第二，给出保留物理等价动作别名的补全集合构造，使规范化后的动作仍能准确归入原始变电站，并保证补全保留此前最佳的已观测选择结果。第三，通过闭环对照、模块消融和逐步案例分析，展示框架的质量与计算收益：开发实验减少约七成查询，同时将提前停止造成的最大完整周成本增幅压至 0.372%；冻结日期进一步保留了相对完整搜索的查询与控制时间节省。</w:t>
      </w:r>
    </w:p>
    <w:p>
      <w:pPr>
        <w:pStyle w:val="Heading1"/>
      </w:pPr>
      <w:r>
        <w:t>2 方法</w:t>
      </w:r>
    </w:p>
    <w:p>
      <w:pPr>
        <w:pStyle w:val="Heading2"/>
      </w:pPr>
      <w:r>
        <w:t>2.1 框架概述</w:t>
      </w:r>
    </w:p>
    <w:p>
      <w:pPr>
        <w:ind w:firstLine="460"/>
      </w:pPr>
      <w:r>
        <w:rPr>
          <w:b w:val="0"/>
        </w:rPr>
        <w:t>FRAME 的核心思想是先利用排序定位有价值的动作，再利用变电站结构补足局部比较。图 1 展示了整体流程：控制器生成当前可用的拓扑候选，将物理等价动作合并为代表；搜索层先评估排序前缀，按反馈逐批扩展；扩展达到停止条件时，对当前最佳候选所在变电站进行一次补全，最后将选中的拓扑提案交回基础控制器。基础控制器继续负责连续控制与恢复。</w:t>
      </w:r>
    </w:p>
    <w:p>
      <w:pPr>
        <w:ind w:firstLine="460"/>
      </w:pPr>
      <w:r>
        <w:rPr>
          <w:b w:val="0"/>
        </w:rPr>
        <w:t>这两个搜索阶段承担互补任务。渐进评估控制全局搜索量，避免每次遍历整个动作池；结构补全利用已发现候选的归属，检查全局排序中分散的同站配置。排序器提供优先顺序，搜索层决定实际查询集合。</w:t>
      </w:r>
    </w:p>
    <w:p>
      <w:pPr>
        <w:keepNext/>
        <w:spacing w:line="240" w:lineRule="auto"/>
        <w:jc w:val="center"/>
      </w:pPr>
      <w:r>
        <w:drawing>
          <wp:inline xmlns:a="http://schemas.openxmlformats.org/drawingml/2006/main" xmlns:pic="http://schemas.openxmlformats.org/drawingml/2006/picture">
            <wp:extent cx="5903999" cy="2075625"/>
            <wp:docPr id="1" name="Picture 1"/>
            <wp:cNvGraphicFramePr>
              <a:graphicFrameLocks noChangeAspect="1"/>
            </wp:cNvGraphicFramePr>
            <a:graphic>
              <a:graphicData uri="http://schemas.openxmlformats.org/drawingml/2006/picture">
                <pic:pic>
                  <pic:nvPicPr>
                    <pic:cNvPr id="0" name="framework_zh.png"/>
                    <pic:cNvPicPr/>
                  </pic:nvPicPr>
                  <pic:blipFill>
                    <a:blip r:embed="rId9"/>
                    <a:stretch>
                      <a:fillRect/>
                    </a:stretch>
                  </pic:blipFill>
                  <pic:spPr>
                    <a:xfrm>
                      <a:off x="0" y="0"/>
                      <a:ext cx="5903999" cy="2075625"/>
                    </a:xfrm>
                    <a:prstGeom prst="rect"/>
                  </pic:spPr>
                </pic:pic>
              </a:graphicData>
            </a:graphic>
          </wp:inline>
        </w:drawing>
      </w:r>
    </w:p>
    <w:p>
      <w:pPr>
        <w:keepNext w:val="0"/>
        <w:jc w:val="center"/>
      </w:pPr>
      <w:r>
        <w:rPr>
          <w:sz w:val="20"/>
        </w:rPr>
        <w:t>图 1 渐进搜索与变电站补全框架</w:t>
      </w:r>
    </w:p>
    <w:p>
      <w:pPr>
        <w:pStyle w:val="Heading2"/>
      </w:pPr>
      <w:r>
        <w:t>2.2 问题定义</w:t>
      </w:r>
    </w:p>
    <w:p>
      <w:pPr>
        <w:ind w:firstLine="460"/>
      </w:pPr>
      <w:r>
        <w:rPr>
          <w:b w:val="0"/>
        </w:rPr>
        <w:t>在决策时刻 t，控制器获得当前观测 x 和基础连续动作 b。原始拓扑动作库记为 I，每个动作具有标识 i 与变电站标签 s(i)。系统依据合法性和冷却时间筛选动作，处理断线端点，并将拓扑干预与 b 组合。对当前状态下产生相同物理动作向量的候选，系统保留一个规范化代表。记 rep(i) 为原始动作到代表的映射，A 为排序后的代表集合，同时保存全部原始别名及其变电站标签。</w:t>
      </w:r>
    </w:p>
    <w:p>
      <w:pPr>
        <w:ind w:firstLine="460"/>
      </w:pPr>
      <w:r>
        <w:rPr>
          <w:b w:val="0"/>
        </w:rPr>
        <w:t>查询 Q(x,b,a) 对候选 a 进行预测仿真，返回奖励 r(a)、最大线路负载率 ρ(a) 及终止、异常和合法性标志。FRAME 根据当前观测、固定动作元数据和已经执行的查询反馈选择后续候选。为沿用基础控制器的动作筛选要求，我们将满足以下负载率条件且通过合法性检查的候选称为可接纳候选：</w:t>
      </w:r>
    </w:p>
    <w:p>
      <w:pPr>
        <w:keepNext w:val="0"/>
        <w:spacing w:after="160" w:lineRule="atLeast" w:line="560"/>
        <w:jc w:val="center"/>
      </w:pPr>
      <m:oMathPara>
        <m:oMath>
          <m:r>
            <m:rPr>
              <m:sty m:val="p"/>
            </m:rPr>
            <m:t>0 &lt; ρ(a) &lt; min{ρ(x), θ}</m:t>
          </m:r>
        </m:oMath>
      </m:oMathPara>
    </w:p>
    <w:p>
      <w:pPr>
        <w:ind w:firstLine="460"/>
      </w:pPr>
      <w:r>
        <w:rPr>
          <w:b w:val="0"/>
        </w:rPr>
        <w:t>其中，ρ(x) 为当前最大线路负载率，θ 为基础控制器传入的阈值；合法性检查要求预测未终止，且没有异常、非法或歧义动作。在可接纳候选中，我们使用以下选择键比较动作：</w:t>
      </w:r>
    </w:p>
    <w:p>
      <w:pPr>
        <w:keepNext w:val="0"/>
        <w:spacing w:after="160" w:lineRule="atLeast" w:line="560"/>
        <w:jc w:val="center"/>
      </w:pPr>
      <m:oMathPara>
        <m:oMath>
          <m:r>
            <m:rPr>
              <m:sty m:val="p"/>
            </m:rPr>
            <m:t>f(a) = (fp32(r(a)), −i(a))</m:t>
          </m:r>
        </m:oMath>
      </m:oMathPara>
    </w:p>
    <w:p>
      <w:pPr>
        <w:ind w:firstLine="460"/>
      </w:pPr>
      <w:r>
        <w:rPr>
          <w:b w:val="0"/>
        </w:rPr>
        <w:t>该键优先选择预测奖励较高的动作，并在奖励相同时选择标识较小者。fp32 表示单精度浮点转换，i(a) 为代表保留的动作标识，二者与基础实现保持一致。搜索层输出最佳可接纳拓扑提案；没有可接纳候选时，由基础控制器执行原有回退流程。</w:t>
      </w:r>
    </w:p>
    <w:p>
      <w:pPr>
        <w:pStyle w:val="Heading2"/>
      </w:pPr>
      <w:r>
        <w:t>2.3 渐进候选评估</w:t>
      </w:r>
    </w:p>
    <w:p>
      <w:pPr>
        <w:ind w:firstLine="460"/>
      </w:pPr>
      <w:r>
        <w:rPr>
          <w:b w:val="0"/>
        </w:rPr>
        <w:t>渐进评估先查询前 min(128,|A|) 个代表，并建立当前最佳候选。若候选池已经耗尽，或最佳候选的预测负载率低于 0.9，则直接返回。这个前缀为控制器提供一次集中比较的机会，使较容易处理的状态能够尽早完成决策。</w:t>
      </w:r>
    </w:p>
    <w:p>
      <w:pPr>
        <w:ind w:firstLine="460"/>
      </w:pPr>
      <w:r>
        <w:rPr>
          <w:b w:val="0"/>
        </w:rPr>
        <w:t>其余状态以每批最多 64 个候选继续扩展。每批结束后更新最佳选择键：获得改进时，将连续无改进计数清零；否则计数加一。当最佳候选的预测负载率低于 0.9，或累计至少查询 256 次且连续两批没有改进时，结束全局扩展。若始终没有可接纳候选，则继续搜索直到候选池耗尽。</w:t>
      </w:r>
    </w:p>
    <w:p>
      <w:pPr>
        <w:ind w:firstLine="460"/>
      </w:pPr>
      <w:r>
        <w:rPr>
          <w:b w:val="0"/>
        </w:rPr>
        <w:t>负载率条件识别已获得较好预测状态的情形，连续无改进条件则控制奖励平台上的额外计算。停止后留下的候选中，同一变电站的未查配置交由下一阶段集中处理。</w:t>
      </w:r>
    </w:p>
    <w:p>
      <w:pPr>
        <w:pStyle w:val="Heading2"/>
      </w:pPr>
      <w:r>
        <w:t>2.4 变电站结构补全</w:t>
      </w:r>
    </w:p>
    <w:p>
      <w:pPr>
        <w:ind w:firstLine="460"/>
      </w:pPr>
      <w:r>
        <w:rPr>
          <w:b w:val="0"/>
        </w:rPr>
        <w:t>结构补全针对全局排序中分散的同站配置。设扩展结束时已查询代表集合为 C，最佳可接纳候选为 a_C，选定变电站为 s_C=s(i(a_C))。需要补查的代表集合定义为</w:t>
      </w:r>
    </w:p>
    <w:p>
      <w:pPr>
        <w:keepNext w:val="0"/>
        <w:spacing w:after="160" w:lineRule="atLeast" w:line="560"/>
        <w:jc w:val="center"/>
      </w:pPr>
      <m:oMathPara>
        <m:oMath>
          <m:r>
            <m:rPr>
              <m:sty m:val="p"/>
            </m:rPr>
            <m:t>L = {rep(i) ∈ A ∖ C : s(i) = </m:t>
          </m:r>
          <m:sSub>
            <m:e>
              <m:r>
                <m:rPr>
                  <m:sty m:val="p"/>
                </m:rPr>
                <m:t>s</m:t>
              </m:r>
            </m:e>
            <m:sub>
              <m:r>
                <m:rPr>
                  <m:sty m:val="p"/>
                </m:rPr>
                <m:t>C</m:t>
              </m:r>
            </m:sub>
          </m:sSub>
          <m:r>
            <m:rPr>
              <m:sty m:val="p"/>
            </m:rPr>
            <m:t>}</m:t>
          </m:r>
        </m:oMath>
      </m:oMathPara>
    </w:p>
    <w:p>
      <w:pPr>
        <w:ind w:firstLine="460"/>
      </w:pPr>
      <w:r>
        <w:rPr>
          <w:b w:val="0"/>
        </w:rPr>
        <w:t>这个定义通过原始别名确定归属：只要代表的任一原始别名属于 s_C，该代表就进入补全集合。这样，物理等价合并既减少重复评估，又保留完整的结构关系。FRAME 查询 L 中每个代表，并从 C∪L 中返回选择键最大的可接纳候选。</w:t>
      </w:r>
    </w:p>
    <w:p>
      <w:pPr>
        <w:ind w:firstLine="460"/>
      </w:pPr>
      <w:r>
        <w:rPr>
          <w:b w:val="0"/>
        </w:rPr>
        <w:t>补全使用扩展结束时选定的变电站，执行一次。它在经过扩展、已有最佳候选且仍有未查询项时触发；初始前缀直接返回的分支保持低开销。算法 1 给出完整流程。</w:t>
      </w:r>
    </w:p>
    <w:p>
      <w:pPr>
        <w:keepNext/>
        <w:spacing w:line="250" w:lineRule="auto" w:after="20"/>
        <w:ind w:left="198"/>
      </w:pPr>
      <w:r>
        <w:rPr>
          <w:rFonts w:ascii="Consolas" w:hAnsi="Consolas"/>
          <w:sz w:val="18"/>
        </w:rPr>
        <w:t>算法 1 渐进搜索与变电站补全</w:t>
      </w:r>
    </w:p>
    <w:p>
      <w:pPr>
        <w:keepNext/>
        <w:spacing w:line="250" w:lineRule="auto" w:after="20"/>
        <w:ind w:left="198"/>
      </w:pPr>
      <w:r>
        <w:rPr>
          <w:rFonts w:ascii="Consolas" w:hAnsi="Consolas"/>
          <w:sz w:val="18"/>
        </w:rPr>
        <w:t>输入：有序代表池 A；查询接口 Q；别名映射与变电站标签 s</w:t>
      </w:r>
    </w:p>
    <w:p>
      <w:pPr>
        <w:keepNext/>
        <w:spacing w:line="250" w:lineRule="auto" w:after="20"/>
        <w:ind w:left="198"/>
      </w:pPr>
      <w:r>
        <w:rPr>
          <w:rFonts w:ascii="Consolas" w:hAnsi="Consolas"/>
          <w:sz w:val="18"/>
        </w:rPr>
        <w:t>C ← 查询前 min(128, |A|) 个代表</w:t>
      </w:r>
    </w:p>
    <w:p>
      <w:pPr>
        <w:keepNext/>
        <w:spacing w:line="250" w:lineRule="auto" w:after="20"/>
        <w:ind w:left="198"/>
      </w:pPr>
      <w:r>
        <w:rPr>
          <w:rFonts w:ascii="Consolas" w:hAnsi="Consolas"/>
          <w:sz w:val="18"/>
        </w:rPr>
        <w:t>a ← C 中最佳可接纳候选</w:t>
      </w:r>
    </w:p>
    <w:p>
      <w:pPr>
        <w:keepNext/>
        <w:spacing w:line="250" w:lineRule="auto" w:after="20"/>
        <w:ind w:left="198"/>
      </w:pPr>
      <w:r>
        <w:rPr>
          <w:rFonts w:ascii="Consolas" w:hAnsi="Consolas"/>
          <w:sz w:val="18"/>
        </w:rPr>
        <w:t>若 C 已耗尽 A，或 a 存在且 ρ(a) &lt; 0.9，则返回 a</w:t>
      </w:r>
    </w:p>
    <w:p>
      <w:pPr>
        <w:keepNext/>
        <w:spacing w:line="250" w:lineRule="auto" w:after="20"/>
        <w:ind w:left="198"/>
      </w:pPr>
      <w:r>
        <w:rPr>
          <w:rFonts w:ascii="Consolas" w:hAnsi="Consolas"/>
          <w:sz w:val="18"/>
        </w:rPr>
        <w:t>stale ← 0</w:t>
      </w:r>
    </w:p>
    <w:p>
      <w:pPr>
        <w:keepNext/>
        <w:spacing w:line="250" w:lineRule="auto" w:after="20"/>
        <w:ind w:left="198"/>
      </w:pPr>
      <w:r>
        <w:rPr>
          <w:rFonts w:ascii="Consolas" w:hAnsi="Consolas"/>
          <w:sz w:val="18"/>
        </w:rPr>
        <w:t>当仍有未查询候选时：</w:t>
      </w:r>
    </w:p>
    <w:p>
      <w:pPr>
        <w:keepNext/>
        <w:spacing w:line="250" w:lineRule="auto" w:after="20"/>
        <w:ind w:left="198"/>
      </w:pPr>
      <w:r>
        <w:rPr>
          <w:rFonts w:ascii="Consolas" w:hAnsi="Consolas"/>
          <w:sz w:val="18"/>
        </w:rPr>
        <w:t xml:space="preserve">    查询下一批至多 64 个代表；更新 C 和 a</w:t>
      </w:r>
    </w:p>
    <w:p>
      <w:pPr>
        <w:keepNext/>
        <w:spacing w:line="250" w:lineRule="auto" w:after="20"/>
        <w:ind w:left="198"/>
      </w:pPr>
      <w:r>
        <w:rPr>
          <w:rFonts w:ascii="Consolas" w:hAnsi="Consolas"/>
          <w:sz w:val="18"/>
        </w:rPr>
        <w:t xml:space="preserve">    选择键改进时 stale 归零，否则 stale 加一</w:t>
      </w:r>
    </w:p>
    <w:p>
      <w:pPr>
        <w:keepNext/>
        <w:spacing w:line="250" w:lineRule="auto" w:after="20"/>
        <w:ind w:left="198"/>
      </w:pPr>
      <w:r>
        <w:rPr>
          <w:rFonts w:ascii="Consolas" w:hAnsi="Consolas"/>
          <w:sz w:val="18"/>
        </w:rPr>
        <w:t xml:space="preserve">    若 a 存在，且 [ρ(a) &lt; 0.9 或 (查询数 ≥ 256 且 stale ≥ 2)]：</w:t>
      </w:r>
    </w:p>
    <w:p>
      <w:pPr>
        <w:keepNext/>
        <w:spacing w:line="250" w:lineRule="auto" w:after="20"/>
        <w:ind w:left="198"/>
      </w:pPr>
      <w:r>
        <w:rPr>
          <w:rFonts w:ascii="Consolas" w:hAnsi="Consolas"/>
          <w:sz w:val="18"/>
        </w:rPr>
        <w:t xml:space="preserve">        结束扩展循环</w:t>
      </w:r>
    </w:p>
    <w:p>
      <w:pPr>
        <w:keepNext/>
        <w:spacing w:line="250" w:lineRule="auto" w:after="20"/>
        <w:ind w:left="198"/>
      </w:pPr>
      <w:r>
        <w:rPr>
          <w:rFonts w:ascii="Consolas" w:hAnsi="Consolas"/>
          <w:sz w:val="18"/>
        </w:rPr>
        <w:t>若 a 存在且 C 未耗尽 A：</w:t>
      </w:r>
    </w:p>
    <w:p>
      <w:pPr>
        <w:keepNext/>
        <w:spacing w:line="250" w:lineRule="auto" w:after="20"/>
        <w:ind w:left="198"/>
      </w:pPr>
      <w:r>
        <w:rPr>
          <w:rFonts w:ascii="Consolas" w:hAnsi="Consolas"/>
          <w:sz w:val="18"/>
        </w:rPr>
        <w:t xml:space="preserve">    s_C ← a 的原始变电站</w:t>
      </w:r>
    </w:p>
    <w:p>
      <w:pPr>
        <w:keepNext/>
        <w:spacing w:line="250" w:lineRule="auto" w:after="20"/>
        <w:ind w:left="198"/>
      </w:pPr>
      <w:r>
        <w:rPr>
          <w:rFonts w:ascii="Consolas" w:hAnsi="Consolas"/>
          <w:sz w:val="18"/>
        </w:rPr>
        <w:t xml:space="preserve">    L ← 所有具有 s_C 别名且尚未查询的代表</w:t>
      </w:r>
    </w:p>
    <w:p>
      <w:pPr>
        <w:keepNext/>
        <w:spacing w:line="250" w:lineRule="auto" w:after="20"/>
        <w:ind w:left="198"/>
      </w:pPr>
      <w:r>
        <w:rPr>
          <w:rFonts w:ascii="Consolas" w:hAnsi="Consolas"/>
          <w:sz w:val="18"/>
        </w:rPr>
        <w:t xml:space="preserve">    查询 L 一次；按相同可接纳规则与选择键更新 a</w:t>
      </w:r>
    </w:p>
    <w:p>
      <w:pPr>
        <w:keepNext w:val="0"/>
        <w:spacing w:line="250" w:lineRule="auto" w:after="20"/>
        <w:ind w:left="198"/>
      </w:pPr>
      <w:r>
        <w:rPr>
          <w:rFonts w:ascii="Consolas" w:hAnsi="Consolas"/>
          <w:sz w:val="18"/>
        </w:rPr>
        <w:t>返回 a；若没有可接纳候选，则交由基础控制器回退</w:t>
      </w:r>
    </w:p>
    <w:p>
      <w:pPr>
        <w:pStyle w:val="Heading2"/>
      </w:pPr>
      <w:r>
        <w:t>2.5 补全性质与查询开销</w:t>
      </w:r>
    </w:p>
    <w:p>
      <w:pPr>
        <w:ind w:firstLine="460"/>
      </w:pPr>
      <w:r>
        <w:rPr>
          <w:b w:val="0"/>
        </w:rPr>
        <w:t>补全保留已获得的最佳反馈，同时增加局部候选的比较。设补全前后最佳候选分别为 a_C 与 a_after，则 f(a_after)≥f(a_C)。这是因为 a_C 仍在 C∪L 中，而更新只接受更大的选择键。补全的额外查询数为 |L|；查询登记保证每个规范化代表最多评估一次，整个搜索的查询数不超过 |A|。</w:t>
      </w:r>
    </w:p>
    <w:p>
      <w:pPr>
        <w:ind w:firstLine="460"/>
      </w:pPr>
      <w:r>
        <w:rPr>
          <w:b w:val="0"/>
        </w:rPr>
        <w:t>这一性质使局部补查具有明确的收益方向和计算账目：已观测的最佳选择被保留，新增评估集中在选定变电站。其对多步运行的影响通过下一节的闭环实验检验。</w:t>
      </w:r>
    </w:p>
    <w:p>
      <w:pPr>
        <w:pStyle w:val="Heading1"/>
      </w:pPr>
      <w:r>
        <w:t>3 实验</w:t>
      </w:r>
    </w:p>
    <w:p>
      <w:pPr>
        <w:pStyle w:val="Heading2"/>
      </w:pPr>
      <w:r>
        <w:t>3.1 实验设置</w:t>
      </w:r>
    </w:p>
    <w:p>
      <w:pPr>
        <w:ind w:firstLine="460"/>
      </w:pPr>
      <w:r>
        <w:rPr>
          <w:b w:val="0"/>
        </w:rPr>
        <w:t>实验使用公开 l2rpn_idf_2023 环境、LightSim2Grid 和基于 LJN 的混合控制器 [1,2]。原始拓扑动作库包含 909 个动作，当前候选池由合法性筛选与等价合并得到。四种方法共享作者频次排序、连续控制、恢复策略、预测接口以及 DC/safe-QP 编译缓存，比较集中于搜索停止和结构补全。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427"/>
      </w:tblGrid>
      <w:tr>
        <w:trPr>
          <w:cantSplit/>
          <w:tblHeader/>
        </w:trPr>
        <w:tc>
          <w:tcPr>
            <w:tcW w:type="dxa" w:w="1984"/>
            <w:vAlign w:val="center"/>
            <w:tcMar>
              <w:top w:w="90" w:type="dxa"/>
              <w:bottom w:w="90" w:type="dxa"/>
              <w:left w:w="80" w:type="dxa"/>
              <w:right w:w="80" w:type="dxa"/>
            </w:tcMar>
            <w:shd w:fill="E9EDF2"/>
          </w:tcPr>
          <w:p>
            <w:pPr>
              <w:keepNext/>
              <w:spacing w:after="0" w:line="259" w:lineRule="auto"/>
              <w:jc w:val="left"/>
            </w:pPr>
            <w:r>
              <w:rPr>
                <w:b/>
                <w:sz w:val="20"/>
              </w:rPr>
              <w:t>策略</w:t>
            </w:r>
          </w:p>
        </w:tc>
        <w:tc>
          <w:tcPr>
            <w:tcW w:type="dxa" w:w="7427"/>
            <w:vAlign w:val="center"/>
            <w:tcMar>
              <w:top w:w="90" w:type="dxa"/>
              <w:bottom w:w="90" w:type="dxa"/>
              <w:left w:w="80" w:type="dxa"/>
              <w:right w:w="80" w:type="dxa"/>
            </w:tcMar>
            <w:shd w:fill="E9EDF2"/>
          </w:tcPr>
          <w:p>
            <w:pPr>
              <w:keepNext/>
              <w:spacing w:after="0" w:line="259" w:lineRule="auto"/>
              <w:jc w:val="left"/>
            </w:pPr>
            <w:r>
              <w:rPr>
                <w:b/>
                <w:sz w:val="20"/>
              </w:rPr>
              <w:t>搜索行为</w:t>
            </w:r>
          </w:p>
        </w:tc>
      </w:tr>
      <w:tr>
        <w:trPr>
          <w:cantSplit/>
        </w:trPr>
        <w:tc>
          <w:tcPr>
            <w:tcW w:type="dxa" w:w="1984"/>
            <w:vAlign w:val="center"/>
            <w:tcMar>
              <w:top w:w="90" w:type="dxa"/>
              <w:bottom w:w="90" w:type="dxa"/>
              <w:left w:w="80" w:type="dxa"/>
              <w:right w:w="80" w:type="dxa"/>
            </w:tcMar>
          </w:tcPr>
          <w:p>
            <w:pPr>
              <w:keepNext/>
              <w:spacing w:after="0" w:line="259" w:lineRule="auto"/>
              <w:jc w:val="left"/>
            </w:pPr>
            <w:r>
              <w:rPr>
                <w:b w:val="0"/>
                <w:sz w:val="20"/>
              </w:rPr>
              <w:t>FULL</w:t>
            </w:r>
          </w:p>
        </w:tc>
        <w:tc>
          <w:tcPr>
            <w:tcW w:type="dxa" w:w="7427"/>
            <w:vAlign w:val="center"/>
            <w:tcMar>
              <w:top w:w="90" w:type="dxa"/>
              <w:bottom w:w="90" w:type="dxa"/>
              <w:left w:w="80" w:type="dxa"/>
              <w:right w:w="80" w:type="dxa"/>
            </w:tcMar>
          </w:tcPr>
          <w:p>
            <w:pPr>
              <w:keepNext/>
              <w:spacing w:after="0" w:line="259" w:lineRule="auto"/>
              <w:jc w:val="left"/>
            </w:pPr>
            <w:r>
              <w:rPr>
                <w:b w:val="0"/>
                <w:sz w:val="20"/>
              </w:rPr>
              <w:t>评估全部合法规范化代表，选择键最大的可接纳项。</w:t>
            </w:r>
          </w:p>
        </w:tc>
      </w:tr>
      <w:tr>
        <w:trPr>
          <w:cantSplit/>
        </w:trPr>
        <w:tc>
          <w:tcPr>
            <w:tcW w:type="dxa" w:w="1984"/>
            <w:vAlign w:val="center"/>
            <w:tcMar>
              <w:top w:w="90" w:type="dxa"/>
              <w:bottom w:w="90" w:type="dxa"/>
              <w:left w:w="80" w:type="dxa"/>
              <w:right w:w="80" w:type="dxa"/>
            </w:tcMar>
          </w:tcPr>
          <w:p>
            <w:pPr>
              <w:keepNext/>
              <w:spacing w:after="0" w:line="259" w:lineRule="auto"/>
              <w:jc w:val="left"/>
            </w:pPr>
            <w:r>
              <w:rPr>
                <w:b w:val="0"/>
                <w:sz w:val="20"/>
              </w:rPr>
              <w:t>FIRST_SAFE_BEST</w:t>
            </w:r>
          </w:p>
        </w:tc>
        <w:tc>
          <w:tcPr>
            <w:tcW w:type="dxa" w:w="7427"/>
            <w:vAlign w:val="center"/>
            <w:tcMar>
              <w:top w:w="90" w:type="dxa"/>
              <w:bottom w:w="90" w:type="dxa"/>
              <w:left w:w="80" w:type="dxa"/>
              <w:right w:w="80" w:type="dxa"/>
            </w:tcMar>
          </w:tcPr>
          <w:p>
            <w:pPr>
              <w:keepNext/>
              <w:spacing w:after="0" w:line="259" w:lineRule="auto"/>
              <w:jc w:val="left"/>
            </w:pPr>
            <w:r>
              <w:rPr>
                <w:b w:val="0"/>
                <w:sz w:val="20"/>
              </w:rPr>
              <w:t>返回首个 ρ&lt;0.9 的可接纳预测；若未找到而耗尽候选池，保留最佳可接纳项。</w:t>
            </w:r>
          </w:p>
        </w:tc>
      </w:tr>
      <w:tr>
        <w:trPr>
          <w:cantSplit/>
        </w:trPr>
        <w:tc>
          <w:tcPr>
            <w:tcW w:type="dxa" w:w="1984"/>
            <w:vAlign w:val="center"/>
            <w:tcMar>
              <w:top w:w="90" w:type="dxa"/>
              <w:bottom w:w="90" w:type="dxa"/>
              <w:left w:w="80" w:type="dxa"/>
              <w:right w:w="80" w:type="dxa"/>
            </w:tcMar>
          </w:tcPr>
          <w:p>
            <w:pPr>
              <w:keepNext/>
              <w:spacing w:after="0" w:line="259" w:lineRule="auto"/>
              <w:jc w:val="left"/>
            </w:pPr>
            <w:r>
              <w:rPr>
                <w:b w:val="0"/>
                <w:sz w:val="20"/>
              </w:rPr>
              <w:t>NO_LOCAL</w:t>
            </w:r>
          </w:p>
        </w:tc>
        <w:tc>
          <w:tcPr>
            <w:tcW w:type="dxa" w:w="7427"/>
            <w:vAlign w:val="center"/>
            <w:tcMar>
              <w:top w:w="90" w:type="dxa"/>
              <w:bottom w:w="90" w:type="dxa"/>
              <w:left w:w="80" w:type="dxa"/>
              <w:right w:w="80" w:type="dxa"/>
            </w:tcMar>
          </w:tcPr>
          <w:p>
            <w:pPr>
              <w:keepNext/>
              <w:spacing w:after="0" w:line="259" w:lineRule="auto"/>
              <w:jc w:val="left"/>
            </w:pPr>
            <w:r>
              <w:rPr>
                <w:b w:val="0"/>
                <w:sz w:val="20"/>
              </w:rPr>
              <w:t>沿用 FRAME 的前缀、批次和停止规则，只关闭结构补全。</w:t>
            </w:r>
          </w:p>
        </w:tc>
      </w:tr>
      <w:tr>
        <w:trPr>
          <w:cantSplit/>
        </w:trPr>
        <w:tc>
          <w:tcPr>
            <w:tcW w:type="dxa" w:w="1984"/>
            <w:vAlign w:val="center"/>
            <w:tcMar>
              <w:top w:w="90" w:type="dxa"/>
              <w:bottom w:w="90" w:type="dxa"/>
              <w:left w:w="80" w:type="dxa"/>
              <w:right w:w="80" w:type="dxa"/>
            </w:tcMar>
          </w:tcPr>
          <w:p>
            <w:pPr>
              <w:keepNext w:val="0"/>
              <w:spacing w:after="0" w:line="259" w:lineRule="auto"/>
              <w:jc w:val="left"/>
            </w:pPr>
            <w:r>
              <w:rPr>
                <w:b w:val="0"/>
                <w:sz w:val="20"/>
              </w:rPr>
              <w:t>FRAME</w:t>
            </w:r>
          </w:p>
        </w:tc>
        <w:tc>
          <w:tcPr>
            <w:tcW w:type="dxa" w:w="7427"/>
            <w:vAlign w:val="center"/>
            <w:tcMar>
              <w:top w:w="90" w:type="dxa"/>
              <w:bottom w:w="90" w:type="dxa"/>
              <w:left w:w="80" w:type="dxa"/>
              <w:right w:w="80" w:type="dxa"/>
            </w:tcMar>
          </w:tcPr>
          <w:p>
            <w:pPr>
              <w:keepNext w:val="0"/>
              <w:spacing w:after="0" w:line="259" w:lineRule="auto"/>
              <w:jc w:val="left"/>
            </w:pPr>
            <w:r>
              <w:rPr>
                <w:b w:val="0"/>
                <w:sz w:val="20"/>
              </w:rPr>
              <w:t>渐进评估后执行有条件的变电站补全。</w:t>
            </w:r>
          </w:p>
        </w:tc>
      </w:tr>
    </w:tbl>
    <w:p>
      <w:pPr>
        <w:spacing w:after="20"/>
      </w:pPr>
    </w:p>
    <w:p>
      <w:pPr>
        <w:ind w:firstLine="460"/>
      </w:pPr>
      <w:r>
        <w:rPr>
          <w:b w:val="0"/>
        </w:rPr>
        <w:t>FULL 提供完整候选搜索参照；FIRST_SAFE_BEST 采用首个达到负载率阈值即返回的原则，并在遍历后保留最佳可接纳项；NO_LOCAL 用于检验结构补全的作用。共同排序采用频次先验，所有主实验使用相同顺序。</w:t>
      </w:r>
    </w:p>
    <w:p>
      <w:pPr>
        <w:ind w:firstLine="460"/>
      </w:pPr>
      <w:r>
        <w:rPr>
          <w:b w:val="0"/>
        </w:rPr>
        <w:t>实验分为开发和确认两组。开发组包含 2035-03-05_0、2035-06-25_8、2035-09-03_4、2035-10-01_5 四个日期，共 32 条运行。确认组包含此前未用于本地开发的三个日期变体：2035-04-09_3、2035-05-14_14、2035-11-19_0，共 24 条运行。确认日期由固定元数据规则选出；运行前冻结策略、阈值和执行顺序。每组均为四种方法、每日期两次平衡串行重复。</w:t>
      </w:r>
    </w:p>
    <w:p>
      <w:pPr>
        <w:ind w:firstLine="460"/>
      </w:pPr>
      <w:r>
        <w:rPr>
          <w:b w:val="0"/>
        </w:rPr>
        <w:t>实验主机为 AMD Ryzen 9 8940HX，系统为 Windows 11。软件包括 Python 3.12.14、Grid2Op 1.12.5、LightSim2Grid 1.1.0、CVXPY 1.9.3、Clarabel 0.11.1 和 OSQP 1.1.3。回放采用单个串行 CPU 工作进程，数值库设为单线程。</w:t>
      </w:r>
    </w:p>
    <w:p>
      <w:pPr>
        <w:pStyle w:val="Heading2"/>
      </w:pPr>
      <w:r>
        <w:t>3.2 评价指标</w:t>
      </w:r>
    </w:p>
    <w:p>
      <w:pPr>
        <w:ind w:firstLine="460"/>
      </w:pPr>
      <w:r>
        <w:rPr>
          <w:b w:val="0"/>
        </w:rPr>
        <w:t>我们同时衡量候选查询数、实际控制时间、完整周运行成本和存活步数。控制时间包括搜索准备、排序、预测仿真和连续控制，环境步进、初始化与结果保存单列。记 T_m,d,j 为方法 m 在日期 d、第 j 次重复的控制时间，先对同日期重复取平均：</w:t>
      </w:r>
    </w:p>
    <w:p>
      <w:pPr>
        <w:keepNext/>
        <w:spacing w:after="160" w:lineRule="atLeast" w:line="560"/>
        <w:jc w:val="center"/>
      </w:pPr>
      <m:oMathPara>
        <m:oMath>
          <m:sSub>
            <m:e>
              <m:bar>
                <m:barPr>
                  <m:pos m:val="top"/>
                </m:barPr>
                <m:e>
                  <m:r>
                    <m:rPr>
                      <m:sty m:val="p"/>
                    </m:rPr>
                    <m:t>T</m:t>
                  </m:r>
                </m:e>
              </m:bar>
            </m:e>
            <m:sub>
              <m:r>
                <m:rPr>
                  <m:sty m:val="p"/>
                </m:rPr>
                <m:t>m,d</m:t>
              </m:r>
            </m:sub>
          </m:sSub>
          <m:r>
            <m:rPr>
              <m:sty m:val="p"/>
            </m:rPr>
            <m:t> = </m:t>
          </m:r>
          <m:f>
            <m:num>
              <m:r>
                <m:rPr>
                  <m:sty m:val="p"/>
                </m:rPr>
                <m:t>1</m:t>
              </m:r>
            </m:num>
            <m:den>
              <m:r>
                <m:rPr>
                  <m:sty m:val="p"/>
                </m:rPr>
                <m:t>2</m:t>
              </m:r>
            </m:den>
          </m:f>
          <m:r>
            <m:rPr>
              <m:sty m:val="p"/>
            </m:rPr>
            <m:t>(</m:t>
          </m:r>
          <m:sSub>
            <m:e>
              <m:r>
                <m:rPr>
                  <m:sty m:val="p"/>
                </m:rPr>
                <m:t>T</m:t>
              </m:r>
            </m:e>
            <m:sub>
              <m:r>
                <m:rPr>
                  <m:sty m:val="p"/>
                </m:rPr>
                <m:t>m,d,0</m:t>
              </m:r>
            </m:sub>
          </m:sSub>
          <m:r>
            <m:rPr>
              <m:sty m:val="p"/>
            </m:rPr>
            <m:t> + </m:t>
          </m:r>
          <m:sSub>
            <m:e>
              <m:r>
                <m:rPr>
                  <m:sty m:val="p"/>
                </m:rPr>
                <m:t>T</m:t>
              </m:r>
            </m:e>
            <m:sub>
              <m:r>
                <m:rPr>
                  <m:sty m:val="p"/>
                </m:rPr>
                <m:t>m,d,1</m:t>
              </m:r>
            </m:sub>
          </m:sSub>
          <m:r>
            <m:rPr>
              <m:sty m:val="p"/>
            </m:rPr>
            <m:t>)</m:t>
          </m:r>
        </m:oMath>
      </m:oMathPara>
    </w:p>
    <w:p>
      <w:pPr>
        <w:ind w:firstLine="460"/>
      </w:pPr>
      <w:r>
        <w:rPr>
          <w:b w:val="0"/>
        </w:rPr>
        <w:t>再计算各日期相对 FULL 的节省比例并等权平均：</w:t>
      </w:r>
    </w:p>
    <w:p>
      <w:pPr>
        <w:keepNext w:val="0"/>
        <w:spacing w:after="160" w:lineRule="atLeast" w:line="840"/>
        <w:jc w:val="center"/>
      </w:pPr>
      <m:oMathPara>
        <m:oMath>
          <m:sSub>
            <m:e>
              <m:r>
                <m:rPr>
                  <m:sty m:val="p"/>
                </m:rPr>
                <m:t>S</m:t>
              </m:r>
            </m:e>
            <m:sub>
              <m:r>
                <m:rPr>
                  <m:sty m:val="p"/>
                </m:rPr>
                <m:t>T</m:t>
              </m:r>
            </m:sub>
          </m:sSub>
          <m:r>
            <m:rPr>
              <m:sty m:val="p"/>
            </m:rPr>
            <m:t>(m) = </m:t>
          </m:r>
          <m:f>
            <m:num>
              <m:r>
                <m:rPr>
                  <m:sty m:val="p"/>
                </m:rPr>
                <m:t>1</m:t>
              </m:r>
            </m:num>
            <m:den>
              <m:r>
                <m:rPr>
                  <m:sty m:val="p"/>
                </m:rPr>
                <m:t>|</m:t>
              </m:r>
              <m:sSub>
                <m:e>
                  <m:r>
                    <m:rPr>
                      <m:sty m:val="p"/>
                    </m:rPr>
                    <m:t>D</m:t>
                  </m:r>
                </m:e>
                <m:sub>
                  <m:r>
                    <m:rPr>
                      <m:sty m:val="p"/>
                    </m:rPr>
                    <m:t>T</m:t>
                  </m:r>
                </m:sub>
              </m:sSub>
              <m:r>
                <m:rPr>
                  <m:sty m:val="p"/>
                </m:rPr>
                <m:t>|</m:t>
              </m:r>
            </m:den>
          </m:f>
          <m:nary>
            <m:naryPr>
              <m:chr m:val="∑"/>
              <m:limLoc m:val="undOvr"/>
              <m:supHide m:val="1"/>
            </m:naryPr>
            <m:sub>
              <m:r>
                <m:rPr>
                  <m:sty m:val="p"/>
                </m:rPr>
                <m:t>d ∈ </m:t>
              </m:r>
              <m:sSub>
                <m:e>
                  <m:r>
                    <m:rPr>
                      <m:sty m:val="p"/>
                    </m:rPr>
                    <m:t>D</m:t>
                  </m:r>
                </m:e>
                <m:sub>
                  <m:r>
                    <m:rPr>
                      <m:sty m:val="p"/>
                    </m:rPr>
                    <m:t>T</m:t>
                  </m:r>
                </m:sub>
              </m:sSub>
            </m:sub>
            <m:sup/>
            <m:e>
              <m:r>
                <m:rPr>
                  <m:sty m:val="p"/>
                </m:rPr>
                <m:t>(</m:t>
              </m:r>
              <m:r>
                <m:rPr>
                  <m:sty m:val="p"/>
                </m:rPr>
                <m:t>1 − </m:t>
              </m:r>
              <m:f>
                <m:num>
                  <m:sSub>
                    <m:e>
                      <m:bar>
                        <m:barPr>
                          <m:pos m:val="top"/>
                        </m:barPr>
                        <m:e>
                          <m:r>
                            <m:rPr>
                              <m:sty m:val="p"/>
                            </m:rPr>
                            <m:t>T</m:t>
                          </m:r>
                        </m:e>
                      </m:bar>
                    </m:e>
                    <m:sub>
                      <m:r>
                        <m:rPr>
                          <m:sty m:val="p"/>
                        </m:rPr>
                        <m:t>m,d</m:t>
                      </m:r>
                    </m:sub>
                  </m:sSub>
                </m:num>
                <m:den>
                  <m:sSub>
                    <m:e>
                      <m:bar>
                        <m:barPr>
                          <m:pos m:val="top"/>
                        </m:barPr>
                        <m:e>
                          <m:r>
                            <m:rPr>
                              <m:sty m:val="p"/>
                            </m:rPr>
                            <m:t>T</m:t>
                          </m:r>
                        </m:e>
                      </m:bar>
                    </m:e>
                    <m:sub>
                      <m:r>
                        <m:rPr>
                          <m:sty m:val="p"/>
                        </m:rPr>
                        <m:t>FULL,d</m:t>
                      </m:r>
                    </m:sub>
                  </m:sSub>
                </m:den>
              </m:f>
              <m:r>
                <m:rPr>
                  <m:sty m:val="p"/>
                </m:rPr>
                <m:t>)</m:t>
              </m:r>
            </m:e>
          </m:nary>
        </m:oMath>
      </m:oMathPara>
    </w:p>
    <w:p>
      <w:pPr>
        <w:ind w:firstLine="460"/>
      </w:pPr>
      <w:r>
        <w:rPr>
          <w:b w:val="0"/>
        </w:rPr>
        <w:t>D_T 包含运行长度相同的比较。查询节省采用相同聚合方式，分母为 FULL 的查询数，零查询日期单列。完整周成本变化为 (J_m,d−J_FULL,d)/J_FULL,d，正值表示成本增加，只在双方都完成整周时计算。成本按 L2RPNSandBoxScore 计量，包含损失能量、再调度绝对能量、弃电能量变化和储能吞吐能量的加权和。</w:t>
      </w:r>
    </w:p>
    <w:p>
      <w:pPr>
        <w:ind w:firstLine="460"/>
      </w:pPr>
      <w:r>
        <w:rPr>
          <w:b w:val="0"/>
        </w:rPr>
        <w:t>质量判据在运行前固定：相对 FULL 没有更早失败，且可比较完整周成本增幅不超过 0.5%。确认实验另外要求至少两个完整可比较日期、平均控制时间减少至少 5%，且至少两个日期时间减少。所有结果按日期汇总。</w:t>
      </w:r>
    </w:p>
    <w:p>
      <w:pPr>
        <w:pStyle w:val="Heading2"/>
      </w:pPr>
      <w:r>
        <w:t>3.3 整体质量与计算收益</w:t>
      </w:r>
    </w:p>
    <w:p>
      <w:pPr>
        <w:ind w:firstLine="460"/>
      </w:pPr>
      <w:r>
        <w:rPr>
          <w:b w:val="0"/>
        </w:rPr>
        <w:t>表 1 展示了四种搜索策略的质量与计算权衡。FRAME 在开发与确认组均通过全部日期的质量判据，并减少了相对 FULL 的候选查询和控制时间。开发组中，查询减少 69.37%，控制时间减少 13.11%；确认组中，两个发生搜索的日期平均减少查询 83.54%，全部三个日期的平均控制时间减少 6.09%。连续控制仍占用决策时间，因此完整控制循环获得的提速小于候选查询降幅。</w:t>
      </w:r>
    </w:p>
    <w:p>
      <w:pPr>
        <w:keepNext/>
        <w:jc w:val="center"/>
      </w:pPr>
      <w:r>
        <w:rPr>
          <w:sz w:val="20"/>
        </w:rPr>
        <w:t>表 1 按日期汇总的质量与计算结果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7"/>
        <w:gridCol w:w="1984"/>
        <w:gridCol w:w="935"/>
        <w:gridCol w:w="822"/>
        <w:gridCol w:w="1191"/>
        <w:gridCol w:w="1134"/>
        <w:gridCol w:w="1701"/>
      </w:tblGrid>
      <w:tr>
        <w:trPr>
          <w:cantSplit/>
          <w:tblHeader/>
        </w:trPr>
        <w:tc>
          <w:tcPr>
            <w:tcW w:type="dxa" w:w="737"/>
            <w:vAlign w:val="center"/>
            <w:tcMar>
              <w:top w:w="90" w:type="dxa"/>
              <w:bottom w:w="90" w:type="dxa"/>
              <w:left w:w="80" w:type="dxa"/>
              <w:right w:w="80" w:type="dxa"/>
            </w:tcMar>
            <w:shd w:fill="E9EDF2"/>
          </w:tcPr>
          <w:p>
            <w:pPr>
              <w:spacing w:after="0" w:line="259" w:lineRule="auto"/>
              <w:jc w:val="center"/>
            </w:pPr>
            <w:r>
              <w:rPr>
                <w:b/>
                <w:sz w:val="18"/>
              </w:rPr>
              <w:t>数据组</w:t>
            </w:r>
          </w:p>
        </w:tc>
        <w:tc>
          <w:tcPr>
            <w:tcW w:type="dxa" w:w="1984"/>
            <w:vAlign w:val="center"/>
            <w:tcMar>
              <w:top w:w="90" w:type="dxa"/>
              <w:bottom w:w="90" w:type="dxa"/>
              <w:left w:w="80" w:type="dxa"/>
              <w:right w:w="80" w:type="dxa"/>
            </w:tcMar>
            <w:shd w:fill="E9EDF2"/>
          </w:tcPr>
          <w:p>
            <w:pPr>
              <w:spacing w:after="0" w:line="259" w:lineRule="auto"/>
              <w:jc w:val="left"/>
            </w:pPr>
            <w:r>
              <w:rPr>
                <w:b/>
                <w:sz w:val="18"/>
              </w:rPr>
              <w:t>策略</w:t>
            </w:r>
          </w:p>
        </w:tc>
        <w:tc>
          <w:tcPr>
            <w:tcW w:type="dxa" w:w="935"/>
            <w:vAlign w:val="center"/>
            <w:tcMar>
              <w:top w:w="90" w:type="dxa"/>
              <w:bottom w:w="90" w:type="dxa"/>
              <w:left w:w="80" w:type="dxa"/>
              <w:right w:w="80" w:type="dxa"/>
            </w:tcMar>
            <w:shd w:fill="E9EDF2"/>
          </w:tcPr>
          <w:p>
            <w:pPr>
              <w:spacing w:after="0" w:line="259" w:lineRule="auto"/>
              <w:jc w:val="center"/>
            </w:pPr>
            <w:r>
              <w:rPr>
                <w:b/>
                <w:sz w:val="18"/>
              </w:rPr>
              <w:t>质量通过</w:t>
              <w:br/>
              <w:t>日期</w:t>
            </w:r>
          </w:p>
        </w:tc>
        <w:tc>
          <w:tcPr>
            <w:tcW w:type="dxa" w:w="822"/>
            <w:vAlign w:val="center"/>
            <w:tcMar>
              <w:top w:w="90" w:type="dxa"/>
              <w:bottom w:w="90" w:type="dxa"/>
              <w:left w:w="80" w:type="dxa"/>
              <w:right w:w="80" w:type="dxa"/>
            </w:tcMar>
            <w:shd w:fill="E9EDF2"/>
          </w:tcPr>
          <w:p>
            <w:pPr>
              <w:spacing w:after="0" w:line="259" w:lineRule="auto"/>
              <w:jc w:val="center"/>
            </w:pPr>
            <w:r>
              <w:rPr>
                <w:b/>
                <w:sz w:val="18"/>
              </w:rPr>
              <w:t>完成</w:t>
              <w:br/>
              <w:t>日期</w:t>
            </w:r>
          </w:p>
        </w:tc>
        <w:tc>
          <w:tcPr>
            <w:tcW w:type="dxa" w:w="1191"/>
            <w:vAlign w:val="center"/>
            <w:tcMar>
              <w:top w:w="90" w:type="dxa"/>
              <w:bottom w:w="90" w:type="dxa"/>
              <w:left w:w="80" w:type="dxa"/>
              <w:right w:w="80" w:type="dxa"/>
            </w:tcMar>
            <w:shd w:fill="E9EDF2"/>
          </w:tcPr>
          <w:p>
            <w:pPr>
              <w:spacing w:after="0" w:line="259" w:lineRule="auto"/>
              <w:jc w:val="center"/>
            </w:pPr>
            <w:r>
              <w:rPr>
                <w:b/>
                <w:sz w:val="18"/>
              </w:rPr>
              <w:t>控制时间</w:t>
              <w:br/>
              <w:t>减少</w:t>
            </w:r>
          </w:p>
        </w:tc>
        <w:tc>
          <w:tcPr>
            <w:tcW w:type="dxa" w:w="1134"/>
            <w:vAlign w:val="center"/>
            <w:tcMar>
              <w:top w:w="90" w:type="dxa"/>
              <w:bottom w:w="90" w:type="dxa"/>
              <w:left w:w="80" w:type="dxa"/>
              <w:right w:w="80" w:type="dxa"/>
            </w:tcMar>
            <w:shd w:fill="E9EDF2"/>
          </w:tcPr>
          <w:p>
            <w:pPr>
              <w:spacing w:after="0" w:line="259" w:lineRule="auto"/>
              <w:jc w:val="center"/>
            </w:pPr>
            <w:r>
              <w:rPr>
                <w:b/>
                <w:sz w:val="18"/>
              </w:rPr>
              <w:t>查询减少</w:t>
            </w:r>
          </w:p>
        </w:tc>
        <w:tc>
          <w:tcPr>
            <w:tcW w:type="dxa" w:w="1701"/>
            <w:vAlign w:val="center"/>
            <w:tcMar>
              <w:top w:w="90" w:type="dxa"/>
              <w:bottom w:w="90" w:type="dxa"/>
              <w:left w:w="80" w:type="dxa"/>
              <w:right w:w="80" w:type="dxa"/>
            </w:tcMar>
            <w:shd w:fill="E9EDF2"/>
          </w:tcPr>
          <w:p>
            <w:pPr>
              <w:spacing w:after="0" w:line="259" w:lineRule="auto"/>
              <w:jc w:val="center"/>
            </w:pPr>
            <w:r>
              <w:rPr>
                <w:b/>
                <w:sz w:val="18"/>
              </w:rPr>
              <w:t>最坏完整周</w:t>
              <w:br/>
              <w:t>成本变化</w:t>
            </w:r>
          </w:p>
        </w:tc>
      </w:tr>
      <w:tr>
        <w:trPr>
          <w:cantSplit/>
        </w:trPr>
        <w:tc>
          <w:tcPr>
            <w:tcW w:type="dxa" w:w="737"/>
            <w:vAlign w:val="center"/>
            <w:tcMar>
              <w:top w:w="90" w:type="dxa"/>
              <w:bottom w:w="90" w:type="dxa"/>
              <w:left w:w="80" w:type="dxa"/>
              <w:right w:w="80" w:type="dxa"/>
            </w:tcMar>
          </w:tcPr>
          <w:p>
            <w:pPr>
              <w:spacing w:after="0" w:line="259" w:lineRule="auto"/>
              <w:jc w:val="center"/>
            </w:pPr>
            <w:r>
              <w:rPr>
                <w:b w:val="0"/>
                <w:sz w:val="18"/>
              </w:rPr>
              <w:t>开发</w:t>
            </w:r>
          </w:p>
        </w:tc>
        <w:tc>
          <w:tcPr>
            <w:tcW w:type="dxa" w:w="1984"/>
            <w:vAlign w:val="center"/>
            <w:tcMar>
              <w:top w:w="90" w:type="dxa"/>
              <w:bottom w:w="90" w:type="dxa"/>
              <w:left w:w="80" w:type="dxa"/>
              <w:right w:w="80" w:type="dxa"/>
            </w:tcMar>
          </w:tcPr>
          <w:p>
            <w:pPr>
              <w:spacing w:after="0" w:line="259" w:lineRule="auto"/>
              <w:jc w:val="left"/>
            </w:pPr>
            <w:r>
              <w:rPr>
                <w:b w:val="0"/>
                <w:sz w:val="18"/>
              </w:rPr>
              <w:t>FULL</w:t>
            </w:r>
          </w:p>
        </w:tc>
        <w:tc>
          <w:tcPr>
            <w:tcW w:type="dxa" w:w="935"/>
            <w:vAlign w:val="center"/>
            <w:tcMar>
              <w:top w:w="90" w:type="dxa"/>
              <w:bottom w:w="90" w:type="dxa"/>
              <w:left w:w="80" w:type="dxa"/>
              <w:right w:w="80" w:type="dxa"/>
            </w:tcMar>
          </w:tcPr>
          <w:p>
            <w:pPr>
              <w:spacing w:after="0" w:line="259" w:lineRule="auto"/>
              <w:jc w:val="center"/>
            </w:pPr>
            <w:r>
              <w:rPr>
                <w:b w:val="0"/>
                <w:sz w:val="18"/>
              </w:rPr>
              <w:t>4/4</w:t>
            </w:r>
          </w:p>
        </w:tc>
        <w:tc>
          <w:tcPr>
            <w:tcW w:type="dxa" w:w="822"/>
            <w:vAlign w:val="center"/>
            <w:tcMar>
              <w:top w:w="90" w:type="dxa"/>
              <w:bottom w:w="90" w:type="dxa"/>
              <w:left w:w="80" w:type="dxa"/>
              <w:right w:w="80" w:type="dxa"/>
            </w:tcMar>
          </w:tcPr>
          <w:p>
            <w:pPr>
              <w:spacing w:after="0" w:line="259" w:lineRule="auto"/>
              <w:jc w:val="center"/>
            </w:pPr>
            <w:r>
              <w:rPr>
                <w:b w:val="0"/>
                <w:sz w:val="18"/>
              </w:rPr>
              <w:t>3/4</w:t>
            </w:r>
          </w:p>
        </w:tc>
        <w:tc>
          <w:tcPr>
            <w:tcW w:type="dxa" w:w="1191"/>
            <w:vAlign w:val="center"/>
            <w:tcMar>
              <w:top w:w="90" w:type="dxa"/>
              <w:bottom w:w="90" w:type="dxa"/>
              <w:left w:w="80" w:type="dxa"/>
              <w:right w:w="80" w:type="dxa"/>
            </w:tcMar>
          </w:tcPr>
          <w:p>
            <w:pPr>
              <w:spacing w:after="0" w:line="259" w:lineRule="auto"/>
              <w:jc w:val="center"/>
            </w:pPr>
            <w:r>
              <w:rPr>
                <w:b w:val="0"/>
                <w:sz w:val="18"/>
              </w:rPr>
              <w:t>0.00%</w:t>
            </w:r>
          </w:p>
        </w:tc>
        <w:tc>
          <w:tcPr>
            <w:tcW w:type="dxa" w:w="1134"/>
            <w:vAlign w:val="center"/>
            <w:tcMar>
              <w:top w:w="90" w:type="dxa"/>
              <w:bottom w:w="90" w:type="dxa"/>
              <w:left w:w="80" w:type="dxa"/>
              <w:right w:w="80" w:type="dxa"/>
            </w:tcMar>
          </w:tcPr>
          <w:p>
            <w:pPr>
              <w:spacing w:after="0" w:line="259" w:lineRule="auto"/>
              <w:jc w:val="center"/>
            </w:pPr>
            <w:r>
              <w:rPr>
                <w:b w:val="0"/>
                <w:sz w:val="18"/>
              </w:rPr>
              <w:t>0.00%</w:t>
            </w:r>
          </w:p>
        </w:tc>
        <w:tc>
          <w:tcPr>
            <w:tcW w:type="dxa" w:w="1701"/>
            <w:vAlign w:val="center"/>
            <w:tcMar>
              <w:top w:w="90" w:type="dxa"/>
              <w:bottom w:w="90" w:type="dxa"/>
              <w:left w:w="80" w:type="dxa"/>
              <w:right w:w="80" w:type="dxa"/>
            </w:tcMar>
          </w:tcPr>
          <w:p>
            <w:pPr>
              <w:spacing w:after="0" w:line="259" w:lineRule="auto"/>
              <w:jc w:val="center"/>
            </w:pPr>
            <w:r>
              <w:rPr>
                <w:b w:val="0"/>
                <w:sz w:val="18"/>
              </w:rPr>
              <w:t>0.000%</w:t>
            </w:r>
          </w:p>
        </w:tc>
      </w:tr>
      <w:tr>
        <w:trPr>
          <w:cantSplit/>
        </w:trPr>
        <w:tc>
          <w:tcPr>
            <w:tcW w:type="dxa" w:w="737"/>
            <w:vAlign w:val="center"/>
            <w:tcMar>
              <w:top w:w="90" w:type="dxa"/>
              <w:bottom w:w="90" w:type="dxa"/>
              <w:left w:w="80" w:type="dxa"/>
              <w:right w:w="80" w:type="dxa"/>
            </w:tcMar>
          </w:tcPr>
          <w:p>
            <w:pPr>
              <w:spacing w:after="0" w:line="259" w:lineRule="auto"/>
              <w:jc w:val="center"/>
            </w:pPr>
            <w:r>
              <w:rPr>
                <w:b w:val="0"/>
                <w:sz w:val="18"/>
              </w:rPr>
              <w:t>开发</w:t>
            </w:r>
          </w:p>
        </w:tc>
        <w:tc>
          <w:tcPr>
            <w:tcW w:type="dxa" w:w="1984"/>
            <w:vAlign w:val="center"/>
            <w:tcMar>
              <w:top w:w="90" w:type="dxa"/>
              <w:bottom w:w="90" w:type="dxa"/>
              <w:left w:w="80" w:type="dxa"/>
              <w:right w:w="80" w:type="dxa"/>
            </w:tcMar>
          </w:tcPr>
          <w:p>
            <w:pPr>
              <w:spacing w:after="0" w:line="259" w:lineRule="auto"/>
              <w:jc w:val="left"/>
            </w:pPr>
            <w:r>
              <w:rPr>
                <w:b w:val="0"/>
                <w:sz w:val="18"/>
              </w:rPr>
              <w:t>FIRST_SAFE_BEST</w:t>
            </w:r>
          </w:p>
        </w:tc>
        <w:tc>
          <w:tcPr>
            <w:tcW w:type="dxa" w:w="935"/>
            <w:vAlign w:val="center"/>
            <w:tcMar>
              <w:top w:w="90" w:type="dxa"/>
              <w:bottom w:w="90" w:type="dxa"/>
              <w:left w:w="80" w:type="dxa"/>
              <w:right w:w="80" w:type="dxa"/>
            </w:tcMar>
          </w:tcPr>
          <w:p>
            <w:pPr>
              <w:spacing w:after="0" w:line="259" w:lineRule="auto"/>
              <w:jc w:val="center"/>
            </w:pPr>
            <w:r>
              <w:rPr>
                <w:b w:val="0"/>
                <w:sz w:val="18"/>
              </w:rPr>
              <w:t>2/4</w:t>
            </w:r>
          </w:p>
        </w:tc>
        <w:tc>
          <w:tcPr>
            <w:tcW w:type="dxa" w:w="822"/>
            <w:vAlign w:val="center"/>
            <w:tcMar>
              <w:top w:w="90" w:type="dxa"/>
              <w:bottom w:w="90" w:type="dxa"/>
              <w:left w:w="80" w:type="dxa"/>
              <w:right w:w="80" w:type="dxa"/>
            </w:tcMar>
          </w:tcPr>
          <w:p>
            <w:pPr>
              <w:spacing w:after="0" w:line="259" w:lineRule="auto"/>
              <w:jc w:val="center"/>
            </w:pPr>
            <w:r>
              <w:rPr>
                <w:b w:val="0"/>
                <w:sz w:val="18"/>
              </w:rPr>
              <w:t>3/4</w:t>
            </w:r>
          </w:p>
        </w:tc>
        <w:tc>
          <w:tcPr>
            <w:tcW w:type="dxa" w:w="1191"/>
            <w:vAlign w:val="center"/>
            <w:tcMar>
              <w:top w:w="90" w:type="dxa"/>
              <w:bottom w:w="90" w:type="dxa"/>
              <w:left w:w="80" w:type="dxa"/>
              <w:right w:w="80" w:type="dxa"/>
            </w:tcMar>
          </w:tcPr>
          <w:p>
            <w:pPr>
              <w:spacing w:after="0" w:line="259" w:lineRule="auto"/>
              <w:jc w:val="center"/>
            </w:pPr>
            <w:r>
              <w:rPr>
                <w:b w:val="0"/>
                <w:sz w:val="18"/>
              </w:rPr>
              <w:t>7.06%</w:t>
            </w:r>
          </w:p>
        </w:tc>
        <w:tc>
          <w:tcPr>
            <w:tcW w:type="dxa" w:w="1134"/>
            <w:vAlign w:val="center"/>
            <w:tcMar>
              <w:top w:w="90" w:type="dxa"/>
              <w:bottom w:w="90" w:type="dxa"/>
              <w:left w:w="80" w:type="dxa"/>
              <w:right w:w="80" w:type="dxa"/>
            </w:tcMar>
          </w:tcPr>
          <w:p>
            <w:pPr>
              <w:spacing w:after="0" w:line="259" w:lineRule="auto"/>
              <w:jc w:val="center"/>
            </w:pPr>
            <w:r>
              <w:rPr>
                <w:b w:val="0"/>
                <w:sz w:val="18"/>
              </w:rPr>
              <w:t>51.45%</w:t>
            </w:r>
          </w:p>
        </w:tc>
        <w:tc>
          <w:tcPr>
            <w:tcW w:type="dxa" w:w="1701"/>
            <w:vAlign w:val="center"/>
            <w:tcMar>
              <w:top w:w="90" w:type="dxa"/>
              <w:bottom w:w="90" w:type="dxa"/>
              <w:left w:w="80" w:type="dxa"/>
              <w:right w:w="80" w:type="dxa"/>
            </w:tcMar>
          </w:tcPr>
          <w:p>
            <w:pPr>
              <w:spacing w:after="0" w:line="259" w:lineRule="auto"/>
              <w:jc w:val="center"/>
            </w:pPr>
            <w:r>
              <w:rPr>
                <w:b w:val="0"/>
                <w:sz w:val="18"/>
              </w:rPr>
              <w:t>+3.952%</w:t>
            </w:r>
          </w:p>
        </w:tc>
      </w:tr>
      <w:tr>
        <w:trPr>
          <w:cantSplit/>
        </w:trPr>
        <w:tc>
          <w:tcPr>
            <w:tcW w:type="dxa" w:w="737"/>
            <w:vAlign w:val="center"/>
            <w:tcMar>
              <w:top w:w="90" w:type="dxa"/>
              <w:bottom w:w="90" w:type="dxa"/>
              <w:left w:w="80" w:type="dxa"/>
              <w:right w:w="80" w:type="dxa"/>
            </w:tcMar>
          </w:tcPr>
          <w:p>
            <w:pPr>
              <w:spacing w:after="0" w:line="259" w:lineRule="auto"/>
              <w:jc w:val="center"/>
            </w:pPr>
            <w:r>
              <w:rPr>
                <w:b w:val="0"/>
                <w:sz w:val="18"/>
              </w:rPr>
              <w:t>开发</w:t>
            </w:r>
          </w:p>
        </w:tc>
        <w:tc>
          <w:tcPr>
            <w:tcW w:type="dxa" w:w="1984"/>
            <w:vAlign w:val="center"/>
            <w:tcMar>
              <w:top w:w="90" w:type="dxa"/>
              <w:bottom w:w="90" w:type="dxa"/>
              <w:left w:w="80" w:type="dxa"/>
              <w:right w:w="80" w:type="dxa"/>
            </w:tcMar>
          </w:tcPr>
          <w:p>
            <w:pPr>
              <w:spacing w:after="0" w:line="259" w:lineRule="auto"/>
              <w:jc w:val="left"/>
            </w:pPr>
            <w:r>
              <w:rPr>
                <w:b w:val="0"/>
                <w:sz w:val="18"/>
              </w:rPr>
              <w:t>NO_LOCAL</w:t>
            </w:r>
          </w:p>
        </w:tc>
        <w:tc>
          <w:tcPr>
            <w:tcW w:type="dxa" w:w="935"/>
            <w:vAlign w:val="center"/>
            <w:tcMar>
              <w:top w:w="90" w:type="dxa"/>
              <w:bottom w:w="90" w:type="dxa"/>
              <w:left w:w="80" w:type="dxa"/>
              <w:right w:w="80" w:type="dxa"/>
            </w:tcMar>
          </w:tcPr>
          <w:p>
            <w:pPr>
              <w:spacing w:after="0" w:line="259" w:lineRule="auto"/>
              <w:jc w:val="center"/>
            </w:pPr>
            <w:r>
              <w:rPr>
                <w:b w:val="0"/>
                <w:sz w:val="18"/>
              </w:rPr>
              <w:t>3/4</w:t>
            </w:r>
          </w:p>
        </w:tc>
        <w:tc>
          <w:tcPr>
            <w:tcW w:type="dxa" w:w="822"/>
            <w:vAlign w:val="center"/>
            <w:tcMar>
              <w:top w:w="90" w:type="dxa"/>
              <w:bottom w:w="90" w:type="dxa"/>
              <w:left w:w="80" w:type="dxa"/>
              <w:right w:w="80" w:type="dxa"/>
            </w:tcMar>
          </w:tcPr>
          <w:p>
            <w:pPr>
              <w:spacing w:after="0" w:line="259" w:lineRule="auto"/>
              <w:jc w:val="center"/>
            </w:pPr>
            <w:r>
              <w:rPr>
                <w:b w:val="0"/>
                <w:sz w:val="18"/>
              </w:rPr>
              <w:t>3/4</w:t>
            </w:r>
          </w:p>
        </w:tc>
        <w:tc>
          <w:tcPr>
            <w:tcW w:type="dxa" w:w="1191"/>
            <w:vAlign w:val="center"/>
            <w:tcMar>
              <w:top w:w="90" w:type="dxa"/>
              <w:bottom w:w="90" w:type="dxa"/>
              <w:left w:w="80" w:type="dxa"/>
              <w:right w:w="80" w:type="dxa"/>
            </w:tcMar>
          </w:tcPr>
          <w:p>
            <w:pPr>
              <w:spacing w:after="0" w:line="259" w:lineRule="auto"/>
              <w:jc w:val="center"/>
            </w:pPr>
            <w:r>
              <w:rPr>
                <w:b w:val="0"/>
                <w:sz w:val="18"/>
              </w:rPr>
              <w:t>14.26%</w:t>
            </w:r>
          </w:p>
        </w:tc>
        <w:tc>
          <w:tcPr>
            <w:tcW w:type="dxa" w:w="1134"/>
            <w:vAlign w:val="center"/>
            <w:tcMar>
              <w:top w:w="90" w:type="dxa"/>
              <w:bottom w:w="90" w:type="dxa"/>
              <w:left w:w="80" w:type="dxa"/>
              <w:right w:w="80" w:type="dxa"/>
            </w:tcMar>
          </w:tcPr>
          <w:p>
            <w:pPr>
              <w:spacing w:after="0" w:line="259" w:lineRule="auto"/>
              <w:jc w:val="center"/>
            </w:pPr>
            <w:r>
              <w:rPr>
                <w:b w:val="0"/>
                <w:sz w:val="18"/>
              </w:rPr>
              <w:t>71.84%</w:t>
            </w:r>
          </w:p>
        </w:tc>
        <w:tc>
          <w:tcPr>
            <w:tcW w:type="dxa" w:w="1701"/>
            <w:vAlign w:val="center"/>
            <w:tcMar>
              <w:top w:w="90" w:type="dxa"/>
              <w:bottom w:w="90" w:type="dxa"/>
              <w:left w:w="80" w:type="dxa"/>
              <w:right w:w="80" w:type="dxa"/>
            </w:tcMar>
          </w:tcPr>
          <w:p>
            <w:pPr>
              <w:spacing w:after="0" w:line="259" w:lineRule="auto"/>
              <w:jc w:val="center"/>
            </w:pPr>
            <w:r>
              <w:rPr>
                <w:b w:val="0"/>
                <w:sz w:val="18"/>
              </w:rPr>
              <w:t>+4.810%</w:t>
            </w:r>
          </w:p>
        </w:tc>
      </w:tr>
      <w:tr>
        <w:trPr>
          <w:cantSplit/>
        </w:trPr>
        <w:tc>
          <w:tcPr>
            <w:tcW w:type="dxa" w:w="737"/>
            <w:vAlign w:val="center"/>
            <w:tcMar>
              <w:top w:w="90" w:type="dxa"/>
              <w:bottom w:w="90" w:type="dxa"/>
              <w:left w:w="80" w:type="dxa"/>
              <w:right w:w="80" w:type="dxa"/>
            </w:tcMar>
          </w:tcPr>
          <w:p>
            <w:pPr>
              <w:spacing w:after="0" w:line="259" w:lineRule="auto"/>
              <w:jc w:val="center"/>
            </w:pPr>
            <w:r>
              <w:rPr>
                <w:b w:val="0"/>
                <w:sz w:val="18"/>
              </w:rPr>
              <w:t>开发</w:t>
            </w:r>
          </w:p>
        </w:tc>
        <w:tc>
          <w:tcPr>
            <w:tcW w:type="dxa" w:w="1984"/>
            <w:vAlign w:val="center"/>
            <w:tcMar>
              <w:top w:w="90" w:type="dxa"/>
              <w:bottom w:w="90" w:type="dxa"/>
              <w:left w:w="80" w:type="dxa"/>
              <w:right w:w="80" w:type="dxa"/>
            </w:tcMar>
          </w:tcPr>
          <w:p>
            <w:pPr>
              <w:spacing w:after="0" w:line="259" w:lineRule="auto"/>
              <w:jc w:val="left"/>
            </w:pPr>
            <w:r>
              <w:rPr>
                <w:b w:val="0"/>
                <w:sz w:val="18"/>
              </w:rPr>
              <w:t>FRAME</w:t>
            </w:r>
          </w:p>
        </w:tc>
        <w:tc>
          <w:tcPr>
            <w:tcW w:type="dxa" w:w="935"/>
            <w:vAlign w:val="center"/>
            <w:tcMar>
              <w:top w:w="90" w:type="dxa"/>
              <w:bottom w:w="90" w:type="dxa"/>
              <w:left w:w="80" w:type="dxa"/>
              <w:right w:w="80" w:type="dxa"/>
            </w:tcMar>
          </w:tcPr>
          <w:p>
            <w:pPr>
              <w:spacing w:after="0" w:line="259" w:lineRule="auto"/>
              <w:jc w:val="center"/>
            </w:pPr>
            <w:r>
              <w:rPr>
                <w:b w:val="0"/>
                <w:sz w:val="18"/>
              </w:rPr>
              <w:t>4/4</w:t>
            </w:r>
          </w:p>
        </w:tc>
        <w:tc>
          <w:tcPr>
            <w:tcW w:type="dxa" w:w="822"/>
            <w:vAlign w:val="center"/>
            <w:tcMar>
              <w:top w:w="90" w:type="dxa"/>
              <w:bottom w:w="90" w:type="dxa"/>
              <w:left w:w="80" w:type="dxa"/>
              <w:right w:w="80" w:type="dxa"/>
            </w:tcMar>
          </w:tcPr>
          <w:p>
            <w:pPr>
              <w:spacing w:after="0" w:line="259" w:lineRule="auto"/>
              <w:jc w:val="center"/>
            </w:pPr>
            <w:r>
              <w:rPr>
                <w:b w:val="0"/>
                <w:sz w:val="18"/>
              </w:rPr>
              <w:t>3/4</w:t>
            </w:r>
          </w:p>
        </w:tc>
        <w:tc>
          <w:tcPr>
            <w:tcW w:type="dxa" w:w="1191"/>
            <w:vAlign w:val="center"/>
            <w:tcMar>
              <w:top w:w="90" w:type="dxa"/>
              <w:bottom w:w="90" w:type="dxa"/>
              <w:left w:w="80" w:type="dxa"/>
              <w:right w:w="80" w:type="dxa"/>
            </w:tcMar>
          </w:tcPr>
          <w:p>
            <w:pPr>
              <w:spacing w:after="0" w:line="259" w:lineRule="auto"/>
              <w:jc w:val="center"/>
            </w:pPr>
            <w:r>
              <w:rPr>
                <w:b w:val="0"/>
                <w:sz w:val="18"/>
              </w:rPr>
              <w:t>13.11%</w:t>
            </w:r>
          </w:p>
        </w:tc>
        <w:tc>
          <w:tcPr>
            <w:tcW w:type="dxa" w:w="1134"/>
            <w:vAlign w:val="center"/>
            <w:tcMar>
              <w:top w:w="90" w:type="dxa"/>
              <w:bottom w:w="90" w:type="dxa"/>
              <w:left w:w="80" w:type="dxa"/>
              <w:right w:w="80" w:type="dxa"/>
            </w:tcMar>
          </w:tcPr>
          <w:p>
            <w:pPr>
              <w:spacing w:after="0" w:line="259" w:lineRule="auto"/>
              <w:jc w:val="center"/>
            </w:pPr>
            <w:r>
              <w:rPr>
                <w:b w:val="0"/>
                <w:sz w:val="18"/>
              </w:rPr>
              <w:t>69.37%</w:t>
            </w:r>
          </w:p>
        </w:tc>
        <w:tc>
          <w:tcPr>
            <w:tcW w:type="dxa" w:w="1701"/>
            <w:vAlign w:val="center"/>
            <w:tcMar>
              <w:top w:w="90" w:type="dxa"/>
              <w:bottom w:w="90" w:type="dxa"/>
              <w:left w:w="80" w:type="dxa"/>
              <w:right w:w="80" w:type="dxa"/>
            </w:tcMar>
          </w:tcPr>
          <w:p>
            <w:pPr>
              <w:spacing w:after="0" w:line="259" w:lineRule="auto"/>
              <w:jc w:val="center"/>
            </w:pPr>
            <w:r>
              <w:rPr>
                <w:b w:val="0"/>
                <w:sz w:val="18"/>
              </w:rPr>
              <w:t>+0.372%</w:t>
            </w:r>
          </w:p>
        </w:tc>
      </w:tr>
      <w:tr>
        <w:trPr>
          <w:cantSplit/>
        </w:trPr>
        <w:tc>
          <w:tcPr>
            <w:tcW w:type="dxa" w:w="737"/>
            <w:vAlign w:val="center"/>
            <w:tcMar>
              <w:top w:w="90" w:type="dxa"/>
              <w:bottom w:w="90" w:type="dxa"/>
              <w:left w:w="80" w:type="dxa"/>
              <w:right w:w="80" w:type="dxa"/>
            </w:tcMar>
          </w:tcPr>
          <w:p>
            <w:pPr>
              <w:spacing w:after="0" w:line="259" w:lineRule="auto"/>
              <w:jc w:val="center"/>
            </w:pPr>
            <w:r>
              <w:rPr>
                <w:b w:val="0"/>
                <w:sz w:val="18"/>
              </w:rPr>
              <w:t>确认</w:t>
            </w:r>
          </w:p>
        </w:tc>
        <w:tc>
          <w:tcPr>
            <w:tcW w:type="dxa" w:w="1984"/>
            <w:vAlign w:val="center"/>
            <w:tcMar>
              <w:top w:w="90" w:type="dxa"/>
              <w:bottom w:w="90" w:type="dxa"/>
              <w:left w:w="80" w:type="dxa"/>
              <w:right w:w="80" w:type="dxa"/>
            </w:tcMar>
          </w:tcPr>
          <w:p>
            <w:pPr>
              <w:spacing w:after="0" w:line="259" w:lineRule="auto"/>
              <w:jc w:val="left"/>
            </w:pPr>
            <w:r>
              <w:rPr>
                <w:b w:val="0"/>
                <w:sz w:val="18"/>
              </w:rPr>
              <w:t>FULL</w:t>
            </w:r>
          </w:p>
        </w:tc>
        <w:tc>
          <w:tcPr>
            <w:tcW w:type="dxa" w:w="935"/>
            <w:vAlign w:val="center"/>
            <w:tcMar>
              <w:top w:w="90" w:type="dxa"/>
              <w:bottom w:w="90" w:type="dxa"/>
              <w:left w:w="80" w:type="dxa"/>
              <w:right w:w="80" w:type="dxa"/>
            </w:tcMar>
          </w:tcPr>
          <w:p>
            <w:pPr>
              <w:spacing w:after="0" w:line="259" w:lineRule="auto"/>
              <w:jc w:val="center"/>
            </w:pPr>
            <w:r>
              <w:rPr>
                <w:b w:val="0"/>
                <w:sz w:val="18"/>
              </w:rPr>
              <w:t>3/3</w:t>
            </w:r>
          </w:p>
        </w:tc>
        <w:tc>
          <w:tcPr>
            <w:tcW w:type="dxa" w:w="822"/>
            <w:vAlign w:val="center"/>
            <w:tcMar>
              <w:top w:w="90" w:type="dxa"/>
              <w:bottom w:w="90" w:type="dxa"/>
              <w:left w:w="80" w:type="dxa"/>
              <w:right w:w="80" w:type="dxa"/>
            </w:tcMar>
          </w:tcPr>
          <w:p>
            <w:pPr>
              <w:spacing w:after="0" w:line="259" w:lineRule="auto"/>
              <w:jc w:val="center"/>
            </w:pPr>
            <w:r>
              <w:rPr>
                <w:b w:val="0"/>
                <w:sz w:val="18"/>
              </w:rPr>
              <w:t>2/3</w:t>
            </w:r>
          </w:p>
        </w:tc>
        <w:tc>
          <w:tcPr>
            <w:tcW w:type="dxa" w:w="1191"/>
            <w:vAlign w:val="center"/>
            <w:tcMar>
              <w:top w:w="90" w:type="dxa"/>
              <w:bottom w:w="90" w:type="dxa"/>
              <w:left w:w="80" w:type="dxa"/>
              <w:right w:w="80" w:type="dxa"/>
            </w:tcMar>
          </w:tcPr>
          <w:p>
            <w:pPr>
              <w:spacing w:after="0" w:line="259" w:lineRule="auto"/>
              <w:jc w:val="center"/>
            </w:pPr>
            <w:r>
              <w:rPr>
                <w:b w:val="0"/>
                <w:sz w:val="18"/>
              </w:rPr>
              <w:t>0.00%</w:t>
            </w:r>
          </w:p>
        </w:tc>
        <w:tc>
          <w:tcPr>
            <w:tcW w:type="dxa" w:w="1134"/>
            <w:vAlign w:val="center"/>
            <w:tcMar>
              <w:top w:w="90" w:type="dxa"/>
              <w:bottom w:w="90" w:type="dxa"/>
              <w:left w:w="80" w:type="dxa"/>
              <w:right w:w="80" w:type="dxa"/>
            </w:tcMar>
          </w:tcPr>
          <w:p>
            <w:pPr>
              <w:spacing w:after="0" w:line="259" w:lineRule="auto"/>
              <w:jc w:val="center"/>
            </w:pPr>
            <w:r>
              <w:rPr>
                <w:b w:val="0"/>
                <w:sz w:val="18"/>
              </w:rPr>
              <w:t>0.00%</w:t>
            </w:r>
          </w:p>
        </w:tc>
        <w:tc>
          <w:tcPr>
            <w:tcW w:type="dxa" w:w="1701"/>
            <w:vAlign w:val="center"/>
            <w:tcMar>
              <w:top w:w="90" w:type="dxa"/>
              <w:bottom w:w="90" w:type="dxa"/>
              <w:left w:w="80" w:type="dxa"/>
              <w:right w:w="80" w:type="dxa"/>
            </w:tcMar>
          </w:tcPr>
          <w:p>
            <w:pPr>
              <w:spacing w:after="0" w:line="259" w:lineRule="auto"/>
              <w:jc w:val="center"/>
            </w:pPr>
            <w:r>
              <w:rPr>
                <w:b w:val="0"/>
                <w:sz w:val="18"/>
              </w:rPr>
              <w:t>0.000%</w:t>
            </w:r>
          </w:p>
        </w:tc>
      </w:tr>
      <w:tr>
        <w:trPr>
          <w:cantSplit/>
        </w:trPr>
        <w:tc>
          <w:tcPr>
            <w:tcW w:type="dxa" w:w="737"/>
            <w:vAlign w:val="center"/>
            <w:tcMar>
              <w:top w:w="90" w:type="dxa"/>
              <w:bottom w:w="90" w:type="dxa"/>
              <w:left w:w="80" w:type="dxa"/>
              <w:right w:w="80" w:type="dxa"/>
            </w:tcMar>
          </w:tcPr>
          <w:p>
            <w:pPr>
              <w:spacing w:after="0" w:line="259" w:lineRule="auto"/>
              <w:jc w:val="center"/>
            </w:pPr>
            <w:r>
              <w:rPr>
                <w:b w:val="0"/>
                <w:sz w:val="18"/>
              </w:rPr>
              <w:t>确认</w:t>
            </w:r>
          </w:p>
        </w:tc>
        <w:tc>
          <w:tcPr>
            <w:tcW w:type="dxa" w:w="1984"/>
            <w:vAlign w:val="center"/>
            <w:tcMar>
              <w:top w:w="90" w:type="dxa"/>
              <w:bottom w:w="90" w:type="dxa"/>
              <w:left w:w="80" w:type="dxa"/>
              <w:right w:w="80" w:type="dxa"/>
            </w:tcMar>
          </w:tcPr>
          <w:p>
            <w:pPr>
              <w:spacing w:after="0" w:line="259" w:lineRule="auto"/>
              <w:jc w:val="left"/>
            </w:pPr>
            <w:r>
              <w:rPr>
                <w:b w:val="0"/>
                <w:sz w:val="18"/>
              </w:rPr>
              <w:t>FIRST_SAFE_BEST</w:t>
            </w:r>
          </w:p>
        </w:tc>
        <w:tc>
          <w:tcPr>
            <w:tcW w:type="dxa" w:w="935"/>
            <w:vAlign w:val="center"/>
            <w:tcMar>
              <w:top w:w="90" w:type="dxa"/>
              <w:bottom w:w="90" w:type="dxa"/>
              <w:left w:w="80" w:type="dxa"/>
              <w:right w:w="80" w:type="dxa"/>
            </w:tcMar>
          </w:tcPr>
          <w:p>
            <w:pPr>
              <w:spacing w:after="0" w:line="259" w:lineRule="auto"/>
              <w:jc w:val="center"/>
            </w:pPr>
            <w:r>
              <w:rPr>
                <w:b w:val="0"/>
                <w:sz w:val="18"/>
              </w:rPr>
              <w:t>3/3</w:t>
            </w:r>
          </w:p>
        </w:tc>
        <w:tc>
          <w:tcPr>
            <w:tcW w:type="dxa" w:w="822"/>
            <w:vAlign w:val="center"/>
            <w:tcMar>
              <w:top w:w="90" w:type="dxa"/>
              <w:bottom w:w="90" w:type="dxa"/>
              <w:left w:w="80" w:type="dxa"/>
              <w:right w:w="80" w:type="dxa"/>
            </w:tcMar>
          </w:tcPr>
          <w:p>
            <w:pPr>
              <w:spacing w:after="0" w:line="259" w:lineRule="auto"/>
              <w:jc w:val="center"/>
            </w:pPr>
            <w:r>
              <w:rPr>
                <w:b w:val="0"/>
                <w:sz w:val="18"/>
              </w:rPr>
              <w:t>2/3</w:t>
            </w:r>
          </w:p>
        </w:tc>
        <w:tc>
          <w:tcPr>
            <w:tcW w:type="dxa" w:w="1191"/>
            <w:vAlign w:val="center"/>
            <w:tcMar>
              <w:top w:w="90" w:type="dxa"/>
              <w:bottom w:w="90" w:type="dxa"/>
              <w:left w:w="80" w:type="dxa"/>
              <w:right w:w="80" w:type="dxa"/>
            </w:tcMar>
          </w:tcPr>
          <w:p>
            <w:pPr>
              <w:spacing w:after="0" w:line="259" w:lineRule="auto"/>
              <w:jc w:val="center"/>
            </w:pPr>
            <w:r>
              <w:rPr>
                <w:b w:val="0"/>
                <w:sz w:val="18"/>
              </w:rPr>
              <w:t>-7.75%</w:t>
            </w:r>
          </w:p>
        </w:tc>
        <w:tc>
          <w:tcPr>
            <w:tcW w:type="dxa" w:w="1134"/>
            <w:vAlign w:val="center"/>
            <w:tcMar>
              <w:top w:w="90" w:type="dxa"/>
              <w:bottom w:w="90" w:type="dxa"/>
              <w:left w:w="80" w:type="dxa"/>
              <w:right w:w="80" w:type="dxa"/>
            </w:tcMar>
          </w:tcPr>
          <w:p>
            <w:pPr>
              <w:spacing w:after="0" w:line="259" w:lineRule="auto"/>
              <w:jc w:val="center"/>
            </w:pPr>
            <w:r>
              <w:rPr>
                <w:b w:val="0"/>
                <w:sz w:val="18"/>
              </w:rPr>
              <w:t>89.24%</w:t>
            </w:r>
          </w:p>
        </w:tc>
        <w:tc>
          <w:tcPr>
            <w:tcW w:type="dxa" w:w="1701"/>
            <w:vAlign w:val="center"/>
            <w:tcMar>
              <w:top w:w="90" w:type="dxa"/>
              <w:bottom w:w="90" w:type="dxa"/>
              <w:left w:w="80" w:type="dxa"/>
              <w:right w:w="80" w:type="dxa"/>
            </w:tcMar>
          </w:tcPr>
          <w:p>
            <w:pPr>
              <w:spacing w:after="0" w:line="259" w:lineRule="auto"/>
              <w:jc w:val="center"/>
            </w:pPr>
            <w:r>
              <w:rPr>
                <w:b w:val="0"/>
                <w:sz w:val="18"/>
              </w:rPr>
              <w:t>-0.218%</w:t>
            </w:r>
          </w:p>
        </w:tc>
      </w:tr>
      <w:tr>
        <w:trPr>
          <w:cantSplit/>
        </w:trPr>
        <w:tc>
          <w:tcPr>
            <w:tcW w:type="dxa" w:w="737"/>
            <w:vAlign w:val="center"/>
            <w:tcMar>
              <w:top w:w="90" w:type="dxa"/>
              <w:bottom w:w="90" w:type="dxa"/>
              <w:left w:w="80" w:type="dxa"/>
              <w:right w:w="80" w:type="dxa"/>
            </w:tcMar>
          </w:tcPr>
          <w:p>
            <w:pPr>
              <w:spacing w:after="0" w:line="259" w:lineRule="auto"/>
              <w:jc w:val="center"/>
            </w:pPr>
            <w:r>
              <w:rPr>
                <w:b w:val="0"/>
                <w:sz w:val="18"/>
              </w:rPr>
              <w:t>确认</w:t>
            </w:r>
          </w:p>
        </w:tc>
        <w:tc>
          <w:tcPr>
            <w:tcW w:type="dxa" w:w="1984"/>
            <w:vAlign w:val="center"/>
            <w:tcMar>
              <w:top w:w="90" w:type="dxa"/>
              <w:bottom w:w="90" w:type="dxa"/>
              <w:left w:w="80" w:type="dxa"/>
              <w:right w:w="80" w:type="dxa"/>
            </w:tcMar>
          </w:tcPr>
          <w:p>
            <w:pPr>
              <w:spacing w:after="0" w:line="259" w:lineRule="auto"/>
              <w:jc w:val="left"/>
            </w:pPr>
            <w:r>
              <w:rPr>
                <w:b w:val="0"/>
                <w:sz w:val="18"/>
              </w:rPr>
              <w:t>NO_LOCAL</w:t>
            </w:r>
          </w:p>
        </w:tc>
        <w:tc>
          <w:tcPr>
            <w:tcW w:type="dxa" w:w="935"/>
            <w:vAlign w:val="center"/>
            <w:tcMar>
              <w:top w:w="90" w:type="dxa"/>
              <w:bottom w:w="90" w:type="dxa"/>
              <w:left w:w="80" w:type="dxa"/>
              <w:right w:w="80" w:type="dxa"/>
            </w:tcMar>
          </w:tcPr>
          <w:p>
            <w:pPr>
              <w:spacing w:after="0" w:line="259" w:lineRule="auto"/>
              <w:jc w:val="center"/>
            </w:pPr>
            <w:r>
              <w:rPr>
                <w:b w:val="0"/>
                <w:sz w:val="18"/>
              </w:rPr>
              <w:t>3/3</w:t>
            </w:r>
          </w:p>
        </w:tc>
        <w:tc>
          <w:tcPr>
            <w:tcW w:type="dxa" w:w="822"/>
            <w:vAlign w:val="center"/>
            <w:tcMar>
              <w:top w:w="90" w:type="dxa"/>
              <w:bottom w:w="90" w:type="dxa"/>
              <w:left w:w="80" w:type="dxa"/>
              <w:right w:w="80" w:type="dxa"/>
            </w:tcMar>
          </w:tcPr>
          <w:p>
            <w:pPr>
              <w:spacing w:after="0" w:line="259" w:lineRule="auto"/>
              <w:jc w:val="center"/>
            </w:pPr>
            <w:r>
              <w:rPr>
                <w:b w:val="0"/>
                <w:sz w:val="18"/>
              </w:rPr>
              <w:t>2/3</w:t>
            </w:r>
          </w:p>
        </w:tc>
        <w:tc>
          <w:tcPr>
            <w:tcW w:type="dxa" w:w="1191"/>
            <w:vAlign w:val="center"/>
            <w:tcMar>
              <w:top w:w="90" w:type="dxa"/>
              <w:bottom w:w="90" w:type="dxa"/>
              <w:left w:w="80" w:type="dxa"/>
              <w:right w:w="80" w:type="dxa"/>
            </w:tcMar>
          </w:tcPr>
          <w:p>
            <w:pPr>
              <w:spacing w:after="0" w:line="259" w:lineRule="auto"/>
              <w:jc w:val="center"/>
            </w:pPr>
            <w:r>
              <w:rPr>
                <w:b w:val="0"/>
                <w:sz w:val="18"/>
              </w:rPr>
              <w:t>9.38%</w:t>
            </w:r>
          </w:p>
        </w:tc>
        <w:tc>
          <w:tcPr>
            <w:tcW w:type="dxa" w:w="1134"/>
            <w:vAlign w:val="center"/>
            <w:tcMar>
              <w:top w:w="90" w:type="dxa"/>
              <w:bottom w:w="90" w:type="dxa"/>
              <w:left w:w="80" w:type="dxa"/>
              <w:right w:w="80" w:type="dxa"/>
            </w:tcMar>
          </w:tcPr>
          <w:p>
            <w:pPr>
              <w:spacing w:after="0" w:line="259" w:lineRule="auto"/>
              <w:jc w:val="center"/>
            </w:pPr>
            <w:r>
              <w:rPr>
                <w:b w:val="0"/>
                <w:sz w:val="18"/>
              </w:rPr>
              <w:t>84.02%</w:t>
            </w:r>
          </w:p>
        </w:tc>
        <w:tc>
          <w:tcPr>
            <w:tcW w:type="dxa" w:w="1701"/>
            <w:vAlign w:val="center"/>
            <w:tcMar>
              <w:top w:w="90" w:type="dxa"/>
              <w:bottom w:w="90" w:type="dxa"/>
              <w:left w:w="80" w:type="dxa"/>
              <w:right w:w="80" w:type="dxa"/>
            </w:tcMar>
          </w:tcPr>
          <w:p>
            <w:pPr>
              <w:spacing w:after="0" w:line="259" w:lineRule="auto"/>
              <w:jc w:val="center"/>
            </w:pPr>
            <w:r>
              <w:rPr>
                <w:b w:val="0"/>
                <w:sz w:val="18"/>
              </w:rPr>
              <w:t>+0.014%</w:t>
            </w:r>
          </w:p>
        </w:tc>
      </w:tr>
      <w:tr>
        <w:trPr>
          <w:cantSplit/>
        </w:trPr>
        <w:tc>
          <w:tcPr>
            <w:tcW w:type="dxa" w:w="737"/>
            <w:vAlign w:val="center"/>
            <w:tcMar>
              <w:top w:w="90" w:type="dxa"/>
              <w:bottom w:w="90" w:type="dxa"/>
              <w:left w:w="80" w:type="dxa"/>
              <w:right w:w="80" w:type="dxa"/>
            </w:tcMar>
          </w:tcPr>
          <w:p>
            <w:pPr>
              <w:spacing w:after="0" w:line="259" w:lineRule="auto"/>
              <w:jc w:val="center"/>
            </w:pPr>
            <w:r>
              <w:rPr>
                <w:b w:val="0"/>
                <w:sz w:val="18"/>
              </w:rPr>
              <w:t>确认</w:t>
            </w:r>
          </w:p>
        </w:tc>
        <w:tc>
          <w:tcPr>
            <w:tcW w:type="dxa" w:w="1984"/>
            <w:vAlign w:val="center"/>
            <w:tcMar>
              <w:top w:w="90" w:type="dxa"/>
              <w:bottom w:w="90" w:type="dxa"/>
              <w:left w:w="80" w:type="dxa"/>
              <w:right w:w="80" w:type="dxa"/>
            </w:tcMar>
          </w:tcPr>
          <w:p>
            <w:pPr>
              <w:spacing w:after="0" w:line="259" w:lineRule="auto"/>
              <w:jc w:val="left"/>
            </w:pPr>
            <w:r>
              <w:rPr>
                <w:b w:val="0"/>
                <w:sz w:val="18"/>
              </w:rPr>
              <w:t>FRAME</w:t>
            </w:r>
          </w:p>
        </w:tc>
        <w:tc>
          <w:tcPr>
            <w:tcW w:type="dxa" w:w="935"/>
            <w:vAlign w:val="center"/>
            <w:tcMar>
              <w:top w:w="90" w:type="dxa"/>
              <w:bottom w:w="90" w:type="dxa"/>
              <w:left w:w="80" w:type="dxa"/>
              <w:right w:w="80" w:type="dxa"/>
            </w:tcMar>
          </w:tcPr>
          <w:p>
            <w:pPr>
              <w:spacing w:after="0" w:line="259" w:lineRule="auto"/>
              <w:jc w:val="center"/>
            </w:pPr>
            <w:r>
              <w:rPr>
                <w:b w:val="0"/>
                <w:sz w:val="18"/>
              </w:rPr>
              <w:t>3/3</w:t>
            </w:r>
          </w:p>
        </w:tc>
        <w:tc>
          <w:tcPr>
            <w:tcW w:type="dxa" w:w="822"/>
            <w:vAlign w:val="center"/>
            <w:tcMar>
              <w:top w:w="90" w:type="dxa"/>
              <w:bottom w:w="90" w:type="dxa"/>
              <w:left w:w="80" w:type="dxa"/>
              <w:right w:w="80" w:type="dxa"/>
            </w:tcMar>
          </w:tcPr>
          <w:p>
            <w:pPr>
              <w:spacing w:after="0" w:line="259" w:lineRule="auto"/>
              <w:jc w:val="center"/>
            </w:pPr>
            <w:r>
              <w:rPr>
                <w:b w:val="0"/>
                <w:sz w:val="18"/>
              </w:rPr>
              <w:t>2/3</w:t>
            </w:r>
          </w:p>
        </w:tc>
        <w:tc>
          <w:tcPr>
            <w:tcW w:type="dxa" w:w="1191"/>
            <w:vAlign w:val="center"/>
            <w:tcMar>
              <w:top w:w="90" w:type="dxa"/>
              <w:bottom w:w="90" w:type="dxa"/>
              <w:left w:w="80" w:type="dxa"/>
              <w:right w:w="80" w:type="dxa"/>
            </w:tcMar>
          </w:tcPr>
          <w:p>
            <w:pPr>
              <w:spacing w:after="0" w:line="259" w:lineRule="auto"/>
              <w:jc w:val="center"/>
            </w:pPr>
            <w:r>
              <w:rPr>
                <w:b w:val="0"/>
                <w:sz w:val="18"/>
              </w:rPr>
              <w:t>6.09%</w:t>
            </w:r>
          </w:p>
        </w:tc>
        <w:tc>
          <w:tcPr>
            <w:tcW w:type="dxa" w:w="1134"/>
            <w:vAlign w:val="center"/>
            <w:tcMar>
              <w:top w:w="90" w:type="dxa"/>
              <w:bottom w:w="90" w:type="dxa"/>
              <w:left w:w="80" w:type="dxa"/>
              <w:right w:w="80" w:type="dxa"/>
            </w:tcMar>
          </w:tcPr>
          <w:p>
            <w:pPr>
              <w:spacing w:after="0" w:line="259" w:lineRule="auto"/>
              <w:jc w:val="center"/>
            </w:pPr>
            <w:r>
              <w:rPr>
                <w:b w:val="0"/>
                <w:sz w:val="18"/>
              </w:rPr>
              <w:t>83.54%</w:t>
            </w:r>
          </w:p>
        </w:tc>
        <w:tc>
          <w:tcPr>
            <w:tcW w:type="dxa" w:w="1701"/>
            <w:vAlign w:val="center"/>
            <w:tcMar>
              <w:top w:w="90" w:type="dxa"/>
              <w:bottom w:w="90" w:type="dxa"/>
              <w:left w:w="80" w:type="dxa"/>
              <w:right w:w="80" w:type="dxa"/>
            </w:tcMar>
          </w:tcPr>
          <w:p>
            <w:pPr>
              <w:spacing w:after="0" w:line="259" w:lineRule="auto"/>
              <w:jc w:val="center"/>
            </w:pPr>
            <w:r>
              <w:rPr>
                <w:b w:val="0"/>
                <w:sz w:val="18"/>
              </w:rPr>
              <w:t>+0.014%</w:t>
            </w:r>
          </w:p>
        </w:tc>
      </w:tr>
    </w:tbl>
    <w:p>
      <w:pPr>
        <w:spacing w:after="20"/>
      </w:pPr>
    </w:p>
    <w:p>
      <w:pPr>
        <w:ind w:firstLine="460"/>
      </w:pPr>
      <w:r>
        <w:rPr>
          <w:b w:val="0"/>
        </w:rPr>
        <w:t>开发结果显示，FRAME 保留了 NO_LOCAL 的大部分计算节省，并改善了成本尾部。加入补全后，最坏完整周成本增幅由 4.810% 降至 0.372%，控制时间节省由 14.26% 变为 13.11%。这说明少量有针对性的额外评估，能够在这一矩阵中修复提前停止造成的质量损失。</w:t>
      </w:r>
    </w:p>
    <w:p>
      <w:pPr>
        <w:ind w:firstLine="460"/>
      </w:pPr>
      <w:r>
        <w:rPr>
          <w:b w:val="0"/>
        </w:rPr>
        <w:t>表 2 给出全部确认日期。4 月的完整周成本相对 FULL 降低 1.328%，11 月增加 0.014%；两日查询数分别由 5445 减至 1012、由 2680 减至 384。FRAME 的完整周成本均满足质量判据。5 月四种策略都在第 747 步结束，期间没有调用拓扑搜索。开发组 6 月也出现了共同提前结束，各方法均到达第 1901 步。</w:t>
      </w:r>
    </w:p>
    <w:p>
      <w:pPr>
        <w:keepNext/>
        <w:jc w:val="center"/>
      </w:pPr>
      <w:r>
        <w:rPr>
          <w:sz w:val="20"/>
        </w:rPr>
        <w:t>表 2 FRAME 的全部冻结确认日期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2381"/>
        <w:gridCol w:w="1701"/>
        <w:gridCol w:w="1701"/>
        <w:gridCol w:w="2268"/>
      </w:tblGrid>
      <w:tr>
        <w:trPr>
          <w:cantSplit/>
          <w:tblHeader/>
        </w:trPr>
        <w:tc>
          <w:tcPr>
            <w:tcW w:type="dxa" w:w="1361"/>
            <w:vAlign w:val="center"/>
            <w:tcMar>
              <w:top w:w="90" w:type="dxa"/>
              <w:bottom w:w="90" w:type="dxa"/>
              <w:left w:w="80" w:type="dxa"/>
              <w:right w:w="80" w:type="dxa"/>
            </w:tcMar>
            <w:shd w:fill="E9EDF2"/>
          </w:tcPr>
          <w:p>
            <w:pPr>
              <w:spacing w:after="0" w:line="259" w:lineRule="auto"/>
              <w:jc w:val="center"/>
            </w:pPr>
            <w:r>
              <w:rPr>
                <w:b/>
                <w:sz w:val="20"/>
              </w:rPr>
              <w:t>确认日期</w:t>
            </w:r>
          </w:p>
        </w:tc>
        <w:tc>
          <w:tcPr>
            <w:tcW w:type="dxa" w:w="2381"/>
            <w:vAlign w:val="center"/>
            <w:tcMar>
              <w:top w:w="90" w:type="dxa"/>
              <w:bottom w:w="90" w:type="dxa"/>
              <w:left w:w="80" w:type="dxa"/>
              <w:right w:w="80" w:type="dxa"/>
            </w:tcMar>
            <w:shd w:fill="E9EDF2"/>
          </w:tcPr>
          <w:p>
            <w:pPr>
              <w:spacing w:after="0" w:line="259" w:lineRule="auto"/>
              <w:jc w:val="left"/>
            </w:pPr>
            <w:r>
              <w:rPr>
                <w:b/>
                <w:sz w:val="20"/>
              </w:rPr>
              <w:t>FRAME 步数与完成情况</w:t>
            </w:r>
          </w:p>
        </w:tc>
        <w:tc>
          <w:tcPr>
            <w:tcW w:type="dxa" w:w="1701"/>
            <w:vAlign w:val="center"/>
            <w:tcMar>
              <w:top w:w="90" w:type="dxa"/>
              <w:bottom w:w="90" w:type="dxa"/>
              <w:left w:w="80" w:type="dxa"/>
              <w:right w:w="80" w:type="dxa"/>
            </w:tcMar>
            <w:shd w:fill="E9EDF2"/>
          </w:tcPr>
          <w:p>
            <w:pPr>
              <w:spacing w:after="0" w:line="259" w:lineRule="auto"/>
              <w:jc w:val="center"/>
            </w:pPr>
            <w:r>
              <w:rPr>
                <w:b/>
                <w:sz w:val="20"/>
              </w:rPr>
              <w:t>完整周成本变化</w:t>
            </w:r>
          </w:p>
        </w:tc>
        <w:tc>
          <w:tcPr>
            <w:tcW w:type="dxa" w:w="1701"/>
            <w:vAlign w:val="center"/>
            <w:tcMar>
              <w:top w:w="90" w:type="dxa"/>
              <w:bottom w:w="90" w:type="dxa"/>
              <w:left w:w="80" w:type="dxa"/>
              <w:right w:w="80" w:type="dxa"/>
            </w:tcMar>
            <w:shd w:fill="E9EDF2"/>
          </w:tcPr>
          <w:p>
            <w:pPr>
              <w:spacing w:after="0" w:line="259" w:lineRule="auto"/>
              <w:jc w:val="center"/>
            </w:pPr>
            <w:r>
              <w:rPr>
                <w:b/>
                <w:sz w:val="20"/>
              </w:rPr>
              <w:t>控制时间减少</w:t>
            </w:r>
          </w:p>
        </w:tc>
        <w:tc>
          <w:tcPr>
            <w:tcW w:type="dxa" w:w="2268"/>
            <w:vAlign w:val="center"/>
            <w:tcMar>
              <w:top w:w="90" w:type="dxa"/>
              <w:bottom w:w="90" w:type="dxa"/>
              <w:left w:w="80" w:type="dxa"/>
              <w:right w:w="80" w:type="dxa"/>
            </w:tcMar>
            <w:shd w:fill="E9EDF2"/>
          </w:tcPr>
          <w:p>
            <w:pPr>
              <w:spacing w:after="0" w:line="259" w:lineRule="auto"/>
              <w:jc w:val="center"/>
            </w:pPr>
            <w:r>
              <w:rPr>
                <w:b/>
                <w:sz w:val="20"/>
              </w:rPr>
              <w:t>查询数 FULL 到 FRAME</w:t>
            </w:r>
          </w:p>
        </w:tc>
      </w:tr>
      <w:tr>
        <w:trPr>
          <w:cantSplit/>
        </w:trPr>
        <w:tc>
          <w:tcPr>
            <w:tcW w:type="dxa" w:w="1361"/>
            <w:vAlign w:val="center"/>
            <w:tcMar>
              <w:top w:w="90" w:type="dxa"/>
              <w:bottom w:w="90" w:type="dxa"/>
              <w:left w:w="80" w:type="dxa"/>
              <w:right w:w="80" w:type="dxa"/>
            </w:tcMar>
          </w:tcPr>
          <w:p>
            <w:pPr>
              <w:spacing w:after="0" w:line="259" w:lineRule="auto"/>
              <w:jc w:val="center"/>
            </w:pPr>
            <w:r>
              <w:rPr>
                <w:b w:val="0"/>
                <w:sz w:val="20"/>
              </w:rPr>
              <w:t>4 月 9 日</w:t>
            </w:r>
          </w:p>
        </w:tc>
        <w:tc>
          <w:tcPr>
            <w:tcW w:type="dxa" w:w="2381"/>
            <w:vAlign w:val="center"/>
            <w:tcMar>
              <w:top w:w="90" w:type="dxa"/>
              <w:bottom w:w="90" w:type="dxa"/>
              <w:left w:w="80" w:type="dxa"/>
              <w:right w:w="80" w:type="dxa"/>
            </w:tcMar>
          </w:tcPr>
          <w:p>
            <w:pPr>
              <w:spacing w:after="0" w:line="259" w:lineRule="auto"/>
              <w:jc w:val="left"/>
            </w:pPr>
            <w:r>
              <w:rPr>
                <w:b w:val="0"/>
                <w:sz w:val="20"/>
              </w:rPr>
              <w:t>2017 步 完成</w:t>
            </w:r>
          </w:p>
        </w:tc>
        <w:tc>
          <w:tcPr>
            <w:tcW w:type="dxa" w:w="1701"/>
            <w:vAlign w:val="center"/>
            <w:tcMar>
              <w:top w:w="90" w:type="dxa"/>
              <w:bottom w:w="90" w:type="dxa"/>
              <w:left w:w="80" w:type="dxa"/>
              <w:right w:w="80" w:type="dxa"/>
            </w:tcMar>
          </w:tcPr>
          <w:p>
            <w:pPr>
              <w:spacing w:after="0" w:line="259" w:lineRule="auto"/>
              <w:jc w:val="center"/>
            </w:pPr>
            <w:r>
              <w:rPr>
                <w:b w:val="0"/>
                <w:sz w:val="20"/>
              </w:rPr>
              <w:t>-1.328%</w:t>
            </w:r>
          </w:p>
        </w:tc>
        <w:tc>
          <w:tcPr>
            <w:tcW w:type="dxa" w:w="1701"/>
            <w:vAlign w:val="center"/>
            <w:tcMar>
              <w:top w:w="90" w:type="dxa"/>
              <w:bottom w:w="90" w:type="dxa"/>
              <w:left w:w="80" w:type="dxa"/>
              <w:right w:w="80" w:type="dxa"/>
            </w:tcMar>
          </w:tcPr>
          <w:p>
            <w:pPr>
              <w:spacing w:after="0" w:line="259" w:lineRule="auto"/>
              <w:jc w:val="center"/>
            </w:pPr>
            <w:r>
              <w:rPr>
                <w:b w:val="0"/>
                <w:sz w:val="20"/>
              </w:rPr>
              <w:t>4.080%</w:t>
            </w:r>
          </w:p>
        </w:tc>
        <w:tc>
          <w:tcPr>
            <w:tcW w:type="dxa" w:w="2268"/>
            <w:vAlign w:val="center"/>
            <w:tcMar>
              <w:top w:w="90" w:type="dxa"/>
              <w:bottom w:w="90" w:type="dxa"/>
              <w:left w:w="80" w:type="dxa"/>
              <w:right w:w="80" w:type="dxa"/>
            </w:tcMar>
          </w:tcPr>
          <w:p>
            <w:pPr>
              <w:spacing w:after="0" w:line="259" w:lineRule="auto"/>
              <w:jc w:val="center"/>
            </w:pPr>
            <w:r>
              <w:rPr>
                <w:b w:val="0"/>
                <w:sz w:val="20"/>
              </w:rPr>
              <w:t>5445 → 1012</w:t>
            </w:r>
          </w:p>
        </w:tc>
      </w:tr>
      <w:tr>
        <w:trPr>
          <w:cantSplit/>
        </w:trPr>
        <w:tc>
          <w:tcPr>
            <w:tcW w:type="dxa" w:w="1361"/>
            <w:vAlign w:val="center"/>
            <w:tcMar>
              <w:top w:w="90" w:type="dxa"/>
              <w:bottom w:w="90" w:type="dxa"/>
              <w:left w:w="80" w:type="dxa"/>
              <w:right w:w="80" w:type="dxa"/>
            </w:tcMar>
          </w:tcPr>
          <w:p>
            <w:pPr>
              <w:spacing w:after="0" w:line="259" w:lineRule="auto"/>
              <w:jc w:val="center"/>
            </w:pPr>
            <w:r>
              <w:rPr>
                <w:b w:val="0"/>
                <w:sz w:val="20"/>
              </w:rPr>
              <w:t>5 月 14 日</w:t>
            </w:r>
          </w:p>
        </w:tc>
        <w:tc>
          <w:tcPr>
            <w:tcW w:type="dxa" w:w="2381"/>
            <w:vAlign w:val="center"/>
            <w:tcMar>
              <w:top w:w="90" w:type="dxa"/>
              <w:bottom w:w="90" w:type="dxa"/>
              <w:left w:w="80" w:type="dxa"/>
              <w:right w:w="80" w:type="dxa"/>
            </w:tcMar>
          </w:tcPr>
          <w:p>
            <w:pPr>
              <w:spacing w:after="0" w:line="259" w:lineRule="auto"/>
              <w:jc w:val="left"/>
            </w:pPr>
            <w:r>
              <w:rPr>
                <w:b w:val="0"/>
                <w:sz w:val="20"/>
              </w:rPr>
              <w:t>747 步 失败</w:t>
            </w:r>
          </w:p>
        </w:tc>
        <w:tc>
          <w:tcPr>
            <w:tcW w:type="dxa" w:w="1701"/>
            <w:vAlign w:val="center"/>
            <w:tcMar>
              <w:top w:w="90" w:type="dxa"/>
              <w:bottom w:w="90" w:type="dxa"/>
              <w:left w:w="80" w:type="dxa"/>
              <w:right w:w="80" w:type="dxa"/>
            </w:tcMar>
          </w:tcPr>
          <w:p>
            <w:pPr>
              <w:spacing w:after="0" w:line="259" w:lineRule="auto"/>
              <w:jc w:val="center"/>
            </w:pPr>
            <w:r>
              <w:rPr>
                <w:b w:val="0"/>
                <w:sz w:val="20"/>
              </w:rPr>
              <w:t>不可比较</w:t>
            </w:r>
          </w:p>
        </w:tc>
        <w:tc>
          <w:tcPr>
            <w:tcW w:type="dxa" w:w="1701"/>
            <w:vAlign w:val="center"/>
            <w:tcMar>
              <w:top w:w="90" w:type="dxa"/>
              <w:bottom w:w="90" w:type="dxa"/>
              <w:left w:w="80" w:type="dxa"/>
              <w:right w:w="80" w:type="dxa"/>
            </w:tcMar>
          </w:tcPr>
          <w:p>
            <w:pPr>
              <w:spacing w:after="0" w:line="259" w:lineRule="auto"/>
              <w:jc w:val="center"/>
            </w:pPr>
            <w:r>
              <w:rPr>
                <w:b w:val="0"/>
                <w:sz w:val="20"/>
              </w:rPr>
              <w:t>1.758%</w:t>
            </w:r>
          </w:p>
        </w:tc>
        <w:tc>
          <w:tcPr>
            <w:tcW w:type="dxa" w:w="2268"/>
            <w:vAlign w:val="center"/>
            <w:tcMar>
              <w:top w:w="90" w:type="dxa"/>
              <w:bottom w:w="90" w:type="dxa"/>
              <w:left w:w="80" w:type="dxa"/>
              <w:right w:w="80" w:type="dxa"/>
            </w:tcMar>
          </w:tcPr>
          <w:p>
            <w:pPr>
              <w:spacing w:after="0" w:line="259" w:lineRule="auto"/>
              <w:jc w:val="center"/>
            </w:pPr>
            <w:r>
              <w:rPr>
                <w:b w:val="0"/>
                <w:sz w:val="20"/>
              </w:rPr>
              <w:t>0 → 0</w:t>
            </w:r>
          </w:p>
        </w:tc>
      </w:tr>
      <w:tr>
        <w:trPr>
          <w:cantSplit/>
        </w:trPr>
        <w:tc>
          <w:tcPr>
            <w:tcW w:type="dxa" w:w="1361"/>
            <w:vAlign w:val="center"/>
            <w:tcMar>
              <w:top w:w="90" w:type="dxa"/>
              <w:bottom w:w="90" w:type="dxa"/>
              <w:left w:w="80" w:type="dxa"/>
              <w:right w:w="80" w:type="dxa"/>
            </w:tcMar>
          </w:tcPr>
          <w:p>
            <w:pPr>
              <w:spacing w:after="0" w:line="259" w:lineRule="auto"/>
              <w:jc w:val="center"/>
            </w:pPr>
            <w:r>
              <w:rPr>
                <w:b w:val="0"/>
                <w:sz w:val="20"/>
              </w:rPr>
              <w:t>11 月 19 日</w:t>
            </w:r>
          </w:p>
        </w:tc>
        <w:tc>
          <w:tcPr>
            <w:tcW w:type="dxa" w:w="2381"/>
            <w:vAlign w:val="center"/>
            <w:tcMar>
              <w:top w:w="90" w:type="dxa"/>
              <w:bottom w:w="90" w:type="dxa"/>
              <w:left w:w="80" w:type="dxa"/>
              <w:right w:w="80" w:type="dxa"/>
            </w:tcMar>
          </w:tcPr>
          <w:p>
            <w:pPr>
              <w:spacing w:after="0" w:line="259" w:lineRule="auto"/>
              <w:jc w:val="left"/>
            </w:pPr>
            <w:r>
              <w:rPr>
                <w:b w:val="0"/>
                <w:sz w:val="20"/>
              </w:rPr>
              <w:t>2017 步 完成</w:t>
            </w:r>
          </w:p>
        </w:tc>
        <w:tc>
          <w:tcPr>
            <w:tcW w:type="dxa" w:w="1701"/>
            <w:vAlign w:val="center"/>
            <w:tcMar>
              <w:top w:w="90" w:type="dxa"/>
              <w:bottom w:w="90" w:type="dxa"/>
              <w:left w:w="80" w:type="dxa"/>
              <w:right w:w="80" w:type="dxa"/>
            </w:tcMar>
          </w:tcPr>
          <w:p>
            <w:pPr>
              <w:spacing w:after="0" w:line="259" w:lineRule="auto"/>
              <w:jc w:val="center"/>
            </w:pPr>
            <w:r>
              <w:rPr>
                <w:b w:val="0"/>
                <w:sz w:val="20"/>
              </w:rPr>
              <w:t>+0.014%</w:t>
            </w:r>
          </w:p>
        </w:tc>
        <w:tc>
          <w:tcPr>
            <w:tcW w:type="dxa" w:w="1701"/>
            <w:vAlign w:val="center"/>
            <w:tcMar>
              <w:top w:w="90" w:type="dxa"/>
              <w:bottom w:w="90" w:type="dxa"/>
              <w:left w:w="80" w:type="dxa"/>
              <w:right w:w="80" w:type="dxa"/>
            </w:tcMar>
          </w:tcPr>
          <w:p>
            <w:pPr>
              <w:spacing w:after="0" w:line="259" w:lineRule="auto"/>
              <w:jc w:val="center"/>
            </w:pPr>
            <w:r>
              <w:rPr>
                <w:b w:val="0"/>
                <w:sz w:val="20"/>
              </w:rPr>
              <w:t>12.419%</w:t>
            </w:r>
          </w:p>
        </w:tc>
        <w:tc>
          <w:tcPr>
            <w:tcW w:type="dxa" w:w="2268"/>
            <w:vAlign w:val="center"/>
            <w:tcMar>
              <w:top w:w="90" w:type="dxa"/>
              <w:bottom w:w="90" w:type="dxa"/>
              <w:left w:w="80" w:type="dxa"/>
              <w:right w:w="80" w:type="dxa"/>
            </w:tcMar>
          </w:tcPr>
          <w:p>
            <w:pPr>
              <w:spacing w:after="0" w:line="259" w:lineRule="auto"/>
              <w:jc w:val="center"/>
            </w:pPr>
            <w:r>
              <w:rPr>
                <w:b w:val="0"/>
                <w:sz w:val="20"/>
              </w:rPr>
              <w:t>2680 → 384</w:t>
            </w:r>
          </w:p>
        </w:tc>
      </w:tr>
    </w:tbl>
    <w:p>
      <w:pPr>
        <w:spacing w:after="20"/>
      </w:pPr>
    </w:p>
    <w:p>
      <w:pPr>
        <w:pStyle w:val="Heading2"/>
      </w:pPr>
      <w:r>
        <w:t>3.4 结构补全的作用</w:t>
      </w:r>
    </w:p>
    <w:p>
      <w:pPr>
        <w:ind w:firstLine="460"/>
      </w:pPr>
      <w:r>
        <w:rPr>
          <w:b w:val="0"/>
        </w:rPr>
        <w:t>移除补全最明显的影响出现在 3 月开发日期。NO_LOCAL 的完整周成本比 FULL 高 4.810%，FRAME 将该差距缩小至 0.372%。在第 1733 步，NO_LOCAL 查询 256 个候选后选择动作 26；FRAME 随后对选中变电站增加 198 次评估，选中动作 309，与 FULL 评估 909 个动作后的选择一致。FRAME 在该步使用 454 次查询，找回了排序前缀中遗漏的有效配置。</w:t>
      </w:r>
    </w:p>
    <w:p>
      <w:pPr>
        <w:ind w:firstLine="460"/>
      </w:pPr>
      <w:r>
        <w:rPr>
          <w:b w:val="0"/>
        </w:rPr>
        <w:t>这个案例揭示了结构补全如何发挥作用：全局前缀已经定位到有效变电站，局部补查进一步完成配置比较。保存状态复核中的 90 次 FRAME 调用有 12 次因补全改变动作选择。闭环消融与逐步记录共同支持了围绕已发现结构单元继续评估的设计动机。</w:t>
      </w:r>
    </w:p>
    <w:p>
      <w:pPr>
        <w:ind w:firstLine="460"/>
      </w:pPr>
      <w:r>
        <w:rPr>
          <w:b w:val="0"/>
        </w:rPr>
        <w:t>补全的收益随状态变化。确认组 4 月，FRAME 相对 NO_LOCAL 的成本改善为 FULL 成本的 0.00782%；11 月没有触发补全，两者物理轨迹与成本相同。计算上，FRAME 相对 FULL 的时间降幅比 NO_LOCAL 在开发组少 1.15 个百分点、确认组少 3.30 个百分点，体现了局部比较所支付的额外开销。</w:t>
      </w:r>
    </w:p>
    <w:p>
      <w:pPr>
        <w:pStyle w:val="Heading2"/>
      </w:pPr>
      <w:r>
        <w:t>3.5 停止策略与时间表现</w:t>
      </w:r>
    </w:p>
    <w:p>
      <w:pPr>
        <w:ind w:firstLine="460"/>
      </w:pPr>
      <w:r>
        <w:rPr>
          <w:b w:val="0"/>
        </w:rPr>
        <w:t>FIRST_SAFE_BEST 用更积极的停止换取较少查询。它在开发组通过 2/4 个日期的质量判据，在确认组通过 3/3，说明首个达标动作在部分场景中已经足够有效。FRAME 在开发组通过 4/4，同时在确认组保持 3/3，呈现了更充分比较所带来的质量表现。</w:t>
      </w:r>
    </w:p>
    <w:p>
      <w:pPr>
        <w:ind w:firstLine="460"/>
      </w:pPr>
      <w:r>
        <w:rPr>
          <w:b w:val="0"/>
        </w:rPr>
        <w:t>确认组 FIRST_SAFE_BEST 的全日期时间均值受到零搜索日期的计时波动影响。为理解这一现象，对两个实际搜索日期另作描述性统计：FIRST_SAFE_BEST 的控制时间减少 11.92%，FRAME 减少 8.25%。因此，实际应用可以依据质量要求和计算预算，在较早返回与结构补查之间作选择。</w:t>
      </w:r>
    </w:p>
    <w:p>
      <w:pPr>
        <w:ind w:firstLine="460"/>
      </w:pPr>
      <w:r>
        <w:rPr>
          <w:b w:val="0"/>
        </w:rPr>
        <w:t>相同方法的重复物理轨迹一致，墙钟时间仍有波动。例如，4 月 FRAME 的两次控制时间为 76.28 和 44.73 秒；5 月 FIRST_SAFE_BEST 为 13.43 和 6.84 秒。主表按预定方式保留两次计时。查询量反映搜索工作量，控制时间反映当前实现和机器上的整体开销，两项指标共同刻画效率。</w:t>
      </w:r>
    </w:p>
    <w:p>
      <w:pPr>
        <w:pStyle w:val="Heading1"/>
      </w:pPr>
      <w:r>
        <w:t>4 结论</w:t>
      </w:r>
    </w:p>
    <w:p>
      <w:pPr>
        <w:ind w:firstLine="460"/>
      </w:pPr>
      <w:r>
        <w:rPr>
          <w:b w:val="0"/>
        </w:rPr>
        <w:t>本文提出基于变电站补全的渐进拓扑搜索框架，将全局前缀评估与局部配置比较结合起来。框架利用查询反馈控制扩展长度，并在扩展停止后补查当前最佳候选所在变电站，以改善搜索效率与控制质量的权衡。开发实验相对完整搜索减少 69.37% 的查询和 13.11% 的控制时间，同时将去补全策略的最大完整周成本增幅从 4.810% 压至 0.372%；冻结日期实验继续获得查询和时间节省。结果为在线电网控制提供了一个可接入既有混合控制器的搜索方案，也展示了动作结构信息在分配评估计算中的作用。</w:t>
      </w:r>
    </w:p>
    <w:p>
      <w:pPr>
        <w:pStyle w:val="Heading1"/>
      </w:pPr>
      <w:r>
        <w:t>5 相关工作</w:t>
      </w:r>
    </w:p>
    <w:p>
      <w:pPr>
        <w:pStyle w:val="Heading2"/>
      </w:pPr>
      <w:r>
        <w:t>5.1 电网混合控制与学习排序</w:t>
      </w:r>
    </w:p>
    <w:p>
      <w:pPr>
        <w:ind w:firstLine="460"/>
      </w:pPr>
      <w:r>
        <w:rPr>
          <w:b w:val="0"/>
        </w:rPr>
        <w:t>混合控制将连续优化与离散拓扑决策结合，公开 LJN 智能体为本文提供基础控制器与动作库 [2]。学习排序进一步利用电网状态和结构安排候选优先级。SoftGNN 通过软标签学习多个有效拓扑动作的偏好，并逐候选执行预测验证 [3]；de Jong 等研究了图神经网络在拓扑变化下的泛化及其与验证搜索的结合 [4]。FRAME 在排序之后组织实际评估，将渐进扩展与同站补全接入这一控制流程，排序模型可作为其中的辅助组件。</w:t>
      </w:r>
    </w:p>
    <w:p>
      <w:pPr>
        <w:pStyle w:val="Heading2"/>
      </w:pPr>
      <w:r>
        <w:t>5.2 搜索过程的计算分配</w:t>
      </w:r>
    </w:p>
    <w:p>
      <w:pPr>
        <w:ind w:firstLine="460"/>
      </w:pPr>
      <w:r>
        <w:rPr>
          <w:b w:val="0"/>
        </w:rPr>
        <w:t>规划中的元推理研究如何在推演收益与计算费用之间作决策。Bhatia 等通过深度强化学习调整随时规划的超参数和计算过程 [5]，有界最优元推理将推演成本纳入策略评价 [6]。本文采用结构启发式分配单步仿真：全局阶段利用已观测改进决定扩展，局部阶段利用最佳候选的变电站归属决定补查对象。这使停止判断与后续评估集合形成明确的联系。</w:t>
      </w:r>
    </w:p>
    <w:p>
      <w:pPr>
        <w:pStyle w:val="Heading2"/>
      </w:pPr>
      <w:r>
        <w:t>5.3 结构化邻域比较</w:t>
      </w:r>
    </w:p>
    <w:p>
      <w:pPr>
        <w:ind w:firstLine="460"/>
      </w:pPr>
      <w:r>
        <w:rPr>
          <w:b w:val="0"/>
        </w:rPr>
        <w:t>围绕当前解检查相关替代方案是邻域搜索的基本思路。FRAME 将这一思路落实为当前动作空间中的变电站补全集合。原始动作别名参与集合构造，使物理等价合并后的候选仍保留结构归属；补全在扩展停止后执行，并复用已有反馈。这种组织方式将额外查询集中到选定配置组，实验通过 NO_LOCAL 消融和逐步动作记录检验其作用。</w:t>
      </w:r>
    </w:p>
    <w:p>
      <w:pPr>
        <w:pStyle w:val="Heading1"/>
      </w:pPr>
      <w:r>
        <w:t>6 局限</w:t>
      </w:r>
    </w:p>
    <w:p>
      <w:pPr>
        <w:ind w:firstLine="460"/>
      </w:pPr>
      <w:r>
        <w:rPr>
          <w:b w:val="0"/>
        </w:rPr>
        <w:t>当前闭环实验覆盖一个电网、四个开发日期和三个确认日期，后续需要在更多日期与电网上检验参数适应性。确认日期排除于本地训练和调参；外部频次先验的原始教师日期范围仍待核实。局部补全的较大成本收益集中在一个开发日期，FIRST_SAFE_BEST 在确认组同样具有竞争力。</w:t>
      </w:r>
    </w:p>
    <w:p>
      <w:pPr>
        <w:ind w:firstLine="460"/>
      </w:pPr>
      <w:r>
        <w:rPr>
          <w:b w:val="0"/>
        </w:rPr>
        <w:t>墙钟结果受到运行波动影响，当前报告给出两次重复的实测均值；其中零搜索日期的时间差来自控制循环其他部分。更稳定的计时重复有助于进一步量化整体加速幅度。仿真中的运行成本按基准计量，实际部署仍需结合运行规则和独立安全评估。</w:t>
      </w:r>
    </w:p>
    <w:p>
      <w:pPr>
        <w:ind w:firstLine="460"/>
      </w:pPr>
      <w:r>
        <w:rPr>
          <w:b w:val="0"/>
        </w:rPr>
        <w:t>补全性质针对单次查询集合中的最佳选择键。长期成本和存活由闭环运行检验，最坏查询量可达到整个候选池。现有复核基于保存状态、反馈和成本向量，独立交流潮流重求解与跨平台复现可作为进一步验证。</w:t>
      </w:r>
    </w:p>
    <w:p>
      <w:pPr>
        <w:pStyle w:val="Heading1"/>
      </w:pPr>
      <w:r>
        <w:t>参考文献</w:t>
      </w:r>
    </w:p>
    <w:p>
      <w:pPr>
        <w:spacing w:line="264" w:lineRule="auto"/>
      </w:pPr>
      <w:r>
        <w:rPr>
          <w:b w:val="0"/>
          <w:sz w:val="19"/>
        </w:rPr>
        <w:t>[1] RTE France. Grid2Op: A testbed for sequential decision making in power systems. Official software; installed version 1.12.5. https://github.com/rte-france/Grid2Op.</w:t>
      </w:r>
    </w:p>
    <w:p>
      <w:pPr>
        <w:spacing w:line="264" w:lineRule="auto"/>
      </w:pPr>
      <w:r>
        <w:rPr>
          <w:b w:val="0"/>
          <w:sz w:val="19"/>
        </w:rPr>
        <w:t>[2] Lajavaness. 2023. L2RPN 2023 LJN Agent. Official source implementation. https://github.com/lajavaness/l2rpn-2023-ljn-agent.</w:t>
      </w:r>
    </w:p>
    <w:p>
      <w:pPr>
        <w:spacing w:line="264" w:lineRule="auto"/>
      </w:pPr>
      <w:r>
        <w:rPr>
          <w:b w:val="0"/>
          <w:sz w:val="19"/>
        </w:rPr>
        <w:t>[3] Hassouna, M.; Holzhüter, C.; Lehna, M.; de Jong, M.; Viebahn, J.; Sick, B.; and Scholz, C. 2025. Learning Topology Actions for Power Grid Control: A Graph-Based Soft-Label Imitation Learning Approach. In Machine Learning and Knowledge Discovery in Databases. Applied Data Science Track and Demo Track, volume 16022, 129--146. DOI: 10.1007/978-3-032-06129-4_8.</w:t>
      </w:r>
    </w:p>
    <w:p>
      <w:pPr>
        <w:spacing w:line="264" w:lineRule="auto"/>
      </w:pPr>
      <w:r>
        <w:rPr>
          <w:b w:val="0"/>
          <w:sz w:val="19"/>
        </w:rPr>
        <w:t>[4] de Jong, M.; Viebahn, J.; and Shapovalova, Y. 2025. Generalizable Graph Neural Networks for Robust Power Grid Topology Control. arXiv:2501.07186v1.</w:t>
      </w:r>
    </w:p>
    <w:p>
      <w:pPr>
        <w:spacing w:line="264" w:lineRule="auto"/>
      </w:pPr>
      <w:r>
        <w:rPr>
          <w:b w:val="0"/>
          <w:sz w:val="19"/>
        </w:rPr>
        <w:t>[5] Bhatia, A.; Svegliato, J.; Nashed, S. B.; and Zilberstein, S. 2022. Tuning the Hyperparameters of Anytime Planning: A Metareasoning Approach with Deep Reinforcement Learning. Proceedings of ICAPS 32:556--564. DOI: 10.1609/icaps.v32i1.19842.</w:t>
      </w:r>
    </w:p>
    <w:p>
      <w:pPr>
        <w:spacing w:line="264" w:lineRule="auto"/>
      </w:pPr>
      <w:r>
        <w:rPr>
          <w:b w:val="0"/>
          <w:sz w:val="19"/>
        </w:rPr>
        <w:t>[6] Milli, S.; Lieder, F.; and Griffiths, T. 2017. When Does Bounded-Optimal Metareasoning Favor Few Cognitive Systems? Proceedings of AAAI 31. DOI: 10.1609/aaai.v31i1.11156.</w:t>
      </w:r>
    </w:p>
    <w:sectPr w:rsidR="00FC693F" w:rsidRPr="0006063C" w:rsidSect="00034616">
      <w:footerReference w:type="default" r:id="rId10"/>
      <w:pgSz w:w="11906" w:h="16838"/>
      <w:pgMar w:top="1162" w:right="1191" w:bottom="1162" w:left="1191" w:header="454"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pPr>
    <w:rPr>
      <w:rFonts w:ascii="Times New Roman" w:hAnsi="Times New Roman" w:eastAsia="宋体"/>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Times New Roman" w:hAnsi="Times New Roman" w:eastAsia="黑体"/>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Times New Roman" w:hAnsi="Times New Roman" w:eastAsia="黑体"/>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基于变电站补全的电网渐进拓扑搜索</dc:title>
  <dc:subject>ICAPS 2027 中文作者重写稿</dc:subject>
  <dc:creator/>
  <cp:keywords>拓扑搜索 变电站补全 电网控制</cp:keywords>
  <dc:description>generated by python-docx</dc:description>
  <cp:lastModifiedBy/>
  <cp:revision>1</cp:revision>
  <dcterms:created xsi:type="dcterms:W3CDTF">2013-12-23T23:15:00Z</dcterms:created>
  <dcterms:modified xsi:type="dcterms:W3CDTF">2013-12-23T23:15:00Z</dcterms:modified>
  <cp:category/>
</cp:coreProperties>
</file>