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基于变电站补全的电网渐进拓扑搜索</w:t>
      </w:r>
    </w:p>
    <w:p>
      <w:pPr>
        <w:pStyle w:val="Subtitle"/>
        <w:jc w:val="center"/>
      </w:pPr>
      <w:r>
        <w:t>面向在线电网控制的质量与计算权衡</w:t>
      </w:r>
    </w:p>
    <w:p>
      <w:pPr>
        <w:pStyle w:val="Heading1"/>
      </w:pPr>
      <w:r>
        <w:t>摘要</w:t>
      </w:r>
    </w:p>
    <w:p>
      <w:pPr>
        <w:ind w:firstLine="460"/>
      </w:pPr>
      <w:r>
        <w:rPr>
          <w:b w:val="0"/>
        </w:rPr>
        <w:t>在线电网控制器通过预测仿真，在执行前比较不同的拓扑干预。全局候选排序可能把同一变电站的不同配置分散排列，因此在较好前缀或奖励平台后停止搜索，可能留下尚未充分比较的局部选择；完整评估则需要为整个合法候选库支付计算开销。本文提出一个可替换的搜索层，根据已经获得的反馈分批扩展排序前缀，并在扩展搜索停止后，补查当前最佳候选所在变电站的未查询配置。在共同频次排序和混合控制器下，四个开发日期的实验相对完整搜索减少了 69.37% 的候选查询和 13.11% 的实际控制时间，加入补全后，最坏完整周成本增幅由 4.81% 降至 0.372%。另行冻结的三个日期保留了全部失败和计时重复，在两个实际发生搜索的日期上减少查询 83.54%，在全部三个日期上减少控制时间的点估计为 6.09%，并通过预先设定的成本与存活筛查；首个安全候选参照在这些新日期也有竞争力，因此尚不能声称本文方法稳定优于它。</w:t>
      </w:r>
    </w:p>
    <w:p>
      <w:pPr>
        <w:pStyle w:val="Heading1"/>
      </w:pPr>
      <w:r>
        <w:t>1 引言</w:t>
      </w:r>
    </w:p>
    <w:p>
      <w:pPr>
        <w:ind w:firstLine="460"/>
      </w:pPr>
      <w:r>
        <w:rPr>
          <w:b w:val="0"/>
        </w:rPr>
        <w:t>电网拓扑控制通过改变网络元件与母线的连接配置来缓解拥塞。在线控制器需要在负荷和发电变化的条件下，将这些离散干预与连续再调度、弃电、储能和恢复操作协调起来。预测仿真使这一任务具有在线推演的特点：控制器可以在执行动作前检查其预测后果，但每多检查一个候选，就需要付出额外计算。Grid2Op 提供了研究这一重复交互过程的公开环境 [1]。从规划研究的角度看，关键问题是执行中的控制器如何分配动作评估所需的计算，而不只是独立学习一个动作策略。</w:t>
      </w:r>
    </w:p>
    <w:p>
      <w:pPr>
        <w:ind w:firstLine="460"/>
      </w:pPr>
      <w:r>
        <w:rPr>
          <w:b w:val="0"/>
        </w:rPr>
        <w:t>已有混合智能体将连续优化与离散候选搜索结合起来，学习排序器则优先安排更有希望的动作进入仿真 [2,3,4]。例如，SoftGNN 按排序验证候选，直到找到预测负载率低于给定阈值的动作 [3]。这些方法已经证明排序与验证具有应用价值。然而，动作排序本身不能对尚未评估的候选作出保证。拓扑动作可以按变电站分成若干配置组，同一站的不同配置却未必在全局序列中连续出现。因此，搜索可能已经发现一个有用的变电站，却在中间若干候选上观察到奖励平台，并在检查该站另一个有用配置之前停止。</w:t>
      </w:r>
    </w:p>
    <w:p>
      <w:pPr>
        <w:ind w:firstLine="460"/>
      </w:pPr>
      <w:r>
        <w:rPr>
          <w:b w:val="0"/>
        </w:rPr>
        <w:t>由此产生一个具体问题：</w:t>
      </w:r>
      <w:r>
        <w:rPr>
          <w:b/>
        </w:rPr>
        <w:t>结构补全能否降低提前终止的质量风险，同时保留大部分计算节省？</w:t>
      </w:r>
      <w:r>
        <w:rPr>
          <w:b w:val="0"/>
        </w:rPr>
        <w:t xml:space="preserve"> 完整搜索能够比较所有合法替代方案，但需要评估整个候选池。找到首个预测达到负载率阈值的动作后立即返回，在这类动作较早出现时十分便宜，但它只完成了阈值判断。渐进扩展提供了居中的选择，其停止决定仍会留下未查询的方案。本文将当前最佳候选所在变电站的补查视为一次受限的额外搜索。我们不假定不同变电站在物理上相互独立，也不假定单步奖励能够准确代表完整控制轨迹的成本。</w:t>
      </w:r>
    </w:p>
    <w:p>
      <w:pPr>
        <w:ind w:firstLine="460"/>
      </w:pPr>
      <w:r>
        <w:rPr>
          <w:b w:val="0"/>
        </w:rPr>
        <w:t>本文方法先仿真一个排序前缀，在已获得的反馈不足以支持停止时分批扩展，并在扩展搜索停止前后完成当前最佳候选所在变电站的补查。基础控制器、动作顺序、可接纳性检查和共有编译缓存均保持不变。机制研究给出了一个具体案例：渐进搜索在 256 次评估后停止，增加 198 次局部评估即可找回完整搜索所选的动作。随后，闭环实验检查这种补查在一周控制中是否有用，而不把找回一个动作本身当作长期收益的充分证据。</w:t>
      </w:r>
    </w:p>
    <w:p>
      <w:pPr>
        <w:ind w:firstLine="460"/>
      </w:pPr>
      <w:r>
        <w:rPr>
          <w:b w:val="0"/>
        </w:rPr>
        <w:t>本文包含三项贡献。第一，明确并实现一个搜索层，给出其反馈权限、停止规则和考虑物理等价别名的结构补全。第二，说明补全有条件地保留当前最佳候选的已观测选择键，并给出准确的额外查询数；这些性质界定了算法作用范围，但不意味着长期安全。第三，在共同排序下进行闭环比较，分别报告查询减少、实际控制时间、运行存活和基准运行成本。四个此前已使用的日期用于机制分析，另行冻结的三个日期用于有限确认。新日期结果支持相对完整搜索的节省，但没有证明相对首个安全候选参照的稳定优势。本文不需要新训练 GNN 或强化学习策略。</w:t>
      </w:r>
    </w:p>
    <w:p>
      <w:pPr>
        <w:pStyle w:val="Heading1"/>
      </w:pPr>
      <w:r>
        <w:t>2 相关工作</w:t>
      </w:r>
    </w:p>
    <w:p>
      <w:pPr>
        <w:ind w:firstLine="460"/>
      </w:pPr>
      <w:r>
        <w:rPr>
          <w:b/>
        </w:rPr>
        <w:t>混合控制与学习拓扑控制。</w:t>
      </w:r>
      <w:r>
        <w:rPr>
          <w:b w:val="0"/>
        </w:rPr>
        <w:t xml:space="preserve"> 公开 LJN 智能体结合了连续控制和拓扑干预，为本文提供基础系统与动作库 [2]。SoftGNN 从多个有用动作中学习偏好，再通过仿真验证候选 [3]。其基本首个安全候选策略在没有动作达到阈值时返回不操作动作，另有采用受限事故检查搜索的扩展。可泛化 GNN 拓扑控制也研究了验证和混合搜索变体 [4]。因此，排序、仿真验证、断线端点处理，以及连续与离散控制的结合，都不是本文的新意主张。本文研究的是这一既有接口中的附加搜索策略。我们的首个安全候选参照采用已发表工作的停止原则，但将候选池耗尽后的回退增强为“保留已评估的最佳可接纳候选”；它是受控的策略适配，而不是完整复现已发表的 SoftGNN 智能体。</w:t>
      </w:r>
    </w:p>
    <w:p>
      <w:pPr>
        <w:ind w:firstLine="460"/>
      </w:pPr>
      <w:r>
        <w:rPr>
          <w:b/>
        </w:rPr>
        <w:t>规划中的计算分配。</w:t>
      </w:r>
      <w:r>
        <w:rPr>
          <w:b w:val="0"/>
        </w:rPr>
        <w:t xml:space="preserve"> 判断是否继续计算属于元推理问题，即对推演本身的收益与费用作出决策。Bhatia 等研究了如何学习调整和终止随时规划算法 [5]，有界最优元推理也明确考虑了推演成本 [6]。本文方法是固定的结构启发式规则，不是学习到的计算价值策略，也不是有界最优控制器。它依据已观测的最佳候选和预先定义的配置邻域分配单步仿真调用。因此，其贡献应被评估为具体的搜索设计及其实证行为，而不是自适应停止这一概念的发明。</w:t>
      </w:r>
    </w:p>
    <w:p>
      <w:pPr>
        <w:ind w:firstLine="460"/>
      </w:pPr>
      <w:r>
        <w:rPr>
          <w:b/>
        </w:rPr>
        <w:t>分组与补全。</w:t>
      </w:r>
      <w:r>
        <w:rPr>
          <w:b w:val="0"/>
        </w:rPr>
        <w:t xml:space="preserve"> 搜索当前最佳候选附近的替代方案，与邻域探索具有相近思路。本文中的邻域由原始变电站元数据，以及当前状态规范化之后的物理动作别名定义。补全只执行一次，保留此前的最佳候选，并可能继续留下其他变电站的未决方案。这一定义将本文策略与简单增加全局前缀长度区分开来。实验将补全与排序、实现复用分开考察，但不据此宣称本文优先于所有局部搜索或渐进扩展方法。</w:t>
      </w:r>
    </w:p>
    <w:p>
      <w:pPr>
        <w:pStyle w:val="Heading1"/>
      </w:pPr>
      <w:r>
        <w:t>3 问题定义与搜索接口</w:t>
      </w:r>
    </w:p>
    <w:p>
      <w:pPr>
        <w:ind w:firstLine="460"/>
      </w:pPr>
      <w:r>
        <w:rPr>
          <w:b w:val="0"/>
        </w:rPr>
        <w:t>在决策时刻 t，混合控制器具有当前公开观测 x，以及基础连续动作 b。原始动作库 I 包含拓扑干预，每个动作具有标识 i 和变电站标签 s(i)。当前合法性与冷却时间约束用于筛选动作库，共有预处理负责处理断线端点。每个保留的拓扑干预都与 b 组合。对于在当前状态下产生相同物理动作向量的候选，系统保留一个规范化代表；rep(i) 将原始标识映射到其代表，A 表示有序代表集合。原始动作别名及其变电站标签仍被保留。</w:t>
      </w:r>
    </w:p>
    <w:p>
      <w:pPr>
        <w:ind w:firstLine="460"/>
      </w:pPr>
      <w:r>
        <w:rPr>
          <w:b w:val="0"/>
        </w:rPr>
        <w:t>对 a∈A 实际派发查询 Q(x,b,a) 后，接口返回预测奖励 r(a)、最大线路负载率 ρ(a)，以及预测终止、合法性、歧义和异常标志。策略可以使用当前公开状态、固定元数据和自己实际派发查询的返回结果。它不能读取其他策略的完整搜索结果，也不能预先读取未查询候选的预测。完整搜索轨迹只供实验结束后的离线分析使用。</w:t>
      </w:r>
    </w:p>
    <w:p>
      <w:pPr>
        <w:ind w:firstLine="460"/>
      </w:pPr>
      <w:r>
        <w:rPr>
          <w:b w:val="0"/>
        </w:rPr>
        <w:t>沿用基础控制器的可接纳规则为</w:t>
      </w:r>
    </w:p>
    <w:p>
      <w:pPr>
        <w:keepNext w:val="0"/>
        <w:spacing w:after="160" w:lineRule="atLeast" w:line="560"/>
        <w:jc w:val="center"/>
      </w:pPr>
      <m:oMathPara>
        <m:oMath>
          <m:r>
            <m:rPr>
              <m:sty m:val="p"/>
            </m:rPr>
            <m:t>0 &lt; ρ(a) &lt; min{ρ(x), θ}</m:t>
          </m:r>
        </m:oMath>
      </m:oMathPara>
    </w:p>
    <w:p>
      <w:pPr>
        <w:ind w:firstLine="460"/>
      </w:pPr>
      <w:r>
        <w:rPr>
          <w:b w:val="0"/>
        </w:rPr>
        <w:t>同时要求预测未终止，且不存在异常、非法动作或歧义动作。这里，ρ(x) 是当前最大线路负载率，θ 是基础控制器传入的阈值。对可接纳候选，按下列选择键进行字典序比较：</w:t>
      </w:r>
    </w:p>
    <w:p>
      <w:pPr>
        <w:keepNext w:val="0"/>
        <w:spacing w:after="160" w:lineRule="atLeast" w:line="560"/>
        <w:jc w:val="center"/>
      </w:pPr>
      <m:oMathPara>
        <m:oMath>
          <m:r>
            <m:rPr>
              <m:sty m:val="p"/>
            </m:rPr>
            <m:t>f(a) = (fp32(r(a)), −i(a))</m:t>
          </m:r>
        </m:oMath>
      </m:oMathPara>
    </w:p>
    <w:p>
      <w:pPr>
        <w:ind w:firstLine="460"/>
      </w:pPr>
      <w:r>
        <w:rPr>
          <w:b w:val="0"/>
        </w:rPr>
        <w:t>其中，i(a) 为规范化代表保留的动作库标识。fp32 表示转换为单精度浮点数；这一转换与标识破并列规则均复现基础实现的选择语义。若没有可接纳候选，搜索层不提供拓扑提案，由基础控制器处理该结果。</w:t>
      </w:r>
    </w:p>
    <w:p>
      <w:pPr>
        <w:ind w:firstLine="460"/>
      </w:pPr>
      <w:r>
        <w:rPr>
          <w:b w:val="0"/>
        </w:rPr>
        <w:t>在整段运行层面，我们的目标是在保持存活和可接受运行成本的同时，减少相对完整候选搜索的控制计算。运行成本沿用已安装 L2RPNSandBoxScore 的约定：将边际发电成本系数乘以损失能量、实际再调度的绝对能量、</w:t>
      </w:r>
      <w:r>
        <w:rPr>
          <w:b/>
        </w:rPr>
        <w:t>弃电能量的前后变化</w:t>
      </w:r>
      <w:r>
        <w:rPr>
          <w:b w:val="0"/>
        </w:rPr>
        <w:t>和储能吞吐能量之和。这是基准中的特定计量，不是实际生产电费，也不是总弃电能量。查询选择键 f 与完整周成本是两个不同量；在单个状态提高 f，并不一定改善后续轨迹。</w:t>
      </w:r>
    </w:p>
    <w:p>
      <w:pPr>
        <w:pStyle w:val="Heading1"/>
      </w:pPr>
      <w:r>
        <w:t>4 渐进搜索与结构补全</w:t>
      </w:r>
    </w:p>
    <w:p>
      <w:pPr>
        <w:pStyle w:val="Heading2"/>
      </w:pPr>
      <w:r>
        <w:t>4.1 方法概述</w:t>
      </w:r>
    </w:p>
    <w:p>
      <w:pPr>
        <w:ind w:firstLine="460"/>
      </w:pPr>
      <w:r>
        <w:rPr>
          <w:b w:val="0"/>
        </w:rPr>
        <w:t>FRAME 包含三项操作：从前缀建立当前最佳可接纳候选；在反馈支持继续搜索时扩展评估；在扩展搜索返回前完成一个受限的结构邻域。排序器负责提供候选顺序，不会被这些操作训练或改动。所有主实验采用相同的作者频次排序，频次降序与冻结动作库的标识升序一致。</w:t>
      </w:r>
    </w:p>
    <w:p>
      <w:pPr>
        <w:pStyle w:val="Heading2"/>
      </w:pPr>
      <w:r>
        <w:t>4.2 渐进评估</w:t>
      </w:r>
    </w:p>
    <w:p>
      <w:pPr>
        <w:ind w:firstLine="460"/>
      </w:pPr>
      <w:r>
        <w:rPr>
          <w:b w:val="0"/>
        </w:rPr>
        <w:t>初始查询集合包含前 min(128,|A|) 个代表，最优可接纳反馈成为当前最佳候选。若此前缀已经耗尽候选池，或者当前最佳候选的 ρ 低于继承的阈值 0.9，则立即返回。这里所谓“安全阈值”只是预测判据，不是安全认证。</w:t>
      </w:r>
    </w:p>
    <w:p>
      <w:pPr>
        <w:ind w:firstLine="460"/>
      </w:pPr>
      <w:r>
        <w:rPr>
          <w:b w:val="0"/>
        </w:rPr>
        <w:t>否则，策略以每批最多 64 个候选扩展前缀。若一批查询改善了当前最佳候选的选择键，连续无改进批次计数归零；否则计数加一。扩展搜索在以下任一条件下停止：当前最佳候选的 ρ 低于 0.9；或者已经完成至少 256 次查询，并连续两批没有改善。如果一直没有可接纳的当前最佳候选，策略会继续到候选池耗尽。这些常数在开发协议中已固定，没有在另行冻结的日期上调节。</w:t>
      </w:r>
    </w:p>
    <w:p>
      <w:pPr>
        <w:ind w:firstLine="460"/>
      </w:pPr>
      <w:r>
        <w:rPr>
          <w:b w:val="0"/>
        </w:rPr>
        <w:t>平台停止规则是一种启发式判断：最近没有改进，并不能对后续候选作出确定结论。它通过保留部分尚未比较的全局序列来节省计算。结构补全所处理的是这些未比较项中的一种较窄风险。</w:t>
      </w:r>
    </w:p>
    <w:p>
      <w:pPr>
        <w:pStyle w:val="Heading2"/>
      </w:pPr>
      <w:r>
        <w:t>4.3 当前最佳候选的变电站补全</w:t>
      </w:r>
    </w:p>
    <w:p>
      <w:pPr>
        <w:ind w:firstLine="460"/>
      </w:pPr>
      <w:r>
        <w:rPr>
          <w:b w:val="0"/>
        </w:rPr>
        <w:t>设 C 为扩展搜索结束时已查询的代表集合，a_C 为其中最佳可接纳候选。如果仍有未查询的代表，则令 s_C=s(i(a_C))。补全集合定义为</w:t>
      </w:r>
    </w:p>
    <w:p>
      <w:pPr>
        <w:keepNext w:val="0"/>
        <w:spacing w:after="160" w:lineRule="atLeast" w:line="560"/>
        <w:jc w:val="center"/>
      </w:pPr>
      <m:oMathPara>
        <m:oMath>
          <m:r>
            <m:rPr>
              <m:sty m:val="p"/>
            </m:rPr>
            <m:t>L = {rep(i) ∈ A ∖ C : s(i) = </m:t>
          </m:r>
          <m:sSub>
            <m:e>
              <m:r>
                <m:rPr>
                  <m:sty m:val="p"/>
                </m:rPr>
                <m:t>s</m:t>
              </m:r>
            </m:e>
            <m:sub>
              <m:r>
                <m:rPr>
                  <m:sty m:val="p"/>
                </m:rPr>
                <m:t>C</m:t>
              </m:r>
            </m:sub>
          </m:sSub>
          <m:r>
            <m:rPr>
              <m:sty m:val="p"/>
            </m:rPr>
            <m:t>}</m:t>
          </m:r>
        </m:oMath>
      </m:oMathPara>
    </w:p>
    <w:p>
      <w:pPr>
        <w:ind w:firstLine="460"/>
      </w:pPr>
      <w:r>
        <w:rPr>
          <w:b w:val="0"/>
        </w:rPr>
        <w:t>只要任一原始别名属于所选变电站，其代表就进入这个集合。不能因为规范化代表的元数据不同，就丢弃相应别名。FRAME 对 L 中每个代表查询一次，并保留 C∪L 中选择键最大的可接纳候选。补全开始前就固定所选变电站；如果补查过程中找到了新的最佳候选，不会递归补全新候选所在的变电站。</w:t>
      </w:r>
    </w:p>
    <w:p>
      <w:pPr>
        <w:ind w:firstLine="460"/>
      </w:pPr>
      <w:r>
        <w:rPr>
          <w:b/>
        </w:rPr>
        <w:t>初始安全前缀直接返回时不执行补全。</w:t>
      </w:r>
      <w:r>
        <w:rPr>
          <w:b w:val="0"/>
        </w:rPr>
        <w:t xml:space="preserve"> 因此，本文方法并不保证每次返回动作时，其对应邻域都已比较完。只有经过扩展搜索、存在当前最佳候选且仍有未查询项时，才触发补全。图 1 展示了这一区别。</w:t>
      </w:r>
    </w:p>
    <w:p>
      <w:pPr>
        <w:keepNext/>
        <w:spacing w:line="240" w:lineRule="auto"/>
        <w:jc w:val="center"/>
      </w:pPr>
      <w:r>
        <w:drawing>
          <wp:inline xmlns:a="http://schemas.openxmlformats.org/drawingml/2006/main" xmlns:pic="http://schemas.openxmlformats.org/drawingml/2006/picture">
            <wp:extent cx="5903999" cy="2075625"/>
            <wp:docPr id="1" name="Picture 1"/>
            <wp:cNvGraphicFramePr>
              <a:graphicFrameLocks noChangeAspect="1"/>
            </wp:cNvGraphicFramePr>
            <a:graphic>
              <a:graphicData uri="http://schemas.openxmlformats.org/drawingml/2006/picture">
                <pic:pic>
                  <pic:nvPicPr>
                    <pic:cNvPr id="0" name="framework_zh.png"/>
                    <pic:cNvPicPr/>
                  </pic:nvPicPr>
                  <pic:blipFill>
                    <a:blip r:embed="rId9"/>
                    <a:stretch>
                      <a:fillRect/>
                    </a:stretch>
                  </pic:blipFill>
                  <pic:spPr>
                    <a:xfrm>
                      <a:off x="0" y="0"/>
                      <a:ext cx="5903999" cy="2075625"/>
                    </a:xfrm>
                    <a:prstGeom prst="rect"/>
                  </pic:spPr>
                </pic:pic>
              </a:graphicData>
            </a:graphic>
          </wp:inline>
        </w:drawing>
      </w:r>
    </w:p>
    <w:p>
      <w:pPr>
        <w:keepNext w:val="0"/>
        <w:jc w:val="center"/>
      </w:pPr>
      <w:r>
        <w:rPr>
          <w:sz w:val="20"/>
        </w:rPr>
        <w:t>图 1 共同控制器中的渐进搜索与条件补全</w:t>
      </w:r>
    </w:p>
    <w:p>
      <w:pPr>
        <w:keepNext/>
        <w:spacing w:line="250" w:lineRule="auto" w:after="20"/>
        <w:ind w:left="198"/>
      </w:pPr>
      <w:r>
        <w:rPr>
          <w:rFonts w:ascii="Consolas" w:hAnsi="Consolas"/>
          <w:sz w:val="18"/>
        </w:rPr>
        <w:t>输入：有序代表池 A；查询接口 Q；别名映射与变电站标签 s</w:t>
      </w:r>
    </w:p>
    <w:p>
      <w:pPr>
        <w:keepNext/>
        <w:spacing w:line="250" w:lineRule="auto" w:after="20"/>
        <w:ind w:left="198"/>
      </w:pPr>
      <w:r>
        <w:rPr>
          <w:rFonts w:ascii="Consolas" w:hAnsi="Consolas"/>
          <w:sz w:val="18"/>
        </w:rPr>
        <w:t>C ← 查询前 min(128, |A|) 个代表</w:t>
      </w:r>
    </w:p>
    <w:p>
      <w:pPr>
        <w:keepNext/>
        <w:spacing w:line="250" w:lineRule="auto" w:after="20"/>
        <w:ind w:left="198"/>
      </w:pPr>
      <w:r>
        <w:rPr>
          <w:rFonts w:ascii="Consolas" w:hAnsi="Consolas"/>
          <w:sz w:val="18"/>
        </w:rPr>
        <w:t>a ← C 中最佳可接纳候选</w:t>
      </w:r>
    </w:p>
    <w:p>
      <w:pPr>
        <w:keepNext/>
        <w:spacing w:line="250" w:lineRule="auto" w:after="20"/>
        <w:ind w:left="198"/>
      </w:pPr>
      <w:r>
        <w:rPr>
          <w:rFonts w:ascii="Consolas" w:hAnsi="Consolas"/>
          <w:sz w:val="18"/>
        </w:rPr>
        <w:t>若 C 已耗尽 A，或 a 存在且 ρ(a) &lt; 0.9，则返回 a</w:t>
      </w:r>
    </w:p>
    <w:p>
      <w:pPr>
        <w:keepNext/>
        <w:spacing w:line="250" w:lineRule="auto" w:after="20"/>
        <w:ind w:left="198"/>
      </w:pPr>
      <w:r>
        <w:rPr>
          <w:rFonts w:ascii="Consolas" w:hAnsi="Consolas"/>
          <w:sz w:val="18"/>
        </w:rPr>
        <w:t>stale ← 0</w:t>
      </w:r>
    </w:p>
    <w:p>
      <w:pPr>
        <w:keepNext/>
        <w:spacing w:line="250" w:lineRule="auto" w:after="20"/>
        <w:ind w:left="198"/>
      </w:pPr>
      <w:r>
        <w:rPr>
          <w:rFonts w:ascii="Consolas" w:hAnsi="Consolas"/>
          <w:sz w:val="18"/>
        </w:rPr>
        <w:t>当仍有未查询候选时：</w:t>
      </w:r>
    </w:p>
    <w:p>
      <w:pPr>
        <w:keepNext/>
        <w:spacing w:line="250" w:lineRule="auto" w:after="20"/>
        <w:ind w:left="198"/>
      </w:pPr>
      <w:r>
        <w:rPr>
          <w:rFonts w:ascii="Consolas" w:hAnsi="Consolas"/>
          <w:sz w:val="18"/>
        </w:rPr>
        <w:t xml:space="preserve">    查询下一批至多 64 个代表；更新 C 和 a</w:t>
      </w:r>
    </w:p>
    <w:p>
      <w:pPr>
        <w:keepNext/>
        <w:spacing w:line="250" w:lineRule="auto" w:after="20"/>
        <w:ind w:left="198"/>
      </w:pPr>
      <w:r>
        <w:rPr>
          <w:rFonts w:ascii="Consolas" w:hAnsi="Consolas"/>
          <w:sz w:val="18"/>
        </w:rPr>
        <w:t xml:space="preserve">    选择键改进时 stale 归零，否则 stale 加一</w:t>
      </w:r>
    </w:p>
    <w:p>
      <w:pPr>
        <w:keepNext/>
        <w:spacing w:line="250" w:lineRule="auto" w:after="20"/>
        <w:ind w:left="198"/>
      </w:pPr>
      <w:r>
        <w:rPr>
          <w:rFonts w:ascii="Consolas" w:hAnsi="Consolas"/>
          <w:sz w:val="18"/>
        </w:rPr>
        <w:t xml:space="preserve">    若 a 存在，且 [ρ(a) &lt; 0.9 或 (查询数 ≥ 256 且 stale ≥ 2)]：</w:t>
      </w:r>
    </w:p>
    <w:p>
      <w:pPr>
        <w:keepNext/>
        <w:spacing w:line="250" w:lineRule="auto" w:after="20"/>
        <w:ind w:left="198"/>
      </w:pPr>
      <w:r>
        <w:rPr>
          <w:rFonts w:ascii="Consolas" w:hAnsi="Consolas"/>
          <w:sz w:val="18"/>
        </w:rPr>
        <w:t xml:space="preserve">        结束扩展循环</w:t>
      </w:r>
    </w:p>
    <w:p>
      <w:pPr>
        <w:keepNext/>
        <w:spacing w:line="250" w:lineRule="auto" w:after="20"/>
        <w:ind w:left="198"/>
      </w:pPr>
      <w:r>
        <w:rPr>
          <w:rFonts w:ascii="Consolas" w:hAnsi="Consolas"/>
          <w:sz w:val="18"/>
        </w:rPr>
        <w:t>若 a 存在且 C 未耗尽 A：</w:t>
      </w:r>
    </w:p>
    <w:p>
      <w:pPr>
        <w:keepNext/>
        <w:spacing w:line="250" w:lineRule="auto" w:after="20"/>
        <w:ind w:left="198"/>
      </w:pPr>
      <w:r>
        <w:rPr>
          <w:rFonts w:ascii="Consolas" w:hAnsi="Consolas"/>
          <w:sz w:val="18"/>
        </w:rPr>
        <w:t xml:space="preserve">    s_C ← a 的原始变电站</w:t>
      </w:r>
    </w:p>
    <w:p>
      <w:pPr>
        <w:keepNext/>
        <w:spacing w:line="250" w:lineRule="auto" w:after="20"/>
        <w:ind w:left="198"/>
      </w:pPr>
      <w:r>
        <w:rPr>
          <w:rFonts w:ascii="Consolas" w:hAnsi="Consolas"/>
          <w:sz w:val="18"/>
        </w:rPr>
        <w:t xml:space="preserve">    L ← 所有具有 s_C 别名且尚未查询的代表</w:t>
      </w:r>
    </w:p>
    <w:p>
      <w:pPr>
        <w:keepNext/>
        <w:spacing w:line="250" w:lineRule="auto" w:after="20"/>
        <w:ind w:left="198"/>
      </w:pPr>
      <w:r>
        <w:rPr>
          <w:rFonts w:ascii="Consolas" w:hAnsi="Consolas"/>
          <w:sz w:val="18"/>
        </w:rPr>
        <w:t xml:space="preserve">    查询 L 一次；按相同可接纳规则与选择键更新 a</w:t>
      </w:r>
    </w:p>
    <w:p>
      <w:pPr>
        <w:keepNext w:val="0"/>
        <w:spacing w:line="250" w:lineRule="auto" w:after="20"/>
        <w:ind w:left="198"/>
      </w:pPr>
      <w:r>
        <w:rPr>
          <w:rFonts w:ascii="Consolas" w:hAnsi="Consolas"/>
          <w:sz w:val="18"/>
        </w:rPr>
        <w:t>返回 a；若没有可接纳候选，则不提供拓扑提案</w:t>
      </w:r>
    </w:p>
    <w:p>
      <w:pPr>
        <w:pStyle w:val="Heading2"/>
      </w:pPr>
      <w:r>
        <w:t>4.4 条件性质与查询成本</w:t>
      </w:r>
    </w:p>
    <w:p>
      <w:pPr>
        <w:ind w:firstLine="460"/>
      </w:pPr>
      <w:r>
        <w:rPr>
          <w:b/>
        </w:rPr>
        <w:t>命题 1。</w:t>
      </w:r>
      <w:r>
        <w:rPr>
          <w:b w:val="0"/>
        </w:rPr>
        <w:t xml:space="preserve"> 对一次已触发的补全，设补全前最佳候选为 a_C。若已有查询反馈被保留，且只有严格更大的选择键才能替换它，则补全后的动作 a_after 满足 f(a_after)≥f(a_C)。额外查询数等于 |L|，总查询数不超过 |A|。</w:t>
      </w:r>
    </w:p>
    <w:p>
      <w:pPr>
        <w:ind w:firstLine="460"/>
      </w:pPr>
      <w:r>
        <w:rPr>
          <w:b/>
        </w:rPr>
        <w:t>证明。</w:t>
      </w:r>
      <w:r>
        <w:rPr>
          <w:b w:val="0"/>
        </w:rPr>
        <w:t xml:space="preserve"> 之前的最佳候选仍是保存反馈集合中的可接纳项。从 C∪L 选择的字典序键，不可能小于从 C 选择的键。根据构造，L 仅包含此前没有查询过的规范化代表。查询登记避免重复，也没有引入 A 之外的代表。因此，补全增加 |L| 次查询，整个搜索对 A 中每个成员最多购买一次查询。</w:t>
      </w:r>
    </w:p>
    <w:p>
      <w:pPr>
        <w:ind w:firstLine="460"/>
      </w:pPr>
      <w:r>
        <w:rPr>
          <w:b w:val="0"/>
        </w:rPr>
        <w:t>这条命题是实现不变量，而不是最优性定理。C∪L 之外仍可能存在更好的动作。仿真保留了变电站间的物理耦合，但邻域定义本身并没有解决这种耦合。最坏情况下，FRAME 仍可能检查整个候选池，没有亚线性最坏情况界或硬墙钟期限。单状态不变量也不意味着完整周成本或存活结果不会变差。</w:t>
      </w:r>
    </w:p>
    <w:p>
      <w:pPr>
        <w:pStyle w:val="Heading1"/>
      </w:pPr>
      <w:r>
        <w:t>5 实验设计</w:t>
      </w:r>
    </w:p>
    <w:p>
      <w:pPr>
        <w:pStyle w:val="Heading2"/>
      </w:pPr>
      <w:r>
        <w:t>5.1 受控策略与环境</w:t>
      </w:r>
    </w:p>
    <w:p>
      <w:pPr>
        <w:ind w:firstLine="460"/>
      </w:pPr>
      <w:r>
        <w:rPr>
          <w:b w:val="0"/>
        </w:rPr>
        <w:t>实验使用公开 l2rpn_idf_2023 环境、LightSim2Grid，以及基于 LJN 的混合控制器 [1,2]。原始动作库有 909 个动作；屏蔽与等价处理可以缩小当前候选池。四种策略具有相同的频次排序、连续控制器、恢复节奏、可接纳规则、预测接口，以及直流近似优化与安全二次规划的编译缓存，即 DC/safe-QP 缓存。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427"/>
      </w:tblGrid>
      <w:tr>
        <w:trPr>
          <w:cantSplit/>
          <w:tblHeader/>
        </w:trPr>
        <w:tc>
          <w:tcPr>
            <w:tcW w:type="dxa" w:w="1984"/>
            <w:vAlign w:val="center"/>
            <w:tcMar>
              <w:top w:w="90" w:type="dxa"/>
              <w:bottom w:w="90" w:type="dxa"/>
              <w:left w:w="80" w:type="dxa"/>
              <w:right w:w="80" w:type="dxa"/>
            </w:tcMar>
            <w:shd w:fill="E9EDF2"/>
          </w:tcPr>
          <w:p>
            <w:pPr>
              <w:keepNext/>
              <w:spacing w:after="0" w:line="259" w:lineRule="auto"/>
              <w:jc w:val="left"/>
            </w:pPr>
            <w:r>
              <w:rPr>
                <w:b/>
                <w:sz w:val="20"/>
              </w:rPr>
              <w:t>策略</w:t>
            </w:r>
          </w:p>
        </w:tc>
        <w:tc>
          <w:tcPr>
            <w:tcW w:type="dxa" w:w="7427"/>
            <w:vAlign w:val="center"/>
            <w:tcMar>
              <w:top w:w="90" w:type="dxa"/>
              <w:bottom w:w="90" w:type="dxa"/>
              <w:left w:w="80" w:type="dxa"/>
              <w:right w:w="80" w:type="dxa"/>
            </w:tcMar>
            <w:shd w:fill="E9EDF2"/>
          </w:tcPr>
          <w:p>
            <w:pPr>
              <w:keepNext/>
              <w:spacing w:after="0" w:line="259" w:lineRule="auto"/>
              <w:jc w:val="left"/>
            </w:pPr>
            <w:r>
              <w:rPr>
                <w:b/>
                <w:sz w:val="20"/>
              </w:rPr>
              <w:t>搜索行为</w:t>
            </w:r>
          </w:p>
        </w:tc>
      </w:tr>
      <w:tr>
        <w:trPr>
          <w:cantSplit/>
        </w:trPr>
        <w:tc>
          <w:tcPr>
            <w:tcW w:type="dxa" w:w="1984"/>
            <w:vAlign w:val="center"/>
            <w:tcMar>
              <w:top w:w="90" w:type="dxa"/>
              <w:bottom w:w="90" w:type="dxa"/>
              <w:left w:w="80" w:type="dxa"/>
              <w:right w:w="80" w:type="dxa"/>
            </w:tcMar>
          </w:tcPr>
          <w:p>
            <w:pPr>
              <w:keepNext/>
              <w:spacing w:after="0" w:line="259" w:lineRule="auto"/>
              <w:jc w:val="left"/>
            </w:pPr>
            <w:r>
              <w:rPr>
                <w:b w:val="0"/>
                <w:sz w:val="20"/>
              </w:rPr>
              <w:t>FULL</w:t>
            </w:r>
          </w:p>
        </w:tc>
        <w:tc>
          <w:tcPr>
            <w:tcW w:type="dxa" w:w="7427"/>
            <w:vAlign w:val="center"/>
            <w:tcMar>
              <w:top w:w="90" w:type="dxa"/>
              <w:bottom w:w="90" w:type="dxa"/>
              <w:left w:w="80" w:type="dxa"/>
              <w:right w:w="80" w:type="dxa"/>
            </w:tcMar>
          </w:tcPr>
          <w:p>
            <w:pPr>
              <w:keepNext/>
              <w:spacing w:after="0" w:line="259" w:lineRule="auto"/>
              <w:jc w:val="left"/>
            </w:pPr>
            <w:r>
              <w:rPr>
                <w:b w:val="0"/>
                <w:sz w:val="20"/>
              </w:rPr>
              <w:t>评估全部合法规范化代表，选择键最大的可接纳项。</w:t>
            </w:r>
          </w:p>
        </w:tc>
      </w:tr>
      <w:tr>
        <w:trPr>
          <w:cantSplit/>
        </w:trPr>
        <w:tc>
          <w:tcPr>
            <w:tcW w:type="dxa" w:w="1984"/>
            <w:vAlign w:val="center"/>
            <w:tcMar>
              <w:top w:w="90" w:type="dxa"/>
              <w:bottom w:w="90" w:type="dxa"/>
              <w:left w:w="80" w:type="dxa"/>
              <w:right w:w="80" w:type="dxa"/>
            </w:tcMar>
          </w:tcPr>
          <w:p>
            <w:pPr>
              <w:keepNext/>
              <w:spacing w:after="0" w:line="259" w:lineRule="auto"/>
              <w:jc w:val="left"/>
            </w:pPr>
            <w:r>
              <w:rPr>
                <w:b w:val="0"/>
                <w:sz w:val="20"/>
              </w:rPr>
              <w:t>FIRST_SAFE_BEST</w:t>
            </w:r>
          </w:p>
        </w:tc>
        <w:tc>
          <w:tcPr>
            <w:tcW w:type="dxa" w:w="7427"/>
            <w:vAlign w:val="center"/>
            <w:tcMar>
              <w:top w:w="90" w:type="dxa"/>
              <w:bottom w:w="90" w:type="dxa"/>
              <w:left w:w="80" w:type="dxa"/>
              <w:right w:w="80" w:type="dxa"/>
            </w:tcMar>
          </w:tcPr>
          <w:p>
            <w:pPr>
              <w:keepNext/>
              <w:spacing w:after="0" w:line="259" w:lineRule="auto"/>
              <w:jc w:val="left"/>
            </w:pPr>
            <w:r>
              <w:rPr>
                <w:b w:val="0"/>
                <w:sz w:val="20"/>
              </w:rPr>
              <w:t>返回首个 ρ&lt;0.9 的可接纳预测；若未找到而耗尽候选池，保留最佳可接纳项。</w:t>
            </w:r>
          </w:p>
        </w:tc>
      </w:tr>
      <w:tr>
        <w:trPr>
          <w:cantSplit/>
        </w:trPr>
        <w:tc>
          <w:tcPr>
            <w:tcW w:type="dxa" w:w="1984"/>
            <w:vAlign w:val="center"/>
            <w:tcMar>
              <w:top w:w="90" w:type="dxa"/>
              <w:bottom w:w="90" w:type="dxa"/>
              <w:left w:w="80" w:type="dxa"/>
              <w:right w:w="80" w:type="dxa"/>
            </w:tcMar>
          </w:tcPr>
          <w:p>
            <w:pPr>
              <w:keepNext/>
              <w:spacing w:after="0" w:line="259" w:lineRule="auto"/>
              <w:jc w:val="left"/>
            </w:pPr>
            <w:r>
              <w:rPr>
                <w:b w:val="0"/>
                <w:sz w:val="20"/>
              </w:rPr>
              <w:t>NO_LOCAL</w:t>
            </w:r>
          </w:p>
        </w:tc>
        <w:tc>
          <w:tcPr>
            <w:tcW w:type="dxa" w:w="7427"/>
            <w:vAlign w:val="center"/>
            <w:tcMar>
              <w:top w:w="90" w:type="dxa"/>
              <w:bottom w:w="90" w:type="dxa"/>
              <w:left w:w="80" w:type="dxa"/>
              <w:right w:w="80" w:type="dxa"/>
            </w:tcMar>
          </w:tcPr>
          <w:p>
            <w:pPr>
              <w:keepNext/>
              <w:spacing w:after="0" w:line="259" w:lineRule="auto"/>
              <w:jc w:val="left"/>
            </w:pPr>
            <w:r>
              <w:rPr>
                <w:b w:val="0"/>
                <w:sz w:val="20"/>
              </w:rPr>
              <w:t>沿用 FRAME 的前缀、批次和停止规则，只关闭结构补全。</w:t>
            </w:r>
          </w:p>
        </w:tc>
      </w:tr>
      <w:tr>
        <w:trPr>
          <w:cantSplit/>
        </w:trPr>
        <w:tc>
          <w:tcPr>
            <w:tcW w:type="dxa" w:w="1984"/>
            <w:vAlign w:val="center"/>
            <w:tcMar>
              <w:top w:w="90" w:type="dxa"/>
              <w:bottom w:w="90" w:type="dxa"/>
              <w:left w:w="80" w:type="dxa"/>
              <w:right w:w="80" w:type="dxa"/>
            </w:tcMar>
          </w:tcPr>
          <w:p>
            <w:pPr>
              <w:keepNext w:val="0"/>
              <w:spacing w:after="0" w:line="259" w:lineRule="auto"/>
              <w:jc w:val="left"/>
            </w:pPr>
            <w:r>
              <w:rPr>
                <w:b w:val="0"/>
                <w:sz w:val="20"/>
              </w:rPr>
              <w:t>FRAME</w:t>
            </w:r>
          </w:p>
        </w:tc>
        <w:tc>
          <w:tcPr>
            <w:tcW w:type="dxa" w:w="7427"/>
            <w:vAlign w:val="center"/>
            <w:tcMar>
              <w:top w:w="90" w:type="dxa"/>
              <w:bottom w:w="90" w:type="dxa"/>
              <w:left w:w="80" w:type="dxa"/>
              <w:right w:w="80" w:type="dxa"/>
            </w:tcMar>
          </w:tcPr>
          <w:p>
            <w:pPr>
              <w:keepNext w:val="0"/>
              <w:spacing w:after="0" w:line="259" w:lineRule="auto"/>
              <w:jc w:val="left"/>
            </w:pPr>
            <w:r>
              <w:rPr>
                <w:b w:val="0"/>
                <w:sz w:val="20"/>
              </w:rPr>
              <w:t>渐进评估后执行有条件的变电站补全。</w:t>
            </w:r>
          </w:p>
        </w:tc>
      </w:tr>
    </w:tbl>
    <w:p>
      <w:pPr>
        <w:spacing w:after="20"/>
      </w:pPr>
    </w:p>
    <w:p>
      <w:pPr>
        <w:ind w:firstLine="460"/>
      </w:pPr>
      <w:r>
        <w:rPr>
          <w:b w:val="0"/>
        </w:rPr>
        <w:t>FULL 和 FIRST_SAFE_BEST 是主要搜索参照，NO_LOCAL 是机制消融。所有适用策略都使用相同缓存，因此没有通过不给 FULL 提供优化来制造搜索收益。动作库顺序是较强的外部频次先验，不是随机基线。作者原始教师数据是否包含这些日期，尚不清楚。这两组实验没有 GNN 推理或新增训练。</w:t>
      </w:r>
    </w:p>
    <w:p>
      <w:pPr>
        <w:ind w:firstLine="460"/>
      </w:pPr>
      <w:r>
        <w:rPr>
          <w:b w:val="0"/>
        </w:rPr>
        <w:t>基础实现将这个钩子命名为 N1，本文查询数统计通过该钩子的调用。这个名称不等于已经对每条输电线完成穷尽的 N−1 安全检查。早期 PPO 和 SoftGNN 适配结果作为补充系统比较保留，没有作为额外实验臂混入共同排序矩阵。</w:t>
      </w:r>
    </w:p>
    <w:p>
      <w:pPr>
        <w:pStyle w:val="Heading2"/>
      </w:pPr>
      <w:r>
        <w:t>5.2 开发与冻结确认</w:t>
      </w:r>
    </w:p>
    <w:p>
      <w:pPr>
        <w:ind w:firstLine="460"/>
      </w:pPr>
      <w:r>
        <w:rPr>
          <w:b w:val="0"/>
        </w:rPr>
        <w:t>机制研究使用四个此前已暴露的日期族：2035-03-05_0、2035-06-25_8、2035-09-03_4 和 2035-10-01_5。每个策略做两次串行计时重复，共 32 条轨迹。这些日期已经用于开发，不能看作独立泛化样本。</w:t>
      </w:r>
    </w:p>
    <w:p>
      <w:pPr>
        <w:ind w:firstLine="460"/>
      </w:pPr>
      <w:r>
        <w:rPr>
          <w:b w:val="0"/>
        </w:rPr>
        <w:t>最终研究使用本地历史中仍未读取的全部三个日期族：2035-04-09、2035-05-14 和 2035-11-19。所有日期变体均排除在本地训练和调参之外。固定的纯元数据哈希规则在提取运行数据前，分别选出编号 3、14 和 0 的主变体。策略、排序、阈值和平衡串行执行顺序，在 24 条轨迹开始前已经冻结。这是在一个电网上进行的有限新日期确认，不是季节均衡样本或跨电网验证。我们不把这三个日期与开发或历史模型实验合并成七个独立测试日期。</w:t>
      </w:r>
    </w:p>
    <w:p>
      <w:pPr>
        <w:pStyle w:val="Heading2"/>
      </w:pPr>
      <w:r>
        <w:t>5.3 计量与实现</w:t>
      </w:r>
    </w:p>
    <w:p>
      <w:pPr>
        <w:ind w:firstLine="460"/>
      </w:pPr>
      <w:r>
        <w:rPr>
          <w:b w:val="0"/>
        </w:rPr>
        <w:t>记 T_m,d,j 为方法 m 在日期 d、第 j 次重复中的实际控制墙钟时间。它包含每次控制决策内部的搜索准备、排序、仿真和连续控制；初始化、物理环境步进和结果序列化位于计时区间之外。先对同日期的两次时间取平均，再计算相对 FULL 的减少比例，并对可比较日期等权平均：</w:t>
      </w:r>
    </w:p>
    <w:p>
      <w:pPr>
        <w:keepNext/>
        <w:spacing w:after="160" w:lineRule="atLeast" w:line="560"/>
        <w:jc w:val="center"/>
      </w:pPr>
      <m:oMathPara>
        <m:oMath>
          <m:sSub>
            <m:e>
              <m:bar>
                <m:barPr>
                  <m:pos m:val="top"/>
                </m:barPr>
                <m:e>
                  <m:r>
                    <m:rPr>
                      <m:sty m:val="p"/>
                    </m:rPr>
                    <m:t>T</m:t>
                  </m:r>
                </m:e>
              </m:bar>
            </m:e>
            <m:sub>
              <m:r>
                <m:rPr>
                  <m:sty m:val="p"/>
                </m:rPr>
                <m:t>m,d</m:t>
              </m:r>
            </m:sub>
          </m:sSub>
          <m:r>
            <m:rPr>
              <m:sty m:val="p"/>
            </m:rPr>
            <m:t> = </m:t>
          </m:r>
          <m:f>
            <m:num>
              <m:r>
                <m:rPr>
                  <m:sty m:val="p"/>
                </m:rPr>
                <m:t>1</m:t>
              </m:r>
            </m:num>
            <m:den>
              <m:r>
                <m:rPr>
                  <m:sty m:val="p"/>
                </m:rPr>
                <m:t>2</m:t>
              </m:r>
            </m:den>
          </m:f>
          <m:r>
            <m:rPr>
              <m:sty m:val="p"/>
            </m:rPr>
            <m:t>(</m:t>
          </m:r>
          <m:sSub>
            <m:e>
              <m:r>
                <m:rPr>
                  <m:sty m:val="p"/>
                </m:rPr>
                <m:t>T</m:t>
              </m:r>
            </m:e>
            <m:sub>
              <m:r>
                <m:rPr>
                  <m:sty m:val="p"/>
                </m:rPr>
                <m:t>m,d,0</m:t>
              </m:r>
            </m:sub>
          </m:sSub>
          <m:r>
            <m:rPr>
              <m:sty m:val="p"/>
            </m:rPr>
            <m:t> + </m:t>
          </m:r>
          <m:sSub>
            <m:e>
              <m:r>
                <m:rPr>
                  <m:sty m:val="p"/>
                </m:rPr>
                <m:t>T</m:t>
              </m:r>
            </m:e>
            <m:sub>
              <m:r>
                <m:rPr>
                  <m:sty m:val="p"/>
                </m:rPr>
                <m:t>m,d,1</m:t>
              </m:r>
            </m:sub>
          </m:sSub>
          <m:r>
            <m:rPr>
              <m:sty m:val="p"/>
            </m:rPr>
            <m:t>)</m:t>
          </m:r>
        </m:oMath>
      </m:oMathPara>
    </w:p>
    <w:p>
      <w:pPr>
        <w:keepNext w:val="0"/>
        <w:spacing w:after="160" w:lineRule="atLeast" w:line="840"/>
        <w:jc w:val="center"/>
      </w:pPr>
      <m:oMathPara>
        <m:oMath>
          <m:sSub>
            <m:e>
              <m:r>
                <m:rPr>
                  <m:sty m:val="p"/>
                </m:rPr>
                <m:t>S</m:t>
              </m:r>
            </m:e>
            <m:sub>
              <m:r>
                <m:rPr>
                  <m:sty m:val="p"/>
                </m:rPr>
                <m:t>T</m:t>
              </m:r>
            </m:sub>
          </m:sSub>
          <m:r>
            <m:rPr>
              <m:sty m:val="p"/>
            </m:rPr>
            <m:t>(m) = </m:t>
          </m:r>
          <m:f>
            <m:num>
              <m:r>
                <m:rPr>
                  <m:sty m:val="p"/>
                </m:rPr>
                <m:t>1</m:t>
              </m:r>
            </m:num>
            <m:den>
              <m:r>
                <m:rPr>
                  <m:sty m:val="p"/>
                </m:rPr>
                <m:t>|</m:t>
              </m:r>
              <m:sSub>
                <m:e>
                  <m:r>
                    <m:rPr>
                      <m:sty m:val="p"/>
                    </m:rPr>
                    <m:t>D</m:t>
                  </m:r>
                </m:e>
                <m:sub>
                  <m:r>
                    <m:rPr>
                      <m:sty m:val="p"/>
                    </m:rPr>
                    <m:t>T</m:t>
                  </m:r>
                </m:sub>
              </m:sSub>
              <m:r>
                <m:rPr>
                  <m:sty m:val="p"/>
                </m:rPr>
                <m:t>|</m:t>
              </m:r>
            </m:den>
          </m:f>
          <m:nary>
            <m:naryPr>
              <m:chr m:val="∑"/>
              <m:limLoc m:val="undOvr"/>
              <m:supHide m:val="1"/>
            </m:naryPr>
            <m:sub>
              <m:r>
                <m:rPr>
                  <m:sty m:val="p"/>
                </m:rPr>
                <m:t>d ∈ </m:t>
              </m:r>
              <m:sSub>
                <m:e>
                  <m:r>
                    <m:rPr>
                      <m:sty m:val="p"/>
                    </m:rPr>
                    <m:t>D</m:t>
                  </m:r>
                </m:e>
                <m:sub>
                  <m:r>
                    <m:rPr>
                      <m:sty m:val="p"/>
                    </m:rPr>
                    <m:t>T</m:t>
                  </m:r>
                </m:sub>
              </m:sSub>
            </m:sub>
            <m:sup/>
            <m:e>
              <m:r>
                <m:rPr>
                  <m:sty m:val="p"/>
                </m:rPr>
                <m:t>(</m:t>
              </m:r>
              <m:r>
                <m:rPr>
                  <m:sty m:val="p"/>
                </m:rPr>
                <m:t>1 − </m:t>
              </m:r>
              <m:f>
                <m:num>
                  <m:sSub>
                    <m:e>
                      <m:bar>
                        <m:barPr>
                          <m:pos m:val="top"/>
                        </m:barPr>
                        <m:e>
                          <m:r>
                            <m:rPr>
                              <m:sty m:val="p"/>
                            </m:rPr>
                            <m:t>T</m:t>
                          </m:r>
                        </m:e>
                      </m:bar>
                    </m:e>
                    <m:sub>
                      <m:r>
                        <m:rPr>
                          <m:sty m:val="p"/>
                        </m:rPr>
                        <m:t>m,d</m:t>
                      </m:r>
                    </m:sub>
                  </m:sSub>
                </m:num>
                <m:den>
                  <m:sSub>
                    <m:e>
                      <m:bar>
                        <m:barPr>
                          <m:pos m:val="top"/>
                        </m:barPr>
                        <m:e>
                          <m:r>
                            <m:rPr>
                              <m:sty m:val="p"/>
                            </m:rPr>
                            <m:t>T</m:t>
                          </m:r>
                        </m:e>
                      </m:bar>
                    </m:e>
                    <m:sub>
                      <m:r>
                        <m:rPr>
                          <m:sty m:val="p"/>
                        </m:rPr>
                        <m:t>FULL,d</m:t>
                      </m:r>
                    </m:sub>
                  </m:sSub>
                </m:den>
              </m:f>
              <m:r>
                <m:rPr>
                  <m:sty m:val="p"/>
                </m:rPr>
                <m:t>)</m:t>
              </m:r>
            </m:e>
          </m:nary>
        </m:oMath>
      </m:oMathPara>
    </w:p>
    <w:p>
      <w:pPr>
        <w:ind w:firstLine="460"/>
      </w:pPr>
      <w:r>
        <w:rPr>
          <w:b w:val="0"/>
        </w:rPr>
        <w:t>其中 D_T 包含运行长度相同的比较。查询减少按同样的日期层面方法计算，但排除 FULL 查询数为零的分母。完整周成本变化为 (J_m,d−J_FULL,d)/J_FULL,d，只在两者都完成时报告。失败保留在存活与运行长度报告中，而不会因为失败轨迹更短、更便宜就被算作成功节省。</w:t>
      </w:r>
    </w:p>
    <w:p>
      <w:pPr>
        <w:ind w:firstLine="460"/>
      </w:pPr>
      <w:r>
        <w:rPr>
          <w:b w:val="0"/>
        </w:rPr>
        <w:t>一个日期族通过预设质量筛查，需要没有更早失败，且可比较完整周成本最多高于 FULL 0.5%。最终投资筛查另外要求至少两个完整可比较日期、平均控制时间减少至少 5%，以及至少两个日期方向为正。这些是有限实验的筛查标准，不是统计等价检验或工程安全标准。计时重复不能充当独立日期族。</w:t>
      </w:r>
    </w:p>
    <w:p>
      <w:pPr>
        <w:ind w:firstLine="460"/>
      </w:pPr>
      <w:r>
        <w:rPr>
          <w:b w:val="0"/>
        </w:rPr>
        <w:t>实验主机为 AMD Ryzen 9 8940HX，系统为 Windows 11，使用 Python 3.12.14、Grid2Op 1.12.5、LightSim2Grid 1.1.0、CVXPY 1.9.3、Clarabel 0.11.1 和 OSQP 1.1.3。实验采用单个串行 CPU 工作进程，数值库限制为单线程。每段运行的工程上限为 1,200 秒，工作进程另外有 60 秒宽限；开发与确认批次上限分别为 6,000 和 4,800 秒。因工程上限截断的运行不会算作自然完成。源码、资产、配置和向量哈希均保留。审计独立重算了保存的反馈与公开状态成本，但没有独立重新求解交流潮流。</w:t>
      </w:r>
    </w:p>
    <w:p>
      <w:pPr>
        <w:pStyle w:val="Heading1"/>
      </w:pPr>
      <w:r>
        <w:t>6 结果与分析</w:t>
      </w:r>
    </w:p>
    <w:p>
      <w:pPr>
        <w:pStyle w:val="Heading2"/>
      </w:pPr>
      <w:r>
        <w:t>6.1 质量与计算</w:t>
      </w:r>
    </w:p>
    <w:p>
      <w:pPr>
        <w:ind w:firstLine="460"/>
      </w:pPr>
      <w:r>
        <w:rPr>
          <w:b w:val="0"/>
        </w:rPr>
        <w:t>表 1 将开发与确认分开报告。时间和查询百分比为正表示相对 FULL 减少；成本变化为正表示更差。FRAME 在两组中都通过全部日期的质量筛查。查询节省大于控制时间节省，因为连续控制和其他保留工作仍位于决策循环内。</w:t>
      </w:r>
    </w:p>
    <w:p>
      <w:pPr>
        <w:keepNext/>
        <w:jc w:val="center"/>
      </w:pPr>
      <w:r>
        <w:rPr>
          <w:sz w:val="20"/>
        </w:rPr>
        <w:t>表 1 按日期汇总的质量与计算结果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1984"/>
        <w:gridCol w:w="935"/>
        <w:gridCol w:w="822"/>
        <w:gridCol w:w="1191"/>
        <w:gridCol w:w="1134"/>
        <w:gridCol w:w="1701"/>
      </w:tblGrid>
      <w:tr>
        <w:trPr>
          <w:cantSplit/>
          <w:tblHeader/>
        </w:trPr>
        <w:tc>
          <w:tcPr>
            <w:tcW w:type="dxa" w:w="737"/>
            <w:vAlign w:val="center"/>
            <w:tcMar>
              <w:top w:w="90" w:type="dxa"/>
              <w:bottom w:w="90" w:type="dxa"/>
              <w:left w:w="80" w:type="dxa"/>
              <w:right w:w="80" w:type="dxa"/>
            </w:tcMar>
            <w:shd w:fill="E9EDF2"/>
          </w:tcPr>
          <w:p>
            <w:pPr>
              <w:spacing w:after="0" w:line="259" w:lineRule="auto"/>
              <w:jc w:val="center"/>
            </w:pPr>
            <w:r>
              <w:rPr>
                <w:b/>
                <w:sz w:val="18"/>
              </w:rPr>
              <w:t>数据组</w:t>
            </w:r>
          </w:p>
        </w:tc>
        <w:tc>
          <w:tcPr>
            <w:tcW w:type="dxa" w:w="1984"/>
            <w:vAlign w:val="center"/>
            <w:tcMar>
              <w:top w:w="90" w:type="dxa"/>
              <w:bottom w:w="90" w:type="dxa"/>
              <w:left w:w="80" w:type="dxa"/>
              <w:right w:w="80" w:type="dxa"/>
            </w:tcMar>
            <w:shd w:fill="E9EDF2"/>
          </w:tcPr>
          <w:p>
            <w:pPr>
              <w:spacing w:after="0" w:line="259" w:lineRule="auto"/>
              <w:jc w:val="left"/>
            </w:pPr>
            <w:r>
              <w:rPr>
                <w:b/>
                <w:sz w:val="18"/>
              </w:rPr>
              <w:t>策略</w:t>
            </w:r>
          </w:p>
        </w:tc>
        <w:tc>
          <w:tcPr>
            <w:tcW w:type="dxa" w:w="935"/>
            <w:vAlign w:val="center"/>
            <w:tcMar>
              <w:top w:w="90" w:type="dxa"/>
              <w:bottom w:w="90" w:type="dxa"/>
              <w:left w:w="80" w:type="dxa"/>
              <w:right w:w="80" w:type="dxa"/>
            </w:tcMar>
            <w:shd w:fill="E9EDF2"/>
          </w:tcPr>
          <w:p>
            <w:pPr>
              <w:spacing w:after="0" w:line="259" w:lineRule="auto"/>
              <w:jc w:val="center"/>
            </w:pPr>
            <w:r>
              <w:rPr>
                <w:b/>
                <w:sz w:val="18"/>
              </w:rPr>
              <w:t>质量通过</w:t>
              <w:br/>
              <w:t>日期</w:t>
            </w:r>
          </w:p>
        </w:tc>
        <w:tc>
          <w:tcPr>
            <w:tcW w:type="dxa" w:w="822"/>
            <w:vAlign w:val="center"/>
            <w:tcMar>
              <w:top w:w="90" w:type="dxa"/>
              <w:bottom w:w="90" w:type="dxa"/>
              <w:left w:w="80" w:type="dxa"/>
              <w:right w:w="80" w:type="dxa"/>
            </w:tcMar>
            <w:shd w:fill="E9EDF2"/>
          </w:tcPr>
          <w:p>
            <w:pPr>
              <w:spacing w:after="0" w:line="259" w:lineRule="auto"/>
              <w:jc w:val="center"/>
            </w:pPr>
            <w:r>
              <w:rPr>
                <w:b/>
                <w:sz w:val="18"/>
              </w:rPr>
              <w:t>完成</w:t>
              <w:br/>
              <w:t>日期</w:t>
            </w:r>
          </w:p>
        </w:tc>
        <w:tc>
          <w:tcPr>
            <w:tcW w:type="dxa" w:w="1191"/>
            <w:vAlign w:val="center"/>
            <w:tcMar>
              <w:top w:w="90" w:type="dxa"/>
              <w:bottom w:w="90" w:type="dxa"/>
              <w:left w:w="80" w:type="dxa"/>
              <w:right w:w="80" w:type="dxa"/>
            </w:tcMar>
            <w:shd w:fill="E9EDF2"/>
          </w:tcPr>
          <w:p>
            <w:pPr>
              <w:spacing w:after="0" w:line="259" w:lineRule="auto"/>
              <w:jc w:val="center"/>
            </w:pPr>
            <w:r>
              <w:rPr>
                <w:b/>
                <w:sz w:val="18"/>
              </w:rPr>
              <w:t>控制时间</w:t>
              <w:br/>
              <w:t>减少</w:t>
            </w:r>
          </w:p>
        </w:tc>
        <w:tc>
          <w:tcPr>
            <w:tcW w:type="dxa" w:w="1134"/>
            <w:vAlign w:val="center"/>
            <w:tcMar>
              <w:top w:w="90" w:type="dxa"/>
              <w:bottom w:w="90" w:type="dxa"/>
              <w:left w:w="80" w:type="dxa"/>
              <w:right w:w="80" w:type="dxa"/>
            </w:tcMar>
            <w:shd w:fill="E9EDF2"/>
          </w:tcPr>
          <w:p>
            <w:pPr>
              <w:spacing w:after="0" w:line="259" w:lineRule="auto"/>
              <w:jc w:val="center"/>
            </w:pPr>
            <w:r>
              <w:rPr>
                <w:b/>
                <w:sz w:val="18"/>
              </w:rPr>
              <w:t>查询减少</w:t>
            </w:r>
          </w:p>
        </w:tc>
        <w:tc>
          <w:tcPr>
            <w:tcW w:type="dxa" w:w="1701"/>
            <w:vAlign w:val="center"/>
            <w:tcMar>
              <w:top w:w="90" w:type="dxa"/>
              <w:bottom w:w="90" w:type="dxa"/>
              <w:left w:w="80" w:type="dxa"/>
              <w:right w:w="80" w:type="dxa"/>
            </w:tcMar>
            <w:shd w:fill="E9EDF2"/>
          </w:tcPr>
          <w:p>
            <w:pPr>
              <w:spacing w:after="0" w:line="259" w:lineRule="auto"/>
              <w:jc w:val="center"/>
            </w:pPr>
            <w:r>
              <w:rPr>
                <w:b/>
                <w:sz w:val="18"/>
              </w:rPr>
              <w:t>最坏完整周</w:t>
              <w:br/>
              <w:t>成本变化</w:t>
            </w:r>
          </w:p>
        </w:tc>
      </w:tr>
      <w:tr>
        <w:trPr>
          <w:cantSplit/>
        </w:trPr>
        <w:tc>
          <w:tcPr>
            <w:tcW w:type="dxa" w:w="737"/>
            <w:vAlign w:val="center"/>
            <w:tcMar>
              <w:top w:w="90" w:type="dxa"/>
              <w:bottom w:w="90" w:type="dxa"/>
              <w:left w:w="80" w:type="dxa"/>
              <w:right w:w="80" w:type="dxa"/>
            </w:tcMar>
          </w:tcPr>
          <w:p>
            <w:pPr>
              <w:spacing w:after="0" w:line="259" w:lineRule="auto"/>
              <w:jc w:val="center"/>
            </w:pPr>
            <w:r>
              <w:rPr>
                <w:b w:val="0"/>
                <w:sz w:val="18"/>
              </w:rPr>
              <w:t>开发</w:t>
            </w:r>
          </w:p>
        </w:tc>
        <w:tc>
          <w:tcPr>
            <w:tcW w:type="dxa" w:w="1984"/>
            <w:vAlign w:val="center"/>
            <w:tcMar>
              <w:top w:w="90" w:type="dxa"/>
              <w:bottom w:w="90" w:type="dxa"/>
              <w:left w:w="80" w:type="dxa"/>
              <w:right w:w="80" w:type="dxa"/>
            </w:tcMar>
          </w:tcPr>
          <w:p>
            <w:pPr>
              <w:spacing w:after="0" w:line="259" w:lineRule="auto"/>
              <w:jc w:val="left"/>
            </w:pPr>
            <w:r>
              <w:rPr>
                <w:b w:val="0"/>
                <w:sz w:val="18"/>
              </w:rPr>
              <w:t>FULL</w:t>
            </w:r>
          </w:p>
        </w:tc>
        <w:tc>
          <w:tcPr>
            <w:tcW w:type="dxa" w:w="935"/>
            <w:vAlign w:val="center"/>
            <w:tcMar>
              <w:top w:w="90" w:type="dxa"/>
              <w:bottom w:w="90" w:type="dxa"/>
              <w:left w:w="80" w:type="dxa"/>
              <w:right w:w="80" w:type="dxa"/>
            </w:tcMar>
          </w:tcPr>
          <w:p>
            <w:pPr>
              <w:spacing w:after="0" w:line="259" w:lineRule="auto"/>
              <w:jc w:val="center"/>
            </w:pPr>
            <w:r>
              <w:rPr>
                <w:b w:val="0"/>
                <w:sz w:val="18"/>
              </w:rPr>
              <w:t>4/4</w:t>
            </w:r>
          </w:p>
        </w:tc>
        <w:tc>
          <w:tcPr>
            <w:tcW w:type="dxa" w:w="822"/>
            <w:vAlign w:val="center"/>
            <w:tcMar>
              <w:top w:w="90" w:type="dxa"/>
              <w:bottom w:w="90" w:type="dxa"/>
              <w:left w:w="80" w:type="dxa"/>
              <w:right w:w="80" w:type="dxa"/>
            </w:tcMar>
          </w:tcPr>
          <w:p>
            <w:pPr>
              <w:spacing w:after="0" w:line="259" w:lineRule="auto"/>
              <w:jc w:val="center"/>
            </w:pPr>
            <w:r>
              <w:rPr>
                <w:b w:val="0"/>
                <w:sz w:val="18"/>
              </w:rPr>
              <w:t>3/4</w:t>
            </w:r>
          </w:p>
        </w:tc>
        <w:tc>
          <w:tcPr>
            <w:tcW w:type="dxa" w:w="1191"/>
            <w:vAlign w:val="center"/>
            <w:tcMar>
              <w:top w:w="90" w:type="dxa"/>
              <w:bottom w:w="90" w:type="dxa"/>
              <w:left w:w="80" w:type="dxa"/>
              <w:right w:w="80" w:type="dxa"/>
            </w:tcMar>
          </w:tcPr>
          <w:p>
            <w:pPr>
              <w:spacing w:after="0" w:line="259" w:lineRule="auto"/>
              <w:jc w:val="center"/>
            </w:pPr>
            <w:r>
              <w:rPr>
                <w:b w:val="0"/>
                <w:sz w:val="18"/>
              </w:rPr>
              <w:t>0.00%</w:t>
            </w:r>
          </w:p>
        </w:tc>
        <w:tc>
          <w:tcPr>
            <w:tcW w:type="dxa" w:w="1134"/>
            <w:vAlign w:val="center"/>
            <w:tcMar>
              <w:top w:w="90" w:type="dxa"/>
              <w:bottom w:w="90" w:type="dxa"/>
              <w:left w:w="80" w:type="dxa"/>
              <w:right w:w="80" w:type="dxa"/>
            </w:tcMar>
          </w:tcPr>
          <w:p>
            <w:pPr>
              <w:spacing w:after="0" w:line="259" w:lineRule="auto"/>
              <w:jc w:val="center"/>
            </w:pPr>
            <w:r>
              <w:rPr>
                <w:b w:val="0"/>
                <w:sz w:val="18"/>
              </w:rPr>
              <w:t>0.00%</w:t>
            </w:r>
          </w:p>
        </w:tc>
        <w:tc>
          <w:tcPr>
            <w:tcW w:type="dxa" w:w="1701"/>
            <w:vAlign w:val="center"/>
            <w:tcMar>
              <w:top w:w="90" w:type="dxa"/>
              <w:bottom w:w="90" w:type="dxa"/>
              <w:left w:w="80" w:type="dxa"/>
              <w:right w:w="80" w:type="dxa"/>
            </w:tcMar>
          </w:tcPr>
          <w:p>
            <w:pPr>
              <w:spacing w:after="0" w:line="259" w:lineRule="auto"/>
              <w:jc w:val="center"/>
            </w:pPr>
            <w:r>
              <w:rPr>
                <w:b w:val="0"/>
                <w:sz w:val="18"/>
              </w:rPr>
              <w:t>0.000%</w:t>
            </w:r>
          </w:p>
        </w:tc>
      </w:tr>
      <w:tr>
        <w:trPr>
          <w:cantSplit/>
        </w:trPr>
        <w:tc>
          <w:tcPr>
            <w:tcW w:type="dxa" w:w="737"/>
            <w:vAlign w:val="center"/>
            <w:tcMar>
              <w:top w:w="90" w:type="dxa"/>
              <w:bottom w:w="90" w:type="dxa"/>
              <w:left w:w="80" w:type="dxa"/>
              <w:right w:w="80" w:type="dxa"/>
            </w:tcMar>
          </w:tcPr>
          <w:p>
            <w:pPr>
              <w:spacing w:after="0" w:line="259" w:lineRule="auto"/>
              <w:jc w:val="center"/>
            </w:pPr>
            <w:r>
              <w:rPr>
                <w:b w:val="0"/>
                <w:sz w:val="18"/>
              </w:rPr>
              <w:t>开发</w:t>
            </w:r>
          </w:p>
        </w:tc>
        <w:tc>
          <w:tcPr>
            <w:tcW w:type="dxa" w:w="1984"/>
            <w:vAlign w:val="center"/>
            <w:tcMar>
              <w:top w:w="90" w:type="dxa"/>
              <w:bottom w:w="90" w:type="dxa"/>
              <w:left w:w="80" w:type="dxa"/>
              <w:right w:w="80" w:type="dxa"/>
            </w:tcMar>
          </w:tcPr>
          <w:p>
            <w:pPr>
              <w:spacing w:after="0" w:line="259" w:lineRule="auto"/>
              <w:jc w:val="left"/>
            </w:pPr>
            <w:r>
              <w:rPr>
                <w:b w:val="0"/>
                <w:sz w:val="18"/>
              </w:rPr>
              <w:t>FIRST_SAFE_BEST</w:t>
            </w:r>
          </w:p>
        </w:tc>
        <w:tc>
          <w:tcPr>
            <w:tcW w:type="dxa" w:w="935"/>
            <w:vAlign w:val="center"/>
            <w:tcMar>
              <w:top w:w="90" w:type="dxa"/>
              <w:bottom w:w="90" w:type="dxa"/>
              <w:left w:w="80" w:type="dxa"/>
              <w:right w:w="80" w:type="dxa"/>
            </w:tcMar>
          </w:tcPr>
          <w:p>
            <w:pPr>
              <w:spacing w:after="0" w:line="259" w:lineRule="auto"/>
              <w:jc w:val="center"/>
            </w:pPr>
            <w:r>
              <w:rPr>
                <w:b w:val="0"/>
                <w:sz w:val="18"/>
              </w:rPr>
              <w:t>2/4</w:t>
            </w:r>
          </w:p>
        </w:tc>
        <w:tc>
          <w:tcPr>
            <w:tcW w:type="dxa" w:w="822"/>
            <w:vAlign w:val="center"/>
            <w:tcMar>
              <w:top w:w="90" w:type="dxa"/>
              <w:bottom w:w="90" w:type="dxa"/>
              <w:left w:w="80" w:type="dxa"/>
              <w:right w:w="80" w:type="dxa"/>
            </w:tcMar>
          </w:tcPr>
          <w:p>
            <w:pPr>
              <w:spacing w:after="0" w:line="259" w:lineRule="auto"/>
              <w:jc w:val="center"/>
            </w:pPr>
            <w:r>
              <w:rPr>
                <w:b w:val="0"/>
                <w:sz w:val="18"/>
              </w:rPr>
              <w:t>3/4</w:t>
            </w:r>
          </w:p>
        </w:tc>
        <w:tc>
          <w:tcPr>
            <w:tcW w:type="dxa" w:w="1191"/>
            <w:vAlign w:val="center"/>
            <w:tcMar>
              <w:top w:w="90" w:type="dxa"/>
              <w:bottom w:w="90" w:type="dxa"/>
              <w:left w:w="80" w:type="dxa"/>
              <w:right w:w="80" w:type="dxa"/>
            </w:tcMar>
          </w:tcPr>
          <w:p>
            <w:pPr>
              <w:spacing w:after="0" w:line="259" w:lineRule="auto"/>
              <w:jc w:val="center"/>
            </w:pPr>
            <w:r>
              <w:rPr>
                <w:b w:val="0"/>
                <w:sz w:val="18"/>
              </w:rPr>
              <w:t>7.06%</w:t>
            </w:r>
          </w:p>
        </w:tc>
        <w:tc>
          <w:tcPr>
            <w:tcW w:type="dxa" w:w="1134"/>
            <w:vAlign w:val="center"/>
            <w:tcMar>
              <w:top w:w="90" w:type="dxa"/>
              <w:bottom w:w="90" w:type="dxa"/>
              <w:left w:w="80" w:type="dxa"/>
              <w:right w:w="80" w:type="dxa"/>
            </w:tcMar>
          </w:tcPr>
          <w:p>
            <w:pPr>
              <w:spacing w:after="0" w:line="259" w:lineRule="auto"/>
              <w:jc w:val="center"/>
            </w:pPr>
            <w:r>
              <w:rPr>
                <w:b w:val="0"/>
                <w:sz w:val="18"/>
              </w:rPr>
              <w:t>51.45%</w:t>
            </w:r>
          </w:p>
        </w:tc>
        <w:tc>
          <w:tcPr>
            <w:tcW w:type="dxa" w:w="1701"/>
            <w:vAlign w:val="center"/>
            <w:tcMar>
              <w:top w:w="90" w:type="dxa"/>
              <w:bottom w:w="90" w:type="dxa"/>
              <w:left w:w="80" w:type="dxa"/>
              <w:right w:w="80" w:type="dxa"/>
            </w:tcMar>
          </w:tcPr>
          <w:p>
            <w:pPr>
              <w:spacing w:after="0" w:line="259" w:lineRule="auto"/>
              <w:jc w:val="center"/>
            </w:pPr>
            <w:r>
              <w:rPr>
                <w:b w:val="0"/>
                <w:sz w:val="18"/>
              </w:rPr>
              <w:t>+3.952%</w:t>
            </w:r>
          </w:p>
        </w:tc>
      </w:tr>
      <w:tr>
        <w:trPr>
          <w:cantSplit/>
        </w:trPr>
        <w:tc>
          <w:tcPr>
            <w:tcW w:type="dxa" w:w="737"/>
            <w:vAlign w:val="center"/>
            <w:tcMar>
              <w:top w:w="90" w:type="dxa"/>
              <w:bottom w:w="90" w:type="dxa"/>
              <w:left w:w="80" w:type="dxa"/>
              <w:right w:w="80" w:type="dxa"/>
            </w:tcMar>
          </w:tcPr>
          <w:p>
            <w:pPr>
              <w:spacing w:after="0" w:line="259" w:lineRule="auto"/>
              <w:jc w:val="center"/>
            </w:pPr>
            <w:r>
              <w:rPr>
                <w:b w:val="0"/>
                <w:sz w:val="18"/>
              </w:rPr>
              <w:t>开发</w:t>
            </w:r>
          </w:p>
        </w:tc>
        <w:tc>
          <w:tcPr>
            <w:tcW w:type="dxa" w:w="1984"/>
            <w:vAlign w:val="center"/>
            <w:tcMar>
              <w:top w:w="90" w:type="dxa"/>
              <w:bottom w:w="90" w:type="dxa"/>
              <w:left w:w="80" w:type="dxa"/>
              <w:right w:w="80" w:type="dxa"/>
            </w:tcMar>
          </w:tcPr>
          <w:p>
            <w:pPr>
              <w:spacing w:after="0" w:line="259" w:lineRule="auto"/>
              <w:jc w:val="left"/>
            </w:pPr>
            <w:r>
              <w:rPr>
                <w:b w:val="0"/>
                <w:sz w:val="18"/>
              </w:rPr>
              <w:t>NO_LOCAL</w:t>
            </w:r>
          </w:p>
        </w:tc>
        <w:tc>
          <w:tcPr>
            <w:tcW w:type="dxa" w:w="935"/>
            <w:vAlign w:val="center"/>
            <w:tcMar>
              <w:top w:w="90" w:type="dxa"/>
              <w:bottom w:w="90" w:type="dxa"/>
              <w:left w:w="80" w:type="dxa"/>
              <w:right w:w="80" w:type="dxa"/>
            </w:tcMar>
          </w:tcPr>
          <w:p>
            <w:pPr>
              <w:spacing w:after="0" w:line="259" w:lineRule="auto"/>
              <w:jc w:val="center"/>
            </w:pPr>
            <w:r>
              <w:rPr>
                <w:b w:val="0"/>
                <w:sz w:val="18"/>
              </w:rPr>
              <w:t>3/4</w:t>
            </w:r>
          </w:p>
        </w:tc>
        <w:tc>
          <w:tcPr>
            <w:tcW w:type="dxa" w:w="822"/>
            <w:vAlign w:val="center"/>
            <w:tcMar>
              <w:top w:w="90" w:type="dxa"/>
              <w:bottom w:w="90" w:type="dxa"/>
              <w:left w:w="80" w:type="dxa"/>
              <w:right w:w="80" w:type="dxa"/>
            </w:tcMar>
          </w:tcPr>
          <w:p>
            <w:pPr>
              <w:spacing w:after="0" w:line="259" w:lineRule="auto"/>
              <w:jc w:val="center"/>
            </w:pPr>
            <w:r>
              <w:rPr>
                <w:b w:val="0"/>
                <w:sz w:val="18"/>
              </w:rPr>
              <w:t>3/4</w:t>
            </w:r>
          </w:p>
        </w:tc>
        <w:tc>
          <w:tcPr>
            <w:tcW w:type="dxa" w:w="1191"/>
            <w:vAlign w:val="center"/>
            <w:tcMar>
              <w:top w:w="90" w:type="dxa"/>
              <w:bottom w:w="90" w:type="dxa"/>
              <w:left w:w="80" w:type="dxa"/>
              <w:right w:w="80" w:type="dxa"/>
            </w:tcMar>
          </w:tcPr>
          <w:p>
            <w:pPr>
              <w:spacing w:after="0" w:line="259" w:lineRule="auto"/>
              <w:jc w:val="center"/>
            </w:pPr>
            <w:r>
              <w:rPr>
                <w:b w:val="0"/>
                <w:sz w:val="18"/>
              </w:rPr>
              <w:t>14.26%</w:t>
            </w:r>
          </w:p>
        </w:tc>
        <w:tc>
          <w:tcPr>
            <w:tcW w:type="dxa" w:w="1134"/>
            <w:vAlign w:val="center"/>
            <w:tcMar>
              <w:top w:w="90" w:type="dxa"/>
              <w:bottom w:w="90" w:type="dxa"/>
              <w:left w:w="80" w:type="dxa"/>
              <w:right w:w="80" w:type="dxa"/>
            </w:tcMar>
          </w:tcPr>
          <w:p>
            <w:pPr>
              <w:spacing w:after="0" w:line="259" w:lineRule="auto"/>
              <w:jc w:val="center"/>
            </w:pPr>
            <w:r>
              <w:rPr>
                <w:b w:val="0"/>
                <w:sz w:val="18"/>
              </w:rPr>
              <w:t>71.84%</w:t>
            </w:r>
          </w:p>
        </w:tc>
        <w:tc>
          <w:tcPr>
            <w:tcW w:type="dxa" w:w="1701"/>
            <w:vAlign w:val="center"/>
            <w:tcMar>
              <w:top w:w="90" w:type="dxa"/>
              <w:bottom w:w="90" w:type="dxa"/>
              <w:left w:w="80" w:type="dxa"/>
              <w:right w:w="80" w:type="dxa"/>
            </w:tcMar>
          </w:tcPr>
          <w:p>
            <w:pPr>
              <w:spacing w:after="0" w:line="259" w:lineRule="auto"/>
              <w:jc w:val="center"/>
            </w:pPr>
            <w:r>
              <w:rPr>
                <w:b w:val="0"/>
                <w:sz w:val="18"/>
              </w:rPr>
              <w:t>+4.810%</w:t>
            </w:r>
          </w:p>
        </w:tc>
      </w:tr>
      <w:tr>
        <w:trPr>
          <w:cantSplit/>
        </w:trPr>
        <w:tc>
          <w:tcPr>
            <w:tcW w:type="dxa" w:w="737"/>
            <w:vAlign w:val="center"/>
            <w:tcMar>
              <w:top w:w="90" w:type="dxa"/>
              <w:bottom w:w="90" w:type="dxa"/>
              <w:left w:w="80" w:type="dxa"/>
              <w:right w:w="80" w:type="dxa"/>
            </w:tcMar>
          </w:tcPr>
          <w:p>
            <w:pPr>
              <w:spacing w:after="0" w:line="259" w:lineRule="auto"/>
              <w:jc w:val="center"/>
            </w:pPr>
            <w:r>
              <w:rPr>
                <w:b w:val="0"/>
                <w:sz w:val="18"/>
              </w:rPr>
              <w:t>开发</w:t>
            </w:r>
          </w:p>
        </w:tc>
        <w:tc>
          <w:tcPr>
            <w:tcW w:type="dxa" w:w="1984"/>
            <w:vAlign w:val="center"/>
            <w:tcMar>
              <w:top w:w="90" w:type="dxa"/>
              <w:bottom w:w="90" w:type="dxa"/>
              <w:left w:w="80" w:type="dxa"/>
              <w:right w:w="80" w:type="dxa"/>
            </w:tcMar>
          </w:tcPr>
          <w:p>
            <w:pPr>
              <w:spacing w:after="0" w:line="259" w:lineRule="auto"/>
              <w:jc w:val="left"/>
            </w:pPr>
            <w:r>
              <w:rPr>
                <w:b w:val="0"/>
                <w:sz w:val="18"/>
              </w:rPr>
              <w:t>FRAME</w:t>
            </w:r>
          </w:p>
        </w:tc>
        <w:tc>
          <w:tcPr>
            <w:tcW w:type="dxa" w:w="935"/>
            <w:vAlign w:val="center"/>
            <w:tcMar>
              <w:top w:w="90" w:type="dxa"/>
              <w:bottom w:w="90" w:type="dxa"/>
              <w:left w:w="80" w:type="dxa"/>
              <w:right w:w="80" w:type="dxa"/>
            </w:tcMar>
          </w:tcPr>
          <w:p>
            <w:pPr>
              <w:spacing w:after="0" w:line="259" w:lineRule="auto"/>
              <w:jc w:val="center"/>
            </w:pPr>
            <w:r>
              <w:rPr>
                <w:b w:val="0"/>
                <w:sz w:val="18"/>
              </w:rPr>
              <w:t>4/4</w:t>
            </w:r>
          </w:p>
        </w:tc>
        <w:tc>
          <w:tcPr>
            <w:tcW w:type="dxa" w:w="822"/>
            <w:vAlign w:val="center"/>
            <w:tcMar>
              <w:top w:w="90" w:type="dxa"/>
              <w:bottom w:w="90" w:type="dxa"/>
              <w:left w:w="80" w:type="dxa"/>
              <w:right w:w="80" w:type="dxa"/>
            </w:tcMar>
          </w:tcPr>
          <w:p>
            <w:pPr>
              <w:spacing w:after="0" w:line="259" w:lineRule="auto"/>
              <w:jc w:val="center"/>
            </w:pPr>
            <w:r>
              <w:rPr>
                <w:b w:val="0"/>
                <w:sz w:val="18"/>
              </w:rPr>
              <w:t>3/4</w:t>
            </w:r>
          </w:p>
        </w:tc>
        <w:tc>
          <w:tcPr>
            <w:tcW w:type="dxa" w:w="1191"/>
            <w:vAlign w:val="center"/>
            <w:tcMar>
              <w:top w:w="90" w:type="dxa"/>
              <w:bottom w:w="90" w:type="dxa"/>
              <w:left w:w="80" w:type="dxa"/>
              <w:right w:w="80" w:type="dxa"/>
            </w:tcMar>
          </w:tcPr>
          <w:p>
            <w:pPr>
              <w:spacing w:after="0" w:line="259" w:lineRule="auto"/>
              <w:jc w:val="center"/>
            </w:pPr>
            <w:r>
              <w:rPr>
                <w:b w:val="0"/>
                <w:sz w:val="18"/>
              </w:rPr>
              <w:t>13.11%</w:t>
            </w:r>
          </w:p>
        </w:tc>
        <w:tc>
          <w:tcPr>
            <w:tcW w:type="dxa" w:w="1134"/>
            <w:vAlign w:val="center"/>
            <w:tcMar>
              <w:top w:w="90" w:type="dxa"/>
              <w:bottom w:w="90" w:type="dxa"/>
              <w:left w:w="80" w:type="dxa"/>
              <w:right w:w="80" w:type="dxa"/>
            </w:tcMar>
          </w:tcPr>
          <w:p>
            <w:pPr>
              <w:spacing w:after="0" w:line="259" w:lineRule="auto"/>
              <w:jc w:val="center"/>
            </w:pPr>
            <w:r>
              <w:rPr>
                <w:b w:val="0"/>
                <w:sz w:val="18"/>
              </w:rPr>
              <w:t>69.37%</w:t>
            </w:r>
          </w:p>
        </w:tc>
        <w:tc>
          <w:tcPr>
            <w:tcW w:type="dxa" w:w="1701"/>
            <w:vAlign w:val="center"/>
            <w:tcMar>
              <w:top w:w="90" w:type="dxa"/>
              <w:bottom w:w="90" w:type="dxa"/>
              <w:left w:w="80" w:type="dxa"/>
              <w:right w:w="80" w:type="dxa"/>
            </w:tcMar>
          </w:tcPr>
          <w:p>
            <w:pPr>
              <w:spacing w:after="0" w:line="259" w:lineRule="auto"/>
              <w:jc w:val="center"/>
            </w:pPr>
            <w:r>
              <w:rPr>
                <w:b w:val="0"/>
                <w:sz w:val="18"/>
              </w:rPr>
              <w:t>+0.372%</w:t>
            </w:r>
          </w:p>
        </w:tc>
      </w:tr>
      <w:tr>
        <w:trPr>
          <w:cantSplit/>
        </w:trPr>
        <w:tc>
          <w:tcPr>
            <w:tcW w:type="dxa" w:w="737"/>
            <w:vAlign w:val="center"/>
            <w:tcMar>
              <w:top w:w="90" w:type="dxa"/>
              <w:bottom w:w="90" w:type="dxa"/>
              <w:left w:w="80" w:type="dxa"/>
              <w:right w:w="80" w:type="dxa"/>
            </w:tcMar>
          </w:tcPr>
          <w:p>
            <w:pPr>
              <w:spacing w:after="0" w:line="259" w:lineRule="auto"/>
              <w:jc w:val="center"/>
            </w:pPr>
            <w:r>
              <w:rPr>
                <w:b w:val="0"/>
                <w:sz w:val="18"/>
              </w:rPr>
              <w:t>确认</w:t>
            </w:r>
          </w:p>
        </w:tc>
        <w:tc>
          <w:tcPr>
            <w:tcW w:type="dxa" w:w="1984"/>
            <w:vAlign w:val="center"/>
            <w:tcMar>
              <w:top w:w="90" w:type="dxa"/>
              <w:bottom w:w="90" w:type="dxa"/>
              <w:left w:w="80" w:type="dxa"/>
              <w:right w:w="80" w:type="dxa"/>
            </w:tcMar>
          </w:tcPr>
          <w:p>
            <w:pPr>
              <w:spacing w:after="0" w:line="259" w:lineRule="auto"/>
              <w:jc w:val="left"/>
            </w:pPr>
            <w:r>
              <w:rPr>
                <w:b w:val="0"/>
                <w:sz w:val="18"/>
              </w:rPr>
              <w:t>FULL</w:t>
            </w:r>
          </w:p>
        </w:tc>
        <w:tc>
          <w:tcPr>
            <w:tcW w:type="dxa" w:w="935"/>
            <w:vAlign w:val="center"/>
            <w:tcMar>
              <w:top w:w="90" w:type="dxa"/>
              <w:bottom w:w="90" w:type="dxa"/>
              <w:left w:w="80" w:type="dxa"/>
              <w:right w:w="80" w:type="dxa"/>
            </w:tcMar>
          </w:tcPr>
          <w:p>
            <w:pPr>
              <w:spacing w:after="0" w:line="259" w:lineRule="auto"/>
              <w:jc w:val="center"/>
            </w:pPr>
            <w:r>
              <w:rPr>
                <w:b w:val="0"/>
                <w:sz w:val="18"/>
              </w:rPr>
              <w:t>3/3</w:t>
            </w:r>
          </w:p>
        </w:tc>
        <w:tc>
          <w:tcPr>
            <w:tcW w:type="dxa" w:w="822"/>
            <w:vAlign w:val="center"/>
            <w:tcMar>
              <w:top w:w="90" w:type="dxa"/>
              <w:bottom w:w="90" w:type="dxa"/>
              <w:left w:w="80" w:type="dxa"/>
              <w:right w:w="80" w:type="dxa"/>
            </w:tcMar>
          </w:tcPr>
          <w:p>
            <w:pPr>
              <w:spacing w:after="0" w:line="259" w:lineRule="auto"/>
              <w:jc w:val="center"/>
            </w:pPr>
            <w:r>
              <w:rPr>
                <w:b w:val="0"/>
                <w:sz w:val="18"/>
              </w:rPr>
              <w:t>2/3</w:t>
            </w:r>
          </w:p>
        </w:tc>
        <w:tc>
          <w:tcPr>
            <w:tcW w:type="dxa" w:w="1191"/>
            <w:vAlign w:val="center"/>
            <w:tcMar>
              <w:top w:w="90" w:type="dxa"/>
              <w:bottom w:w="90" w:type="dxa"/>
              <w:left w:w="80" w:type="dxa"/>
              <w:right w:w="80" w:type="dxa"/>
            </w:tcMar>
          </w:tcPr>
          <w:p>
            <w:pPr>
              <w:spacing w:after="0" w:line="259" w:lineRule="auto"/>
              <w:jc w:val="center"/>
            </w:pPr>
            <w:r>
              <w:rPr>
                <w:b w:val="0"/>
                <w:sz w:val="18"/>
              </w:rPr>
              <w:t>0.00%</w:t>
            </w:r>
          </w:p>
        </w:tc>
        <w:tc>
          <w:tcPr>
            <w:tcW w:type="dxa" w:w="1134"/>
            <w:vAlign w:val="center"/>
            <w:tcMar>
              <w:top w:w="90" w:type="dxa"/>
              <w:bottom w:w="90" w:type="dxa"/>
              <w:left w:w="80" w:type="dxa"/>
              <w:right w:w="80" w:type="dxa"/>
            </w:tcMar>
          </w:tcPr>
          <w:p>
            <w:pPr>
              <w:spacing w:after="0" w:line="259" w:lineRule="auto"/>
              <w:jc w:val="center"/>
            </w:pPr>
            <w:r>
              <w:rPr>
                <w:b w:val="0"/>
                <w:sz w:val="18"/>
              </w:rPr>
              <w:t>0.00%</w:t>
            </w:r>
          </w:p>
        </w:tc>
        <w:tc>
          <w:tcPr>
            <w:tcW w:type="dxa" w:w="1701"/>
            <w:vAlign w:val="center"/>
            <w:tcMar>
              <w:top w:w="90" w:type="dxa"/>
              <w:bottom w:w="90" w:type="dxa"/>
              <w:left w:w="80" w:type="dxa"/>
              <w:right w:w="80" w:type="dxa"/>
            </w:tcMar>
          </w:tcPr>
          <w:p>
            <w:pPr>
              <w:spacing w:after="0" w:line="259" w:lineRule="auto"/>
              <w:jc w:val="center"/>
            </w:pPr>
            <w:r>
              <w:rPr>
                <w:b w:val="0"/>
                <w:sz w:val="18"/>
              </w:rPr>
              <w:t>0.000%</w:t>
            </w:r>
          </w:p>
        </w:tc>
      </w:tr>
      <w:tr>
        <w:trPr>
          <w:cantSplit/>
        </w:trPr>
        <w:tc>
          <w:tcPr>
            <w:tcW w:type="dxa" w:w="737"/>
            <w:vAlign w:val="center"/>
            <w:tcMar>
              <w:top w:w="90" w:type="dxa"/>
              <w:bottom w:w="90" w:type="dxa"/>
              <w:left w:w="80" w:type="dxa"/>
              <w:right w:w="80" w:type="dxa"/>
            </w:tcMar>
          </w:tcPr>
          <w:p>
            <w:pPr>
              <w:spacing w:after="0" w:line="259" w:lineRule="auto"/>
              <w:jc w:val="center"/>
            </w:pPr>
            <w:r>
              <w:rPr>
                <w:b w:val="0"/>
                <w:sz w:val="18"/>
              </w:rPr>
              <w:t>确认</w:t>
            </w:r>
          </w:p>
        </w:tc>
        <w:tc>
          <w:tcPr>
            <w:tcW w:type="dxa" w:w="1984"/>
            <w:vAlign w:val="center"/>
            <w:tcMar>
              <w:top w:w="90" w:type="dxa"/>
              <w:bottom w:w="90" w:type="dxa"/>
              <w:left w:w="80" w:type="dxa"/>
              <w:right w:w="80" w:type="dxa"/>
            </w:tcMar>
          </w:tcPr>
          <w:p>
            <w:pPr>
              <w:spacing w:after="0" w:line="259" w:lineRule="auto"/>
              <w:jc w:val="left"/>
            </w:pPr>
            <w:r>
              <w:rPr>
                <w:b w:val="0"/>
                <w:sz w:val="18"/>
              </w:rPr>
              <w:t>FIRST_SAFE_BEST</w:t>
            </w:r>
          </w:p>
        </w:tc>
        <w:tc>
          <w:tcPr>
            <w:tcW w:type="dxa" w:w="935"/>
            <w:vAlign w:val="center"/>
            <w:tcMar>
              <w:top w:w="90" w:type="dxa"/>
              <w:bottom w:w="90" w:type="dxa"/>
              <w:left w:w="80" w:type="dxa"/>
              <w:right w:w="80" w:type="dxa"/>
            </w:tcMar>
          </w:tcPr>
          <w:p>
            <w:pPr>
              <w:spacing w:after="0" w:line="259" w:lineRule="auto"/>
              <w:jc w:val="center"/>
            </w:pPr>
            <w:r>
              <w:rPr>
                <w:b w:val="0"/>
                <w:sz w:val="18"/>
              </w:rPr>
              <w:t>3/3</w:t>
            </w:r>
          </w:p>
        </w:tc>
        <w:tc>
          <w:tcPr>
            <w:tcW w:type="dxa" w:w="822"/>
            <w:vAlign w:val="center"/>
            <w:tcMar>
              <w:top w:w="90" w:type="dxa"/>
              <w:bottom w:w="90" w:type="dxa"/>
              <w:left w:w="80" w:type="dxa"/>
              <w:right w:w="80" w:type="dxa"/>
            </w:tcMar>
          </w:tcPr>
          <w:p>
            <w:pPr>
              <w:spacing w:after="0" w:line="259" w:lineRule="auto"/>
              <w:jc w:val="center"/>
            </w:pPr>
            <w:r>
              <w:rPr>
                <w:b w:val="0"/>
                <w:sz w:val="18"/>
              </w:rPr>
              <w:t>2/3</w:t>
            </w:r>
          </w:p>
        </w:tc>
        <w:tc>
          <w:tcPr>
            <w:tcW w:type="dxa" w:w="1191"/>
            <w:vAlign w:val="center"/>
            <w:tcMar>
              <w:top w:w="90" w:type="dxa"/>
              <w:bottom w:w="90" w:type="dxa"/>
              <w:left w:w="80" w:type="dxa"/>
              <w:right w:w="80" w:type="dxa"/>
            </w:tcMar>
          </w:tcPr>
          <w:p>
            <w:pPr>
              <w:spacing w:after="0" w:line="259" w:lineRule="auto"/>
              <w:jc w:val="center"/>
            </w:pPr>
            <w:r>
              <w:rPr>
                <w:b w:val="0"/>
                <w:sz w:val="18"/>
              </w:rPr>
              <w:t>-7.75%</w:t>
            </w:r>
          </w:p>
        </w:tc>
        <w:tc>
          <w:tcPr>
            <w:tcW w:type="dxa" w:w="1134"/>
            <w:vAlign w:val="center"/>
            <w:tcMar>
              <w:top w:w="90" w:type="dxa"/>
              <w:bottom w:w="90" w:type="dxa"/>
              <w:left w:w="80" w:type="dxa"/>
              <w:right w:w="80" w:type="dxa"/>
            </w:tcMar>
          </w:tcPr>
          <w:p>
            <w:pPr>
              <w:spacing w:after="0" w:line="259" w:lineRule="auto"/>
              <w:jc w:val="center"/>
            </w:pPr>
            <w:r>
              <w:rPr>
                <w:b w:val="0"/>
                <w:sz w:val="18"/>
              </w:rPr>
              <w:t>89.24%</w:t>
            </w:r>
          </w:p>
        </w:tc>
        <w:tc>
          <w:tcPr>
            <w:tcW w:type="dxa" w:w="1701"/>
            <w:vAlign w:val="center"/>
            <w:tcMar>
              <w:top w:w="90" w:type="dxa"/>
              <w:bottom w:w="90" w:type="dxa"/>
              <w:left w:w="80" w:type="dxa"/>
              <w:right w:w="80" w:type="dxa"/>
            </w:tcMar>
          </w:tcPr>
          <w:p>
            <w:pPr>
              <w:spacing w:after="0" w:line="259" w:lineRule="auto"/>
              <w:jc w:val="center"/>
            </w:pPr>
            <w:r>
              <w:rPr>
                <w:b w:val="0"/>
                <w:sz w:val="18"/>
              </w:rPr>
              <w:t>-0.218%</w:t>
            </w:r>
          </w:p>
        </w:tc>
      </w:tr>
      <w:tr>
        <w:trPr>
          <w:cantSplit/>
        </w:trPr>
        <w:tc>
          <w:tcPr>
            <w:tcW w:type="dxa" w:w="737"/>
            <w:vAlign w:val="center"/>
            <w:tcMar>
              <w:top w:w="90" w:type="dxa"/>
              <w:bottom w:w="90" w:type="dxa"/>
              <w:left w:w="80" w:type="dxa"/>
              <w:right w:w="80" w:type="dxa"/>
            </w:tcMar>
          </w:tcPr>
          <w:p>
            <w:pPr>
              <w:spacing w:after="0" w:line="259" w:lineRule="auto"/>
              <w:jc w:val="center"/>
            </w:pPr>
            <w:r>
              <w:rPr>
                <w:b w:val="0"/>
                <w:sz w:val="18"/>
              </w:rPr>
              <w:t>确认</w:t>
            </w:r>
          </w:p>
        </w:tc>
        <w:tc>
          <w:tcPr>
            <w:tcW w:type="dxa" w:w="1984"/>
            <w:vAlign w:val="center"/>
            <w:tcMar>
              <w:top w:w="90" w:type="dxa"/>
              <w:bottom w:w="90" w:type="dxa"/>
              <w:left w:w="80" w:type="dxa"/>
              <w:right w:w="80" w:type="dxa"/>
            </w:tcMar>
          </w:tcPr>
          <w:p>
            <w:pPr>
              <w:spacing w:after="0" w:line="259" w:lineRule="auto"/>
              <w:jc w:val="left"/>
            </w:pPr>
            <w:r>
              <w:rPr>
                <w:b w:val="0"/>
                <w:sz w:val="18"/>
              </w:rPr>
              <w:t>NO_LOCAL</w:t>
            </w:r>
          </w:p>
        </w:tc>
        <w:tc>
          <w:tcPr>
            <w:tcW w:type="dxa" w:w="935"/>
            <w:vAlign w:val="center"/>
            <w:tcMar>
              <w:top w:w="90" w:type="dxa"/>
              <w:bottom w:w="90" w:type="dxa"/>
              <w:left w:w="80" w:type="dxa"/>
              <w:right w:w="80" w:type="dxa"/>
            </w:tcMar>
          </w:tcPr>
          <w:p>
            <w:pPr>
              <w:spacing w:after="0" w:line="259" w:lineRule="auto"/>
              <w:jc w:val="center"/>
            </w:pPr>
            <w:r>
              <w:rPr>
                <w:b w:val="0"/>
                <w:sz w:val="18"/>
              </w:rPr>
              <w:t>3/3</w:t>
            </w:r>
          </w:p>
        </w:tc>
        <w:tc>
          <w:tcPr>
            <w:tcW w:type="dxa" w:w="822"/>
            <w:vAlign w:val="center"/>
            <w:tcMar>
              <w:top w:w="90" w:type="dxa"/>
              <w:bottom w:w="90" w:type="dxa"/>
              <w:left w:w="80" w:type="dxa"/>
              <w:right w:w="80" w:type="dxa"/>
            </w:tcMar>
          </w:tcPr>
          <w:p>
            <w:pPr>
              <w:spacing w:after="0" w:line="259" w:lineRule="auto"/>
              <w:jc w:val="center"/>
            </w:pPr>
            <w:r>
              <w:rPr>
                <w:b w:val="0"/>
                <w:sz w:val="18"/>
              </w:rPr>
              <w:t>2/3</w:t>
            </w:r>
          </w:p>
        </w:tc>
        <w:tc>
          <w:tcPr>
            <w:tcW w:type="dxa" w:w="1191"/>
            <w:vAlign w:val="center"/>
            <w:tcMar>
              <w:top w:w="90" w:type="dxa"/>
              <w:bottom w:w="90" w:type="dxa"/>
              <w:left w:w="80" w:type="dxa"/>
              <w:right w:w="80" w:type="dxa"/>
            </w:tcMar>
          </w:tcPr>
          <w:p>
            <w:pPr>
              <w:spacing w:after="0" w:line="259" w:lineRule="auto"/>
              <w:jc w:val="center"/>
            </w:pPr>
            <w:r>
              <w:rPr>
                <w:b w:val="0"/>
                <w:sz w:val="18"/>
              </w:rPr>
              <w:t>9.38%</w:t>
            </w:r>
          </w:p>
        </w:tc>
        <w:tc>
          <w:tcPr>
            <w:tcW w:type="dxa" w:w="1134"/>
            <w:vAlign w:val="center"/>
            <w:tcMar>
              <w:top w:w="90" w:type="dxa"/>
              <w:bottom w:w="90" w:type="dxa"/>
              <w:left w:w="80" w:type="dxa"/>
              <w:right w:w="80" w:type="dxa"/>
            </w:tcMar>
          </w:tcPr>
          <w:p>
            <w:pPr>
              <w:spacing w:after="0" w:line="259" w:lineRule="auto"/>
              <w:jc w:val="center"/>
            </w:pPr>
            <w:r>
              <w:rPr>
                <w:b w:val="0"/>
                <w:sz w:val="18"/>
              </w:rPr>
              <w:t>84.02%</w:t>
            </w:r>
          </w:p>
        </w:tc>
        <w:tc>
          <w:tcPr>
            <w:tcW w:type="dxa" w:w="1701"/>
            <w:vAlign w:val="center"/>
            <w:tcMar>
              <w:top w:w="90" w:type="dxa"/>
              <w:bottom w:w="90" w:type="dxa"/>
              <w:left w:w="80" w:type="dxa"/>
              <w:right w:w="80" w:type="dxa"/>
            </w:tcMar>
          </w:tcPr>
          <w:p>
            <w:pPr>
              <w:spacing w:after="0" w:line="259" w:lineRule="auto"/>
              <w:jc w:val="center"/>
            </w:pPr>
            <w:r>
              <w:rPr>
                <w:b w:val="0"/>
                <w:sz w:val="18"/>
              </w:rPr>
              <w:t>+0.014%</w:t>
            </w:r>
          </w:p>
        </w:tc>
      </w:tr>
      <w:tr>
        <w:trPr>
          <w:cantSplit/>
        </w:trPr>
        <w:tc>
          <w:tcPr>
            <w:tcW w:type="dxa" w:w="737"/>
            <w:vAlign w:val="center"/>
            <w:tcMar>
              <w:top w:w="90" w:type="dxa"/>
              <w:bottom w:w="90" w:type="dxa"/>
              <w:left w:w="80" w:type="dxa"/>
              <w:right w:w="80" w:type="dxa"/>
            </w:tcMar>
          </w:tcPr>
          <w:p>
            <w:pPr>
              <w:spacing w:after="0" w:line="259" w:lineRule="auto"/>
              <w:jc w:val="center"/>
            </w:pPr>
            <w:r>
              <w:rPr>
                <w:b w:val="0"/>
                <w:sz w:val="18"/>
              </w:rPr>
              <w:t>确认</w:t>
            </w:r>
          </w:p>
        </w:tc>
        <w:tc>
          <w:tcPr>
            <w:tcW w:type="dxa" w:w="1984"/>
            <w:vAlign w:val="center"/>
            <w:tcMar>
              <w:top w:w="90" w:type="dxa"/>
              <w:bottom w:w="90" w:type="dxa"/>
              <w:left w:w="80" w:type="dxa"/>
              <w:right w:w="80" w:type="dxa"/>
            </w:tcMar>
          </w:tcPr>
          <w:p>
            <w:pPr>
              <w:spacing w:after="0" w:line="259" w:lineRule="auto"/>
              <w:jc w:val="left"/>
            </w:pPr>
            <w:r>
              <w:rPr>
                <w:b w:val="0"/>
                <w:sz w:val="18"/>
              </w:rPr>
              <w:t>FRAME</w:t>
            </w:r>
          </w:p>
        </w:tc>
        <w:tc>
          <w:tcPr>
            <w:tcW w:type="dxa" w:w="935"/>
            <w:vAlign w:val="center"/>
            <w:tcMar>
              <w:top w:w="90" w:type="dxa"/>
              <w:bottom w:w="90" w:type="dxa"/>
              <w:left w:w="80" w:type="dxa"/>
              <w:right w:w="80" w:type="dxa"/>
            </w:tcMar>
          </w:tcPr>
          <w:p>
            <w:pPr>
              <w:spacing w:after="0" w:line="259" w:lineRule="auto"/>
              <w:jc w:val="center"/>
            </w:pPr>
            <w:r>
              <w:rPr>
                <w:b w:val="0"/>
                <w:sz w:val="18"/>
              </w:rPr>
              <w:t>3/3</w:t>
            </w:r>
          </w:p>
        </w:tc>
        <w:tc>
          <w:tcPr>
            <w:tcW w:type="dxa" w:w="822"/>
            <w:vAlign w:val="center"/>
            <w:tcMar>
              <w:top w:w="90" w:type="dxa"/>
              <w:bottom w:w="90" w:type="dxa"/>
              <w:left w:w="80" w:type="dxa"/>
              <w:right w:w="80" w:type="dxa"/>
            </w:tcMar>
          </w:tcPr>
          <w:p>
            <w:pPr>
              <w:spacing w:after="0" w:line="259" w:lineRule="auto"/>
              <w:jc w:val="center"/>
            </w:pPr>
            <w:r>
              <w:rPr>
                <w:b w:val="0"/>
                <w:sz w:val="18"/>
              </w:rPr>
              <w:t>2/3</w:t>
            </w:r>
          </w:p>
        </w:tc>
        <w:tc>
          <w:tcPr>
            <w:tcW w:type="dxa" w:w="1191"/>
            <w:vAlign w:val="center"/>
            <w:tcMar>
              <w:top w:w="90" w:type="dxa"/>
              <w:bottom w:w="90" w:type="dxa"/>
              <w:left w:w="80" w:type="dxa"/>
              <w:right w:w="80" w:type="dxa"/>
            </w:tcMar>
          </w:tcPr>
          <w:p>
            <w:pPr>
              <w:spacing w:after="0" w:line="259" w:lineRule="auto"/>
              <w:jc w:val="center"/>
            </w:pPr>
            <w:r>
              <w:rPr>
                <w:b w:val="0"/>
                <w:sz w:val="18"/>
              </w:rPr>
              <w:t>6.09%</w:t>
            </w:r>
          </w:p>
        </w:tc>
        <w:tc>
          <w:tcPr>
            <w:tcW w:type="dxa" w:w="1134"/>
            <w:vAlign w:val="center"/>
            <w:tcMar>
              <w:top w:w="90" w:type="dxa"/>
              <w:bottom w:w="90" w:type="dxa"/>
              <w:left w:w="80" w:type="dxa"/>
              <w:right w:w="80" w:type="dxa"/>
            </w:tcMar>
          </w:tcPr>
          <w:p>
            <w:pPr>
              <w:spacing w:after="0" w:line="259" w:lineRule="auto"/>
              <w:jc w:val="center"/>
            </w:pPr>
            <w:r>
              <w:rPr>
                <w:b w:val="0"/>
                <w:sz w:val="18"/>
              </w:rPr>
              <w:t>83.54%</w:t>
            </w:r>
          </w:p>
        </w:tc>
        <w:tc>
          <w:tcPr>
            <w:tcW w:type="dxa" w:w="1701"/>
            <w:vAlign w:val="center"/>
            <w:tcMar>
              <w:top w:w="90" w:type="dxa"/>
              <w:bottom w:w="90" w:type="dxa"/>
              <w:left w:w="80" w:type="dxa"/>
              <w:right w:w="80" w:type="dxa"/>
            </w:tcMar>
          </w:tcPr>
          <w:p>
            <w:pPr>
              <w:spacing w:after="0" w:line="259" w:lineRule="auto"/>
              <w:jc w:val="center"/>
            </w:pPr>
            <w:r>
              <w:rPr>
                <w:b w:val="0"/>
                <w:sz w:val="18"/>
              </w:rPr>
              <w:t>+0.014%</w:t>
            </w:r>
          </w:p>
        </w:tc>
      </w:tr>
    </w:tbl>
    <w:p>
      <w:pPr>
        <w:spacing w:after="20"/>
      </w:pPr>
    </w:p>
    <w:p>
      <w:pPr>
        <w:ind w:firstLine="460"/>
      </w:pPr>
      <w:r>
        <w:rPr>
          <w:b w:val="0"/>
        </w:rPr>
        <w:t>FRAME 保留了 NO_LOCAL 开发阶段的大部分计算节省，同时把最坏完整周成本增幅从 4.810% 降至 0.372%，支持补全在该开发矩阵中具有修复作用。第 5 节的统一估计方法给出 13.11% 控制时间减少；历史开发报告中的 13.06% 则先计算每次重复的比例再取平均。0.0533 个百分点的差异来自聚合顺序变化，不是新增运行或改变质量裁决。</w:t>
      </w:r>
    </w:p>
    <w:p>
      <w:pPr>
        <w:ind w:firstLine="460"/>
      </w:pPr>
      <w:r>
        <w:rPr>
          <w:b w:val="0"/>
        </w:rPr>
        <w:t>冻结确认通过了约定的投资筛查，但只有三个日期，而且计时离散较大。表 2 给出 FRAME 的逐日期结果。查询减少 83.54% 是两个非零搜索日期的平均，不是三个日期的查询均值。</w:t>
      </w:r>
    </w:p>
    <w:p>
      <w:pPr>
        <w:keepNext/>
        <w:jc w:val="center"/>
      </w:pPr>
      <w:r>
        <w:rPr>
          <w:sz w:val="20"/>
        </w:rPr>
        <w:t>表 2 FRAME 的全部冻结确认日期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2381"/>
        <w:gridCol w:w="1701"/>
        <w:gridCol w:w="1701"/>
        <w:gridCol w:w="2268"/>
      </w:tblGrid>
      <w:tr>
        <w:trPr>
          <w:cantSplit/>
          <w:tblHeader/>
        </w:trPr>
        <w:tc>
          <w:tcPr>
            <w:tcW w:type="dxa" w:w="1361"/>
            <w:vAlign w:val="center"/>
            <w:tcMar>
              <w:top w:w="90" w:type="dxa"/>
              <w:bottom w:w="90" w:type="dxa"/>
              <w:left w:w="80" w:type="dxa"/>
              <w:right w:w="80" w:type="dxa"/>
            </w:tcMar>
            <w:shd w:fill="E9EDF2"/>
          </w:tcPr>
          <w:p>
            <w:pPr>
              <w:spacing w:after="0" w:line="259" w:lineRule="auto"/>
              <w:jc w:val="center"/>
            </w:pPr>
            <w:r>
              <w:rPr>
                <w:b/>
                <w:sz w:val="20"/>
              </w:rPr>
              <w:t>确认日期</w:t>
            </w:r>
          </w:p>
        </w:tc>
        <w:tc>
          <w:tcPr>
            <w:tcW w:type="dxa" w:w="2381"/>
            <w:vAlign w:val="center"/>
            <w:tcMar>
              <w:top w:w="90" w:type="dxa"/>
              <w:bottom w:w="90" w:type="dxa"/>
              <w:left w:w="80" w:type="dxa"/>
              <w:right w:w="80" w:type="dxa"/>
            </w:tcMar>
            <w:shd w:fill="E9EDF2"/>
          </w:tcPr>
          <w:p>
            <w:pPr>
              <w:spacing w:after="0" w:line="259" w:lineRule="auto"/>
              <w:jc w:val="left"/>
            </w:pPr>
            <w:r>
              <w:rPr>
                <w:b/>
                <w:sz w:val="20"/>
              </w:rPr>
              <w:t>FRAME 步数与完成情况</w:t>
            </w:r>
          </w:p>
        </w:tc>
        <w:tc>
          <w:tcPr>
            <w:tcW w:type="dxa" w:w="1701"/>
            <w:vAlign w:val="center"/>
            <w:tcMar>
              <w:top w:w="90" w:type="dxa"/>
              <w:bottom w:w="90" w:type="dxa"/>
              <w:left w:w="80" w:type="dxa"/>
              <w:right w:w="80" w:type="dxa"/>
            </w:tcMar>
            <w:shd w:fill="E9EDF2"/>
          </w:tcPr>
          <w:p>
            <w:pPr>
              <w:spacing w:after="0" w:line="259" w:lineRule="auto"/>
              <w:jc w:val="center"/>
            </w:pPr>
            <w:r>
              <w:rPr>
                <w:b/>
                <w:sz w:val="20"/>
              </w:rPr>
              <w:t>完整周成本变化</w:t>
            </w:r>
          </w:p>
        </w:tc>
        <w:tc>
          <w:tcPr>
            <w:tcW w:type="dxa" w:w="1701"/>
            <w:vAlign w:val="center"/>
            <w:tcMar>
              <w:top w:w="90" w:type="dxa"/>
              <w:bottom w:w="90" w:type="dxa"/>
              <w:left w:w="80" w:type="dxa"/>
              <w:right w:w="80" w:type="dxa"/>
            </w:tcMar>
            <w:shd w:fill="E9EDF2"/>
          </w:tcPr>
          <w:p>
            <w:pPr>
              <w:spacing w:after="0" w:line="259" w:lineRule="auto"/>
              <w:jc w:val="center"/>
            </w:pPr>
            <w:r>
              <w:rPr>
                <w:b/>
                <w:sz w:val="20"/>
              </w:rPr>
              <w:t>控制时间减少</w:t>
            </w:r>
          </w:p>
        </w:tc>
        <w:tc>
          <w:tcPr>
            <w:tcW w:type="dxa" w:w="2268"/>
            <w:vAlign w:val="center"/>
            <w:tcMar>
              <w:top w:w="90" w:type="dxa"/>
              <w:bottom w:w="90" w:type="dxa"/>
              <w:left w:w="80" w:type="dxa"/>
              <w:right w:w="80" w:type="dxa"/>
            </w:tcMar>
            <w:shd w:fill="E9EDF2"/>
          </w:tcPr>
          <w:p>
            <w:pPr>
              <w:spacing w:after="0" w:line="259" w:lineRule="auto"/>
              <w:jc w:val="center"/>
            </w:pPr>
            <w:r>
              <w:rPr>
                <w:b/>
                <w:sz w:val="20"/>
              </w:rPr>
              <w:t>查询数 FULL 到 FRAME</w:t>
            </w:r>
          </w:p>
        </w:tc>
      </w:tr>
      <w:tr>
        <w:trPr>
          <w:cantSplit/>
        </w:trPr>
        <w:tc>
          <w:tcPr>
            <w:tcW w:type="dxa" w:w="1361"/>
            <w:vAlign w:val="center"/>
            <w:tcMar>
              <w:top w:w="90" w:type="dxa"/>
              <w:bottom w:w="90" w:type="dxa"/>
              <w:left w:w="80" w:type="dxa"/>
              <w:right w:w="80" w:type="dxa"/>
            </w:tcMar>
          </w:tcPr>
          <w:p>
            <w:pPr>
              <w:spacing w:after="0" w:line="259" w:lineRule="auto"/>
              <w:jc w:val="center"/>
            </w:pPr>
            <w:r>
              <w:rPr>
                <w:b w:val="0"/>
                <w:sz w:val="20"/>
              </w:rPr>
              <w:t>4 月 9 日</w:t>
            </w:r>
          </w:p>
        </w:tc>
        <w:tc>
          <w:tcPr>
            <w:tcW w:type="dxa" w:w="2381"/>
            <w:vAlign w:val="center"/>
            <w:tcMar>
              <w:top w:w="90" w:type="dxa"/>
              <w:bottom w:w="90" w:type="dxa"/>
              <w:left w:w="80" w:type="dxa"/>
              <w:right w:w="80" w:type="dxa"/>
            </w:tcMar>
          </w:tcPr>
          <w:p>
            <w:pPr>
              <w:spacing w:after="0" w:line="259" w:lineRule="auto"/>
              <w:jc w:val="left"/>
            </w:pPr>
            <w:r>
              <w:rPr>
                <w:b w:val="0"/>
                <w:sz w:val="20"/>
              </w:rPr>
              <w:t>2017 步 完成</w:t>
            </w:r>
          </w:p>
        </w:tc>
        <w:tc>
          <w:tcPr>
            <w:tcW w:type="dxa" w:w="1701"/>
            <w:vAlign w:val="center"/>
            <w:tcMar>
              <w:top w:w="90" w:type="dxa"/>
              <w:bottom w:w="90" w:type="dxa"/>
              <w:left w:w="80" w:type="dxa"/>
              <w:right w:w="80" w:type="dxa"/>
            </w:tcMar>
          </w:tcPr>
          <w:p>
            <w:pPr>
              <w:spacing w:after="0" w:line="259" w:lineRule="auto"/>
              <w:jc w:val="center"/>
            </w:pPr>
            <w:r>
              <w:rPr>
                <w:b w:val="0"/>
                <w:sz w:val="20"/>
              </w:rPr>
              <w:t>-1.328%</w:t>
            </w:r>
          </w:p>
        </w:tc>
        <w:tc>
          <w:tcPr>
            <w:tcW w:type="dxa" w:w="1701"/>
            <w:vAlign w:val="center"/>
            <w:tcMar>
              <w:top w:w="90" w:type="dxa"/>
              <w:bottom w:w="90" w:type="dxa"/>
              <w:left w:w="80" w:type="dxa"/>
              <w:right w:w="80" w:type="dxa"/>
            </w:tcMar>
          </w:tcPr>
          <w:p>
            <w:pPr>
              <w:spacing w:after="0" w:line="259" w:lineRule="auto"/>
              <w:jc w:val="center"/>
            </w:pPr>
            <w:r>
              <w:rPr>
                <w:b w:val="0"/>
                <w:sz w:val="20"/>
              </w:rPr>
              <w:t>4.080%</w:t>
            </w:r>
          </w:p>
        </w:tc>
        <w:tc>
          <w:tcPr>
            <w:tcW w:type="dxa" w:w="2268"/>
            <w:vAlign w:val="center"/>
            <w:tcMar>
              <w:top w:w="90" w:type="dxa"/>
              <w:bottom w:w="90" w:type="dxa"/>
              <w:left w:w="80" w:type="dxa"/>
              <w:right w:w="80" w:type="dxa"/>
            </w:tcMar>
          </w:tcPr>
          <w:p>
            <w:pPr>
              <w:spacing w:after="0" w:line="259" w:lineRule="auto"/>
              <w:jc w:val="center"/>
            </w:pPr>
            <w:r>
              <w:rPr>
                <w:b w:val="0"/>
                <w:sz w:val="20"/>
              </w:rPr>
              <w:t>5445 → 1012</w:t>
            </w:r>
          </w:p>
        </w:tc>
      </w:tr>
      <w:tr>
        <w:trPr>
          <w:cantSplit/>
        </w:trPr>
        <w:tc>
          <w:tcPr>
            <w:tcW w:type="dxa" w:w="1361"/>
            <w:vAlign w:val="center"/>
            <w:tcMar>
              <w:top w:w="90" w:type="dxa"/>
              <w:bottom w:w="90" w:type="dxa"/>
              <w:left w:w="80" w:type="dxa"/>
              <w:right w:w="80" w:type="dxa"/>
            </w:tcMar>
          </w:tcPr>
          <w:p>
            <w:pPr>
              <w:spacing w:after="0" w:line="259" w:lineRule="auto"/>
              <w:jc w:val="center"/>
            </w:pPr>
            <w:r>
              <w:rPr>
                <w:b w:val="0"/>
                <w:sz w:val="20"/>
              </w:rPr>
              <w:t>5 月 14 日</w:t>
            </w:r>
          </w:p>
        </w:tc>
        <w:tc>
          <w:tcPr>
            <w:tcW w:type="dxa" w:w="2381"/>
            <w:vAlign w:val="center"/>
            <w:tcMar>
              <w:top w:w="90" w:type="dxa"/>
              <w:bottom w:w="90" w:type="dxa"/>
              <w:left w:w="80" w:type="dxa"/>
              <w:right w:w="80" w:type="dxa"/>
            </w:tcMar>
          </w:tcPr>
          <w:p>
            <w:pPr>
              <w:spacing w:after="0" w:line="259" w:lineRule="auto"/>
              <w:jc w:val="left"/>
            </w:pPr>
            <w:r>
              <w:rPr>
                <w:b w:val="0"/>
                <w:sz w:val="20"/>
              </w:rPr>
              <w:t>747 步 失败</w:t>
            </w:r>
          </w:p>
        </w:tc>
        <w:tc>
          <w:tcPr>
            <w:tcW w:type="dxa" w:w="1701"/>
            <w:vAlign w:val="center"/>
            <w:tcMar>
              <w:top w:w="90" w:type="dxa"/>
              <w:bottom w:w="90" w:type="dxa"/>
              <w:left w:w="80" w:type="dxa"/>
              <w:right w:w="80" w:type="dxa"/>
            </w:tcMar>
          </w:tcPr>
          <w:p>
            <w:pPr>
              <w:spacing w:after="0" w:line="259" w:lineRule="auto"/>
              <w:jc w:val="center"/>
            </w:pPr>
            <w:r>
              <w:rPr>
                <w:b w:val="0"/>
                <w:sz w:val="20"/>
              </w:rPr>
              <w:t>不可比较</w:t>
            </w:r>
          </w:p>
        </w:tc>
        <w:tc>
          <w:tcPr>
            <w:tcW w:type="dxa" w:w="1701"/>
            <w:vAlign w:val="center"/>
            <w:tcMar>
              <w:top w:w="90" w:type="dxa"/>
              <w:bottom w:w="90" w:type="dxa"/>
              <w:left w:w="80" w:type="dxa"/>
              <w:right w:w="80" w:type="dxa"/>
            </w:tcMar>
          </w:tcPr>
          <w:p>
            <w:pPr>
              <w:spacing w:after="0" w:line="259" w:lineRule="auto"/>
              <w:jc w:val="center"/>
            </w:pPr>
            <w:r>
              <w:rPr>
                <w:b w:val="0"/>
                <w:sz w:val="20"/>
              </w:rPr>
              <w:t>1.758%</w:t>
            </w:r>
          </w:p>
        </w:tc>
        <w:tc>
          <w:tcPr>
            <w:tcW w:type="dxa" w:w="2268"/>
            <w:vAlign w:val="center"/>
            <w:tcMar>
              <w:top w:w="90" w:type="dxa"/>
              <w:bottom w:w="90" w:type="dxa"/>
              <w:left w:w="80" w:type="dxa"/>
              <w:right w:w="80" w:type="dxa"/>
            </w:tcMar>
          </w:tcPr>
          <w:p>
            <w:pPr>
              <w:spacing w:after="0" w:line="259" w:lineRule="auto"/>
              <w:jc w:val="center"/>
            </w:pPr>
            <w:r>
              <w:rPr>
                <w:b w:val="0"/>
                <w:sz w:val="20"/>
              </w:rPr>
              <w:t>0 → 0</w:t>
            </w:r>
          </w:p>
        </w:tc>
      </w:tr>
      <w:tr>
        <w:trPr>
          <w:cantSplit/>
        </w:trPr>
        <w:tc>
          <w:tcPr>
            <w:tcW w:type="dxa" w:w="1361"/>
            <w:vAlign w:val="center"/>
            <w:tcMar>
              <w:top w:w="90" w:type="dxa"/>
              <w:bottom w:w="90" w:type="dxa"/>
              <w:left w:w="80" w:type="dxa"/>
              <w:right w:w="80" w:type="dxa"/>
            </w:tcMar>
          </w:tcPr>
          <w:p>
            <w:pPr>
              <w:spacing w:after="0" w:line="259" w:lineRule="auto"/>
              <w:jc w:val="center"/>
            </w:pPr>
            <w:r>
              <w:rPr>
                <w:b w:val="0"/>
                <w:sz w:val="20"/>
              </w:rPr>
              <w:t>11 月 19 日</w:t>
            </w:r>
          </w:p>
        </w:tc>
        <w:tc>
          <w:tcPr>
            <w:tcW w:type="dxa" w:w="2381"/>
            <w:vAlign w:val="center"/>
            <w:tcMar>
              <w:top w:w="90" w:type="dxa"/>
              <w:bottom w:w="90" w:type="dxa"/>
              <w:left w:w="80" w:type="dxa"/>
              <w:right w:w="80" w:type="dxa"/>
            </w:tcMar>
          </w:tcPr>
          <w:p>
            <w:pPr>
              <w:spacing w:after="0" w:line="259" w:lineRule="auto"/>
              <w:jc w:val="left"/>
            </w:pPr>
            <w:r>
              <w:rPr>
                <w:b w:val="0"/>
                <w:sz w:val="20"/>
              </w:rPr>
              <w:t>2017 步 完成</w:t>
            </w:r>
          </w:p>
        </w:tc>
        <w:tc>
          <w:tcPr>
            <w:tcW w:type="dxa" w:w="1701"/>
            <w:vAlign w:val="center"/>
            <w:tcMar>
              <w:top w:w="90" w:type="dxa"/>
              <w:bottom w:w="90" w:type="dxa"/>
              <w:left w:w="80" w:type="dxa"/>
              <w:right w:w="80" w:type="dxa"/>
            </w:tcMar>
          </w:tcPr>
          <w:p>
            <w:pPr>
              <w:spacing w:after="0" w:line="259" w:lineRule="auto"/>
              <w:jc w:val="center"/>
            </w:pPr>
            <w:r>
              <w:rPr>
                <w:b w:val="0"/>
                <w:sz w:val="20"/>
              </w:rPr>
              <w:t>+0.014%</w:t>
            </w:r>
          </w:p>
        </w:tc>
        <w:tc>
          <w:tcPr>
            <w:tcW w:type="dxa" w:w="1701"/>
            <w:vAlign w:val="center"/>
            <w:tcMar>
              <w:top w:w="90" w:type="dxa"/>
              <w:bottom w:w="90" w:type="dxa"/>
              <w:left w:w="80" w:type="dxa"/>
              <w:right w:w="80" w:type="dxa"/>
            </w:tcMar>
          </w:tcPr>
          <w:p>
            <w:pPr>
              <w:spacing w:after="0" w:line="259" w:lineRule="auto"/>
              <w:jc w:val="center"/>
            </w:pPr>
            <w:r>
              <w:rPr>
                <w:b w:val="0"/>
                <w:sz w:val="20"/>
              </w:rPr>
              <w:t>12.419%</w:t>
            </w:r>
          </w:p>
        </w:tc>
        <w:tc>
          <w:tcPr>
            <w:tcW w:type="dxa" w:w="2268"/>
            <w:vAlign w:val="center"/>
            <w:tcMar>
              <w:top w:w="90" w:type="dxa"/>
              <w:bottom w:w="90" w:type="dxa"/>
              <w:left w:w="80" w:type="dxa"/>
              <w:right w:w="80" w:type="dxa"/>
            </w:tcMar>
          </w:tcPr>
          <w:p>
            <w:pPr>
              <w:spacing w:after="0" w:line="259" w:lineRule="auto"/>
              <w:jc w:val="center"/>
            </w:pPr>
            <w:r>
              <w:rPr>
                <w:b w:val="0"/>
                <w:sz w:val="20"/>
              </w:rPr>
              <w:t>2680 → 384</w:t>
            </w:r>
          </w:p>
        </w:tc>
      </w:tr>
    </w:tbl>
    <w:p>
      <w:pPr>
        <w:spacing w:after="20"/>
      </w:pPr>
    </w:p>
    <w:p>
      <w:pPr>
        <w:ind w:firstLine="460"/>
      </w:pPr>
      <w:r>
        <w:rPr>
          <w:b w:val="0"/>
        </w:rPr>
        <w:t>开发组 6 月日期的共同失败发生在第 1901 步，确认组 5 月日期的共同失败发生在第 747 步。在这些矩阵中，FRAME 没有引入更早失败；但通过相对筛查，不意味着它成功控制了所有完整周。</w:t>
      </w:r>
    </w:p>
    <w:p>
      <w:pPr>
        <w:pStyle w:val="Heading2"/>
      </w:pPr>
      <w:r>
        <w:t>6.2 补全修复了什么</w:t>
      </w:r>
    </w:p>
    <w:p>
      <w:pPr>
        <w:ind w:firstLine="460"/>
      </w:pPr>
      <w:r>
        <w:rPr>
          <w:b w:val="0"/>
        </w:rPr>
        <w:t>在 3 月开发日期，NO_LOCAL 的完整周成本比 FULL 高 4.810%，FRAME 则高 0.372%。在有记录可查的第 1733 步，NO_LOCAL 查询 256 次后停止，选择动作 26。补全当前最佳候选所在的变电站，增加 198 次查询后选中动作 309，与 FULL 评估 909 次后的选择相同。因此，结构邻域中确实存在一个有影响、却未被全局平台停止规则检查的配置。这支持“遗漏局部配置”的机制，但不能证明所有后续成本差都由这一个决策导致。</w:t>
      </w:r>
    </w:p>
    <w:p>
      <w:pPr>
        <w:ind w:firstLine="460"/>
      </w:pPr>
      <w:r>
        <w:rPr>
          <w:b w:val="0"/>
        </w:rPr>
        <w:t>保存状态资格检查准确复现了此前 90 次 FRAME 调用，补全在其中 12 次改变动作选择。这些调用是机制检查，不是 90 个独立运行样本。开发效果主要集中在 3 月日期族。在新的 4 月日期，补全相对 NO_LOCAL 的完整周成本改善只有 FULL 成本的 0.00782%；11 月没有触发补全，FRAME 与 NO_LOCAL 的成本和物理轨迹相同。因此，确认组没有复现一个较大的局部补全质量事件。</w:t>
      </w:r>
    </w:p>
    <w:p>
      <w:pPr>
        <w:ind w:firstLine="460"/>
      </w:pPr>
      <w:r>
        <w:rPr>
          <w:b w:val="0"/>
        </w:rPr>
        <w:t>消融也显示了代价。加入补全后，相对 NO_LOCAL 的控制时间减少幅度在开发组小了 1.15 个百分点，在确认组小了 3.30 个百分点。补全需要额外工作。不变量与实验都不能支持“修复是免费的”这一表述。</w:t>
      </w:r>
    </w:p>
    <w:p>
      <w:pPr>
        <w:pStyle w:val="Heading2"/>
      </w:pPr>
      <w:r>
        <w:t>6.3 首个安全候选参照与计时波动</w:t>
      </w:r>
    </w:p>
    <w:p>
      <w:pPr>
        <w:ind w:firstLine="460"/>
      </w:pPr>
      <w:r>
        <w:rPr>
          <w:b w:val="0"/>
        </w:rPr>
        <w:t>FIRST_SAFE_BEST 在开发组四个日期中的两个未通过质量筛查，却在全部三个确认日期通过。在开发组 9 月日期，它的成本比 FRAME 低 FULL 成本的 0.729%。10 月的首个安全候选成本增幅为 0.519%，接近预设 0.5% 阈值；我们保留这个结果，不把轻微越线解释成严重的实际失败。</w:t>
      </w:r>
    </w:p>
    <w:p>
      <w:pPr>
        <w:ind w:firstLine="460"/>
      </w:pPr>
      <w:r>
        <w:rPr>
          <w:b w:val="0"/>
        </w:rPr>
        <w:t>确认组汇总中，首个安全候选的计时比 FULL 慢，是因为 5 月重复时间波动很大，尽管该周根本没有调用拓扑搜索。因此，不能把这段时间差归因于首个安全候选搜索。在两个实际调用搜索的日期上，事后描述性计算给出的控制时间减少分别为：FIRST_SAFE_BEST 11.92%，FRAME 8.25%。这个子集计算不替代冻结的全部日期主估计，却说明首个安全候选策略是有竞争力的替代方案。我们不声称 FRAME 始终优于它。</w:t>
      </w:r>
    </w:p>
    <w:p>
      <w:pPr>
        <w:ind w:firstLine="460"/>
      </w:pPr>
      <w:r>
        <w:rPr>
          <w:b w:val="0"/>
        </w:rPr>
        <w:t>同一方法、同一日期的重复物理轨迹一致，但实际时间仍可能不同。4 月 FRAME 的两次控制时间为 76.28 和 44.73 秒；5 月 FIRST_SAFE_BEST 为 13.43 和 6.84 秒。进程 CPU 时间，以及连续优化和编译时间也有波动，但审计的求解器总迭代数一致。没有观察到电源挂起事件，不过瞬时负载和频率原因没有被独立测量。所有重复都保留，计时按实际点估计报告。当前实验没有建立统计可靠、普遍成立的控制提速结论。</w:t>
      </w:r>
    </w:p>
    <w:p>
      <w:pPr>
        <w:pStyle w:val="Heading2"/>
      </w:pPr>
      <w:r>
        <w:t>6.4 排序与实现的贡献归属</w:t>
      </w:r>
    </w:p>
    <w:p>
      <w:pPr>
        <w:ind w:firstLine="460"/>
      </w:pPr>
      <w:r>
        <w:rPr>
          <w:b w:val="0"/>
        </w:rPr>
        <w:t>共同排序矩阵表明，本文框架的已报告行为不需要新训练图排序器。历史 GNN、PPO 和 SoftGNN 适配仍作为补充系统证据保留，但实验角色不同，没有并入本次确认。后续模型修订未建立相对较强作者频次排序的稳定增量，因此将排序视为可替换的辅助组件。</w:t>
      </w:r>
    </w:p>
    <w:p>
      <w:pPr>
        <w:ind w:firstLine="460"/>
      </w:pPr>
      <w:r>
        <w:rPr>
          <w:b w:val="0"/>
        </w:rPr>
        <w:t>编译复用具有单独的工程收益，也对适用策略对称提供。相对无缓存控制器测得的百分比，不能加到表 1 的搜索减少比例上。这个区分很重要：集成控制器可能因为与图表示或本文补全规则无关的原因变快。</w:t>
      </w:r>
    </w:p>
    <w:p>
      <w:pPr>
        <w:ind w:firstLine="460"/>
      </w:pPr>
      <w:r>
        <w:rPr>
          <w:b w:val="0"/>
        </w:rPr>
        <w:t>开发审计检查了 63,616 条保存物理记录和 70,358 项匹配查询反馈；确认审计检查了 38,248 条记录和 21,416 项反馈。开发的全部 16 个、确认的全部 12 个“方法与日期”组合，其重复物理路径都一致。这些审计支持账目和实现的一致性，既没有增加独立日期数，也不构成独立物理求解器验证。</w:t>
      </w:r>
    </w:p>
    <w:p>
      <w:pPr>
        <w:pStyle w:val="Heading1"/>
      </w:pPr>
      <w:r>
        <w:t>7 讨论与局限</w:t>
      </w:r>
    </w:p>
    <w:p>
      <w:pPr>
        <w:ind w:firstLine="460"/>
      </w:pPr>
      <w:r>
        <w:rPr>
          <w:b w:val="0"/>
        </w:rPr>
        <w:t>结果支持一个受限的设计认识：当排序动作将同一结构单元的不同配置分散排列时，全局停止规则可能留下尚未比较充分的局部选择。补全这一单元，有机会在不恢复完整全局评估的情况下，找回更好的已观测动作。在本文应用中，该单元是变电站，完整周收益最明确地出现在一个开发日期。若将这一认识用于其他任务，需要合理定义邻域并进行闭环评估，而不能把“补全”作为通用保证。</w:t>
      </w:r>
    </w:p>
    <w:p>
      <w:pPr>
        <w:ind w:firstLine="460"/>
      </w:pPr>
      <w:r>
        <w:rPr>
          <w:b w:val="0"/>
        </w:rPr>
        <w:t>最主要的未解决比较，是与便宜的首个安全候选停止相比。该策略在部分日期更强，也满足新日期的质量筛查。因此，本文支持相对完整搜索的一种质量与计算权衡，以及一个具体的修复机制，不支持存在普遍最优的控制器。参数稳健性尚未建立；冻结常数是工程选择，而不是最优搜索日程。</w:t>
      </w:r>
    </w:p>
    <w:p>
      <w:pPr>
        <w:ind w:firstLine="460"/>
      </w:pPr>
      <w:r>
        <w:rPr>
          <w:b w:val="0"/>
        </w:rPr>
        <w:t>实验只覆盖一个电网和较小的本地日期池。留出限制针对我们的训练与调参，不覆盖外部动作先验中未知的日期暴露。按照实验设计，运行长度相同的完整周成本比较不包括未完成周；共同失败仍未解决。较大的计时变异限制了时间主张的强度。该方法没有全局搜索最优性、闭环安全或硬实时保证，最坏查询数仍可能达到完整搜索。</w:t>
      </w:r>
    </w:p>
    <w:p>
      <w:pPr>
        <w:pStyle w:val="Heading1"/>
      </w:pPr>
      <w:r>
        <w:t>8 结论</w:t>
      </w:r>
    </w:p>
    <w:p>
      <w:pPr>
        <w:ind w:firstLine="460"/>
      </w:pPr>
      <w:r>
        <w:rPr>
          <w:b w:val="0"/>
        </w:rPr>
        <w:t>本文在既有混合电网控制器中研究渐进拓扑评估与当前最佳候选的变电站补全。策略只使用实际派发的反馈，在补全过程中保留此前最佳候选的已观测选择键，并明确计算额外局部查询。受控开发实验识别了遗漏局部配置的失败，并显示一种有用的质量与计算权衡；小规模冻结确认保留了相对完整搜索的查询节省和实际时间节省。首个安全候选的竞争结果、共同失败和计时变异共同界定了这个结论。本文贡献是具体搜索框架与机制分析，学习排序可作为辅助组件。</w:t>
      </w:r>
    </w:p>
    <w:p>
      <w:pPr>
        <w:pStyle w:val="Heading1"/>
      </w:pPr>
      <w:r>
        <w:t>社会影响与材料可用性</w:t>
      </w:r>
    </w:p>
    <w:p>
      <w:pPr>
        <w:ind w:firstLine="460"/>
      </w:pPr>
      <w:r>
        <w:rPr>
          <w:b w:val="0"/>
        </w:rPr>
        <w:t>这是一项基于仿真的决策支持研究。预测可接纳性与相对成本筛查，不授权将方法部署到实际电网，也不认证事故情况下的安全。实际部署仍需独立安全评估、运行规则验证和操作员监督。现有证据包包含源码与配置哈希、全部逐次结果、候选查询日志和保存的物理向量。制作匿名且依赖清楚的发布材料仍是投稿准备的一部分；源码或表格复算收据不等于独立完整仿真复现。</w:t>
      </w:r>
    </w:p>
    <w:p>
      <w:pPr>
        <w:pStyle w:val="Heading1"/>
      </w:pPr>
      <w:r>
        <w:t>参考文献</w:t>
      </w:r>
    </w:p>
    <w:p>
      <w:pPr>
        <w:spacing w:line="264" w:lineRule="auto"/>
      </w:pPr>
      <w:r>
        <w:rPr>
          <w:b w:val="0"/>
          <w:sz w:val="19"/>
        </w:rPr>
        <w:t>[1] RTE France. Grid2Op: A testbed for sequential decision making in power systems. Official software; installed version 1.12.5. https://github.com/rte-france/Grid2Op.</w:t>
      </w:r>
    </w:p>
    <w:p>
      <w:pPr>
        <w:spacing w:line="264" w:lineRule="auto"/>
      </w:pPr>
      <w:r>
        <w:rPr>
          <w:b w:val="0"/>
          <w:sz w:val="19"/>
        </w:rPr>
        <w:t>[2] Lajavaness. 2023. L2RPN 2023 LJN Agent. Official source implementation. https://github.com/lajavaness/l2rpn-2023-ljn-agent.</w:t>
      </w:r>
    </w:p>
    <w:p>
      <w:pPr>
        <w:spacing w:line="264" w:lineRule="auto"/>
      </w:pPr>
      <w:r>
        <w:rPr>
          <w:b w:val="0"/>
          <w:sz w:val="19"/>
        </w:rPr>
        <w:t>[3] Hassouna, M.; Holzhüter, C.; Lehna, M.; de Jong, M.; Viebahn, J.; Sick, B.; and Scholz, C. 2025. Learning Topology Actions for Power Grid Control: A Graph-Based Soft-Label Imitation Learning Approach. In Machine Learning and Knowledge Discovery in Databases. Applied Data Science Track and Demo Track, volume 16022, 129--146. DOI: 10.1007/978-3-032-06129-4_8.</w:t>
      </w:r>
    </w:p>
    <w:p>
      <w:pPr>
        <w:spacing w:line="264" w:lineRule="auto"/>
      </w:pPr>
      <w:r>
        <w:rPr>
          <w:b w:val="0"/>
          <w:sz w:val="19"/>
        </w:rPr>
        <w:t>[4] de Jong, M.; Viebahn, J.; and Shapovalova, Y. 2025. Generalizable Graph Neural Networks for Robust Power Grid Topology Control. arXiv:2501.07186v1. 本文方法讨论对应这一具体版本；后续改题版本不计为另一篇工作。</w:t>
      </w:r>
    </w:p>
    <w:p>
      <w:pPr>
        <w:spacing w:line="264" w:lineRule="auto"/>
      </w:pPr>
      <w:r>
        <w:rPr>
          <w:b w:val="0"/>
          <w:sz w:val="19"/>
        </w:rPr>
        <w:t>[5] Bhatia, A.; Svegliato, J.; Nashed, S. B.; and Zilberstein, S. 2022. Tuning the Hyperparameters of Anytime Planning: A Metareasoning Approach with Deep Reinforcement Learning. Proceedings of ICAPS 32:556--564. DOI: 10.1609/icaps.v32i1.19842.</w:t>
      </w:r>
    </w:p>
    <w:p>
      <w:pPr>
        <w:spacing w:line="264" w:lineRule="auto"/>
      </w:pPr>
      <w:r>
        <w:rPr>
          <w:b w:val="0"/>
          <w:sz w:val="19"/>
        </w:rPr>
        <w:t>[6] Milli, S.; Lieder, F.; and Griffiths, T. 2017. When Does Bounded-Optimal Metareasoning Favor Few Cognitive Systems? Proceedings of AAAI 31. DOI: 10.1609/aaai.v31i1.11156.</w:t>
      </w:r>
    </w:p>
    <w:sectPr w:rsidR="00FC693F" w:rsidRPr="0006063C" w:rsidSect="00034616">
      <w:footerReference w:type="default" r:id="rId10"/>
      <w:pgSz w:w="11906" w:h="16838"/>
      <w:pgMar w:top="1162" w:right="1191" w:bottom="1162" w:left="1191" w:header="454"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Times New Roman" w:hAnsi="Times New Roman" w:eastAsia="宋体"/>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Times New Roman" w:hAnsi="Times New Roman" w:eastAsia="黑体"/>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Times New Roman" w:hAnsi="Times New Roman" w:eastAsia="黑体"/>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基于变电站补全的电网渐进拓扑搜索</dc:title>
  <dc:subject>ICAPS 2027 中文作者重写稿</dc:subject>
  <dc:creator/>
  <cp:keywords>拓扑搜索 变电站补全 电网控制</cp:keywords>
  <dc:description>generated by python-docx</dc:description>
  <cp:lastModifiedBy/>
  <cp:revision>1</cp:revision>
  <dcterms:created xsi:type="dcterms:W3CDTF">2013-12-23T23:15:00Z</dcterms:created>
  <dcterms:modified xsi:type="dcterms:W3CDTF">2013-12-23T23:15:00Z</dcterms:modified>
  <cp:category/>
</cp:coreProperties>
</file>