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pPr>
      <w:r>
        <w:rPr>
          <w:rFonts w:ascii="Microsoft YaHei" w:hAnsi="Microsoft YaHei" w:eastAsia="Microsoft YaHei"/>
          <w:b/>
          <w:color w:val="17324D"/>
          <w:sz w:val="50"/>
        </w:rPr>
        <w:t>星序 MVP 需求基线</w:t>
      </w:r>
    </w:p>
    <w:p>
      <w:pPr>
        <w:pStyle w:val="Subtitle"/>
        <w:spacing w:after="200"/>
      </w:pPr>
      <w:r>
        <w:rPr>
          <w:rFonts w:ascii="Microsoft YaHei" w:hAnsi="Microsoft YaHei" w:eastAsia="Microsoft YaHei"/>
          <w:color w:val="536273"/>
          <w:sz w:val="23"/>
        </w:rPr>
        <w:t>艺人演出与开票信息查询及提醒</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rPr>
        <w:tc>
          <w:tcPr>
            <w:tcW w:type="dxa" w:w="1440"/>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文档版本</w:t>
            </w:r>
          </w:p>
        </w:tc>
        <w:tc>
          <w:tcPr>
            <w:tcW w:type="dxa" w:w="2232"/>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状态</w:t>
            </w:r>
          </w:p>
        </w:tc>
        <w:tc>
          <w:tcPr>
            <w:tcW w:type="dxa" w:w="3528"/>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项目基础</w:t>
            </w:r>
          </w:p>
        </w:tc>
        <w:tc>
          <w:tcPr>
            <w:tcW w:type="dxa" w:w="2088"/>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日期</w:t>
            </w:r>
          </w:p>
        </w:tc>
      </w:tr>
      <w:tr>
        <w:trPr>
          <w:cantSplit/>
        </w:trPr>
        <w:tc>
          <w:tcPr>
            <w:tcW w:type="dxa" w:w="144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0.1</w:t>
            </w:r>
          </w:p>
        </w:tc>
        <w:tc>
          <w:tcPr>
            <w:tcW w:type="dxa" w:w="2232"/>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跨职能评审稿</w:t>
            </w:r>
          </w:p>
        </w:tc>
        <w:tc>
          <w:tcPr>
            <w:tcW w:type="dxa" w:w="352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基于 cjxAgent</w:t>
            </w:r>
          </w:p>
        </w:tc>
        <w:tc>
          <w:tcPr>
            <w:tcW w:type="dxa" w:w="20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2026-10-21</w:t>
            </w:r>
          </w:p>
        </w:tc>
      </w:tr>
    </w:tbl>
    <w:p>
      <w:pPr>
        <w:spacing w:before="0" w:after="0" w:line="60" w:lineRule="exact"/>
      </w:pPr>
      <w:r>
        <w:rPr>
          <w:sz w:val="2"/>
        </w:rPr>
      </w:r>
    </w:p>
    <w:p>
      <w:pPr>
        <w:spacing w:after="140" w:line="276" w:lineRule="auto"/>
      </w:pPr>
      <w:r>
        <w:rPr>
          <w:rFonts w:ascii="Microsoft YaHei" w:hAnsi="Microsoft YaHei" w:eastAsia="Microsoft YaHei"/>
          <w:color w:val="17324D"/>
          <w:sz w:val="20"/>
        </w:rPr>
        <w:t>本文定义星序首期围绕艺人演出或开票信息的查询与提醒范围。核心闭环是：用户查询信息、核对来源、创建提醒，并可取消提醒；未公布的信息明确显示“待公布”。本稿把已确认的 MVP 方向与仍需评审的规则分开列出，供产品、研发、设计和测试共同确认。</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1800"/>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标记</w:t>
            </w:r>
          </w:p>
        </w:tc>
        <w:tc>
          <w:tcPr>
            <w:tcW w:type="dxa" w:w="7488"/>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含义</w:t>
            </w:r>
          </w:p>
        </w:tc>
      </w:tr>
      <w:tr>
        <w:trPr>
          <w:cantSplit/>
        </w:trPr>
        <w:tc>
          <w:tcPr>
            <w:tcW w:type="dxa" w:w="1800"/>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28734D"/>
                <w:sz w:val="18"/>
              </w:rPr>
              <w:t>已确认</w:t>
            </w:r>
          </w:p>
        </w:tc>
        <w:tc>
          <w:tcPr>
            <w:tcW w:type="dxa" w:w="74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用户已明确选择的 MVP 需求。</w:t>
            </w:r>
          </w:p>
        </w:tc>
      </w:tr>
      <w:tr>
        <w:trPr>
          <w:cantSplit/>
        </w:trPr>
        <w:tc>
          <w:tcPr>
            <w:tcW w:type="dxa" w:w="180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9A641A"/>
                <w:sz w:val="18"/>
              </w:rPr>
              <w:t>引用初稿</w:t>
            </w:r>
          </w:p>
        </w:tc>
        <w:tc>
          <w:tcPr>
            <w:tcW w:type="dxa" w:w="748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来自用户提供的产品初稿，作为本期边界或约束。</w:t>
            </w:r>
          </w:p>
        </w:tc>
      </w:tr>
      <w:tr>
        <w:trPr>
          <w:cantSplit/>
        </w:trPr>
        <w:tc>
          <w:tcPr>
            <w:tcW w:type="dxa" w:w="1800"/>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9A641A"/>
                <w:sz w:val="18"/>
              </w:rPr>
              <w:t>建议评审</w:t>
            </w:r>
          </w:p>
        </w:tc>
        <w:tc>
          <w:tcPr>
            <w:tcW w:type="dxa" w:w="74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为避免实现歧义提出的规则，尚未视为最终决策。</w:t>
            </w:r>
          </w:p>
        </w:tc>
      </w:tr>
      <w:tr>
        <w:trPr>
          <w:cantSplit/>
        </w:trPr>
        <w:tc>
          <w:tcPr>
            <w:tcW w:type="dxa" w:w="180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536273"/>
                <w:sz w:val="18"/>
              </w:rPr>
              <w:t>待决</w:t>
            </w:r>
          </w:p>
        </w:tc>
        <w:tc>
          <w:tcPr>
            <w:tcW w:type="dxa" w:w="748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需要评审确定后，才能冻结需求或开始相关开发。</w:t>
            </w:r>
          </w:p>
        </w:tc>
      </w:tr>
    </w:tbl>
    <w:p>
      <w:pPr>
        <w:spacing w:before="0" w:after="0" w:line="60" w:lineRule="exact"/>
      </w:pPr>
      <w:r>
        <w:rPr>
          <w:sz w:val="2"/>
        </w:rPr>
      </w:r>
    </w:p>
    <w:p>
      <w:pPr>
        <w:pStyle w:val="Heading1"/>
        <w:keepNext/>
        <w:spacing w:before="180" w:after="80"/>
      </w:pPr>
      <w:r>
        <w:rPr>
          <w:rFonts w:ascii="Microsoft YaHei" w:hAnsi="Microsoft YaHei" w:eastAsia="Microsoft YaHei"/>
          <w:b/>
          <w:color w:val="17324D"/>
          <w:sz w:val="30"/>
        </w:rPr>
        <w:t>01 产品目标与用户故事</w:t>
      </w:r>
    </w:p>
    <w:p>
      <w:pPr>
        <w:keepLines/>
        <w:spacing w:after="60" w:line="264" w:lineRule="auto"/>
      </w:pPr>
      <w:r>
        <w:rPr>
          <w:rFonts w:ascii="Microsoft YaHei" w:hAnsi="Microsoft YaHei" w:eastAsia="Microsoft YaHei"/>
          <w:b/>
          <w:color w:val="287A8A"/>
          <w:sz w:val="19"/>
        </w:rPr>
        <w:t xml:space="preserve">产品目标  </w:t>
      </w:r>
      <w:r>
        <w:rPr>
          <w:rFonts w:ascii="Microsoft YaHei" w:hAnsi="Microsoft YaHei" w:eastAsia="Microsoft YaHei"/>
          <w:color w:val="17324D"/>
          <w:sz w:val="19"/>
        </w:rPr>
        <w:t>帮助粉丝查询艺人演出或开票信息，核验信息来源，并为已确认的时间创建和取消提醒。</w:t>
      </w:r>
    </w:p>
    <w:p>
      <w:pPr>
        <w:keepLines/>
        <w:spacing w:after="60" w:line="264" w:lineRule="auto"/>
      </w:pPr>
      <w:r>
        <w:rPr>
          <w:rFonts w:ascii="Microsoft YaHei" w:hAnsi="Microsoft YaHei" w:eastAsia="Microsoft YaHei"/>
          <w:b/>
          <w:color w:val="287A8A"/>
          <w:sz w:val="19"/>
        </w:rPr>
        <w:t xml:space="preserve">用户故事  </w:t>
      </w:r>
      <w:r>
        <w:rPr>
          <w:rFonts w:ascii="Microsoft YaHei" w:hAnsi="Microsoft YaHei" w:eastAsia="Microsoft YaHei"/>
          <w:color w:val="17324D"/>
          <w:sz w:val="19"/>
        </w:rPr>
        <w:t>作为关注艺人演出或开票信息的粉丝，我希望看到信息及其来源，并能为确认的时间创建提醒；如果信息尚未公布，我希望系统明确告诉我“待公布”。</w:t>
      </w:r>
    </w:p>
    <w:p>
      <w:pPr>
        <w:keepLines/>
        <w:spacing w:after="60" w:line="264" w:lineRule="auto"/>
      </w:pPr>
      <w:r>
        <w:rPr>
          <w:rFonts w:ascii="Microsoft YaHei" w:hAnsi="Microsoft YaHei" w:eastAsia="Microsoft YaHei"/>
          <w:b/>
          <w:color w:val="287A8A"/>
          <w:sz w:val="19"/>
        </w:rPr>
        <w:t xml:space="preserve">产品假设  </w:t>
      </w:r>
      <w:r>
        <w:rPr>
          <w:rFonts w:ascii="Microsoft YaHei" w:hAnsi="Microsoft YaHei" w:eastAsia="Microsoft YaHei"/>
          <w:color w:val="17324D"/>
          <w:sz w:val="19"/>
        </w:rPr>
        <w:t>来源可核验与提醒管理能够减少用户跨平台查找信息的成本，并帮助用户避免错过重要时间。该假设仍需通过目标用户访谈或试用反馈验证。</w:t>
      </w:r>
    </w:p>
    <w:p>
      <w:pPr>
        <w:pStyle w:val="Heading1"/>
        <w:keepNext/>
        <w:spacing w:before="180" w:after="80"/>
      </w:pPr>
      <w:r>
        <w:rPr>
          <w:rFonts w:ascii="Microsoft YaHei" w:hAnsi="Microsoft YaHei" w:eastAsia="Microsoft YaHei"/>
          <w:b/>
          <w:color w:val="17324D"/>
          <w:sz w:val="30"/>
        </w:rPr>
        <w:t>02 MVP 范围</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1944"/>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范围</w:t>
            </w:r>
          </w:p>
        </w:tc>
        <w:tc>
          <w:tcPr>
            <w:tcW w:type="dxa" w:w="7344"/>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需求</w:t>
            </w:r>
          </w:p>
        </w:tc>
      </w:tr>
      <w:tr>
        <w:trPr>
          <w:cantSplit/>
        </w:trPr>
        <w:tc>
          <w:tcPr>
            <w:tcW w:type="dxa" w:w="1944"/>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本期包含</w:t>
            </w:r>
          </w:p>
        </w:tc>
        <w:tc>
          <w:tcPr>
            <w:tcW w:type="dxa" w:w="7344"/>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查询艺人的演出或开票信息；展示来源并由用户确认；为已确认的具体时间创建提醒；取消提醒；未知信息显示“待公布”。</w:t>
            </w:r>
          </w:p>
        </w:tc>
      </w:tr>
      <w:tr>
        <w:trPr>
          <w:cantSplit/>
        </w:trPr>
        <w:tc>
          <w:tcPr>
            <w:tcW w:type="dxa" w:w="1944"/>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本期暂不包含</w:t>
            </w:r>
          </w:p>
        </w:tc>
        <w:tc>
          <w:tcPr>
            <w:tcW w:type="dxa" w:w="7344"/>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待公布信息的持续监测及变更推送；自动购票、自动登录或代替用户下单；未经授权的数据采集、Cookie 注入或模拟点击；收集或推断艺人的非公开行踪。</w:t>
            </w:r>
          </w:p>
        </w:tc>
      </w:tr>
      <w:tr>
        <w:trPr>
          <w:cantSplit/>
        </w:trPr>
        <w:tc>
          <w:tcPr>
            <w:tcW w:type="dxa" w:w="1944"/>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框架约束</w:t>
            </w:r>
          </w:p>
        </w:tc>
        <w:tc>
          <w:tcPr>
            <w:tcW w:type="dxa" w:w="7344"/>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基于现有 cjxAgent 项目框架搭建。具体复用哪些模块由后续技术方案评审确认，本需求文档不预设模块改造方式。</w:t>
            </w:r>
          </w:p>
        </w:tc>
      </w:tr>
    </w:tbl>
    <w:p>
      <w:pPr>
        <w:spacing w:before="0" w:after="0" w:line="60" w:lineRule="exact"/>
      </w:pPr>
      <w:r>
        <w:rPr>
          <w:sz w:val="2"/>
        </w:rPr>
      </w:r>
    </w:p>
    <w:p>
      <w:pPr>
        <w:pStyle w:val="Heading1"/>
        <w:keepNext/>
        <w:spacing w:before="180" w:after="80"/>
      </w:pPr>
      <w:r>
        <w:rPr>
          <w:rFonts w:ascii="Microsoft YaHei" w:hAnsi="Microsoft YaHei" w:eastAsia="Microsoft YaHei"/>
          <w:b/>
          <w:color w:val="17324D"/>
          <w:sz w:val="30"/>
        </w:rPr>
        <w:t>03 主用户流程</w:t>
      </w:r>
    </w:p>
    <w:p>
      <w:pPr>
        <w:pStyle w:val="ListBullet"/>
        <w:keepNext w:val="0"/>
        <w:keepLines/>
        <w:spacing w:after="30" w:line="259" w:lineRule="auto"/>
        <w:ind w:left="317" w:hanging="230"/>
      </w:pPr>
      <w:r>
        <w:rPr>
          <w:rFonts w:ascii="Microsoft YaHei" w:hAnsi="Microsoft YaHei" w:eastAsia="Microsoft YaHei"/>
          <w:color w:val="17324D"/>
          <w:sz w:val="20"/>
        </w:rPr>
        <w:t>用户提出艺人演出或开票信息查询。</w:t>
      </w:r>
    </w:p>
    <w:p>
      <w:pPr>
        <w:pStyle w:val="ListBullet"/>
        <w:keepNext w:val="0"/>
        <w:keepLines/>
        <w:spacing w:after="30" w:line="259" w:lineRule="auto"/>
        <w:ind w:left="317" w:hanging="230"/>
      </w:pPr>
      <w:r>
        <w:rPr>
          <w:rFonts w:ascii="Microsoft YaHei" w:hAnsi="Microsoft YaHei" w:eastAsia="Microsoft YaHei"/>
          <w:color w:val="17324D"/>
          <w:sz w:val="20"/>
        </w:rPr>
        <w:t>系统检索认可的信息源；若无法唯一确定艺人活动或场次，先向用户澄清。</w:t>
      </w:r>
    </w:p>
    <w:p>
      <w:pPr>
        <w:pStyle w:val="ListBullet"/>
        <w:keepNext w:val="0"/>
        <w:keepLines/>
        <w:spacing w:after="30" w:line="259" w:lineRule="auto"/>
        <w:ind w:left="317" w:hanging="230"/>
      </w:pPr>
      <w:r>
        <w:rPr>
          <w:rFonts w:ascii="Microsoft YaHei" w:hAnsi="Microsoft YaHei" w:eastAsia="Microsoft YaHei"/>
          <w:color w:val="17324D"/>
          <w:sz w:val="20"/>
        </w:rPr>
        <w:t>Agent 返回已取得的信息及来源。对没有公布的字段显示“待公布”。</w:t>
      </w:r>
    </w:p>
    <w:p>
      <w:pPr>
        <w:pStyle w:val="ListBullet"/>
        <w:keepNext w:val="0"/>
        <w:keepLines/>
        <w:spacing w:after="30" w:line="259" w:lineRule="auto"/>
        <w:ind w:left="317" w:hanging="230"/>
      </w:pPr>
      <w:r>
        <w:rPr>
          <w:rFonts w:ascii="Microsoft YaHei" w:hAnsi="Microsoft YaHei" w:eastAsia="Microsoft YaHei"/>
          <w:color w:val="17324D"/>
          <w:sz w:val="20"/>
        </w:rPr>
        <w:t>用户核对并确认来源和具体活动。</w:t>
      </w:r>
    </w:p>
    <w:p>
      <w:pPr>
        <w:pStyle w:val="ListBullet"/>
        <w:keepNext w:val="0"/>
        <w:keepLines/>
        <w:spacing w:after="30" w:line="259" w:lineRule="auto"/>
        <w:ind w:left="317" w:hanging="230"/>
      </w:pPr>
      <w:r>
        <w:rPr>
          <w:rFonts w:ascii="Microsoft YaHei" w:hAnsi="Microsoft YaHei" w:eastAsia="Microsoft YaHei"/>
          <w:color w:val="17324D"/>
          <w:sz w:val="20"/>
        </w:rPr>
        <w:t>存在明确时间时，用户创建提醒；用户可在提醒触发前取消。</w:t>
      </w:r>
    </w:p>
    <w:p>
      <w:pPr>
        <w:pStyle w:val="ListBullet"/>
        <w:keepNext w:val="0"/>
        <w:keepLines/>
        <w:spacing w:after="30" w:line="259" w:lineRule="auto"/>
        <w:ind w:left="317" w:hanging="230"/>
      </w:pPr>
      <w:r>
        <w:rPr>
          <w:rFonts w:ascii="Microsoft YaHei" w:hAnsi="Microsoft YaHei" w:eastAsia="Microsoft YaHei"/>
          <w:color w:val="17324D"/>
          <w:sz w:val="20"/>
        </w:rPr>
        <w:t>如果信息尚未公布，本期不创建依赖该时间的提醒，也不承诺自动监测后续公告。</w:t>
      </w:r>
    </w:p>
    <w:p>
      <w:pPr>
        <w:pStyle w:val="Heading1"/>
        <w:keepNext/>
        <w:spacing w:before="180" w:after="80"/>
      </w:pPr>
      <w:r>
        <w:rPr>
          <w:rFonts w:ascii="Microsoft YaHei" w:hAnsi="Microsoft YaHei" w:eastAsia="Microsoft YaHei"/>
          <w:b/>
          <w:color w:val="17324D"/>
          <w:sz w:val="30"/>
        </w:rPr>
        <w:t>04 功能需求</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rPr>
        <w:tc>
          <w:tcPr>
            <w:tcW w:type="dxa" w:w="1037"/>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编号</w:t>
            </w:r>
          </w:p>
        </w:tc>
        <w:tc>
          <w:tcPr>
            <w:tcW w:type="dxa" w:w="6768"/>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需求</w:t>
            </w:r>
          </w:p>
        </w:tc>
        <w:tc>
          <w:tcPr>
            <w:tcW w:type="dxa" w:w="1944"/>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状态</w:t>
            </w:r>
          </w:p>
        </w:tc>
      </w:tr>
      <w:tr>
        <w:trPr>
          <w:cantSplit/>
        </w:trPr>
        <w:tc>
          <w:tcPr>
            <w:tcW w:type="dxa" w:w="1037"/>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FR-01</w:t>
            </w:r>
          </w:p>
        </w:tc>
        <w:tc>
          <w:tcPr>
            <w:tcW w:type="dxa" w:w="676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用户查询匹配多个活动或场次时，系统仅追问当前缺失且能区分候选项的信息（如城市、日期或场次），再展示对应候选活动卡片。用户明确确认目标活动前，不进入提醒设置或创建提醒。</w:t>
            </w:r>
          </w:p>
        </w:tc>
        <w:tc>
          <w:tcPr>
            <w:tcW w:type="dxa" w:w="1944"/>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已确认</w:t>
            </w:r>
          </w:p>
        </w:tc>
      </w:tr>
      <w:tr>
        <w:trPr>
          <w:cantSplit/>
        </w:trPr>
        <w:tc>
          <w:tcPr>
            <w:tcW w:type="dxa" w:w="1037"/>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FR-02</w:t>
            </w:r>
          </w:p>
        </w:tc>
        <w:tc>
          <w:tcPr>
            <w:tcW w:type="dxa" w:w="676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系统返回信息时提供可核验来源；用户确认来源和活动后，才可继续创建提醒。来源卡片主视图展示艺人/活动、城市/演出日期/场馆、开票时间与状态，以及来源类型/发布方、官方核验状态、最近核验时间和来源链接；发布时间（如可获得）及证据摘要放在展开详情中。未公布字段明确显示“待公布”。</w:t>
            </w:r>
          </w:p>
        </w:tc>
        <w:tc>
          <w:tcPr>
            <w:tcW w:type="dxa" w:w="1944"/>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已确认</w:t>
            </w:r>
          </w:p>
        </w:tc>
      </w:tr>
      <w:tr>
        <w:trPr>
          <w:cantSplit/>
        </w:trPr>
        <w:tc>
          <w:tcPr>
            <w:tcW w:type="dxa" w:w="1037"/>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FR-03</w:t>
            </w:r>
          </w:p>
        </w:tc>
        <w:tc>
          <w:tcPr>
            <w:tcW w:type="dxa" w:w="676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来源已成功核查但尚未公布的字段，明确显示“待公布”，不生成推测内容。</w:t>
            </w:r>
          </w:p>
        </w:tc>
        <w:tc>
          <w:tcPr>
            <w:tcW w:type="dxa" w:w="1944"/>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28734D"/>
                <w:sz w:val="17"/>
              </w:rPr>
              <w:t>已确认</w:t>
            </w:r>
          </w:p>
        </w:tc>
      </w:tr>
      <w:tr>
        <w:trPr>
          <w:cantSplit/>
        </w:trPr>
        <w:tc>
          <w:tcPr>
            <w:tcW w:type="dxa" w:w="1037"/>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FR-04</w:t>
            </w:r>
          </w:p>
        </w:tc>
        <w:tc>
          <w:tcPr>
            <w:tcW w:type="dxa" w:w="676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用户可为来源和活动均已确认、且包含明确演出开场时间或开票开始时间的活动创建提醒。用户可选择提前 1 天、1 小时或 10 分钟提醒，可多选，默认提前 1 小时；每个所选提前量各触发一次。通知渠道采用邮箱；首期全站采用中国标准时间 Asia/Shanghai（UTC+8）。</w:t>
            </w:r>
          </w:p>
        </w:tc>
        <w:tc>
          <w:tcPr>
            <w:tcW w:type="dxa" w:w="1944"/>
            <w:shd w:fill="F4F6F8"/>
            <w:vAlign w:val="center"/>
            <w:tcMar>
              <w:top w:w="70" w:type="dxa"/>
              <w:start w:w="110" w:type="dxa"/>
              <w:bottom w:w="70" w:type="dxa"/>
              <w:end w:w="110" w:type="dxa"/>
            </w:tcMar>
          </w:tcPr>
          <w:p>
            <w:r>
              <w:t>已确认</w:t>
            </w:r>
          </w:p>
        </w:tc>
      </w:tr>
      <w:tr>
        <w:trPr>
          <w:cantSplit/>
        </w:trPr>
        <w:tc>
          <w:tcPr>
            <w:tcW w:type="dxa" w:w="1037"/>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FR-05</w:t>
            </w:r>
          </w:p>
        </w:tc>
        <w:tc>
          <w:tcPr>
            <w:tcW w:type="dxa" w:w="6768"/>
            <w:vAlign w:val="center"/>
            <w:tcMar>
              <w:top w:w="70" w:type="dxa"/>
              <w:start w:w="110" w:type="dxa"/>
              <w:bottom w:w="70" w:type="dxa"/>
              <w:end w:w="110" w:type="dxa"/>
            </w:tcMar>
          </w:tcPr>
          <w:p>
            <w:r>
              <w:t>用户可取消尚未触发的提醒；取消后，该提醒的所有未发送通知均停止，已发送通知保留记录且不得撤回。同一用户对同一场次和同一提前量只能存在一条有效提醒；重复创建不得产生第二条提醒。活动时间经认可来源核验确认发生变更后，系统须按用户已选提前量重算所有未发送提醒，并邮件告知用户时间变更及新的提醒安排。</w:t>
            </w:r>
          </w:p>
        </w:tc>
        <w:tc>
          <w:tcPr>
            <w:tcW w:type="dxa" w:w="1944"/>
            <w:vAlign w:val="center"/>
            <w:tcMar>
              <w:top w:w="70" w:type="dxa"/>
              <w:start w:w="110" w:type="dxa"/>
              <w:bottom w:w="70" w:type="dxa"/>
              <w:end w:w="110" w:type="dxa"/>
            </w:tcMar>
          </w:tcPr>
          <w:p>
            <w:r>
              <w:t>已确认</w:t>
            </w:r>
          </w:p>
        </w:tc>
      </w:tr>
      <w:tr>
        <w:trPr>
          <w:cantSplit/>
        </w:trPr>
        <w:tc>
          <w:tcPr>
            <w:tcW w:type="dxa" w:w="1037"/>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FR-06</w:t>
            </w:r>
          </w:p>
        </w:tc>
        <w:tc>
          <w:tcPr>
            <w:tcW w:type="dxa" w:w="676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系统区分“信息待公布”“查询暂时失败”“来源冲突”和“来源可能过期”。查询失败时明确提示并提供重试；来源冲突时并列展示各来源和证据，不静默选择结论，在认可的官方来源核验一致前不得基于冲突信息创建提醒；来源过期时显示上次成功官方核验时间并提示刷新，重新核验前不得作为提醒依据。开票时间和活动状态自最近一次成功官方核验起有效 6 小时；演出日期和地点有效 24 小时，达到有效期即标记过期。</w:t>
            </w:r>
          </w:p>
        </w:tc>
        <w:tc>
          <w:tcPr>
            <w:tcW w:type="dxa" w:w="1944"/>
            <w:shd w:fill="F4F6F8"/>
            <w:vAlign w:val="center"/>
            <w:tcMar>
              <w:top w:w="70" w:type="dxa"/>
              <w:start w:w="110" w:type="dxa"/>
              <w:bottom w:w="70" w:type="dxa"/>
              <w:end w:w="110" w:type="dxa"/>
            </w:tcMar>
          </w:tcPr>
          <w:p>
            <w:r>
              <w:t>已确认</w:t>
            </w:r>
          </w:p>
        </w:tc>
      </w:tr>
      <w:tr>
        <w:trPr>
          <w:cantSplit/>
        </w:trPr>
        <w:tc>
          <w:tcPr>
            <w:tcW w:type="dxa" w:w="1037"/>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7"/>
              </w:rPr>
              <w:t>FR-07</w:t>
            </w:r>
          </w:p>
        </w:tc>
        <w:tc>
          <w:tcPr>
            <w:tcW w:type="dxa" w:w="6768"/>
            <w:vAlign w:val="center"/>
            <w:tcMar>
              <w:top w:w="70" w:type="dxa"/>
              <w:start w:w="110" w:type="dxa"/>
              <w:bottom w:w="70" w:type="dxa"/>
              <w:end w:w="110" w:type="dxa"/>
            </w:tcMar>
          </w:tcPr>
          <w:p>
            <w:r>
              <w:t>仅官方来源清单中已核验的账号/域名可标记为官方并作为核验依据；清单外公开页面只能作为未核实线索展示，不得单独作为提醒依据。不得编造来源链接、发布时间或活动时间。</w:t>
            </w:r>
          </w:p>
        </w:tc>
        <w:tc>
          <w:tcPr>
            <w:tcW w:type="dxa" w:w="1944"/>
            <w:vAlign w:val="center"/>
            <w:tcMar>
              <w:top w:w="70" w:type="dxa"/>
              <w:start w:w="110" w:type="dxa"/>
              <w:bottom w:w="70" w:type="dxa"/>
              <w:end w:w="110" w:type="dxa"/>
            </w:tcMar>
          </w:tcPr>
          <w:p>
            <w:r>
              <w:t>已确认</w:t>
            </w:r>
          </w:p>
        </w:tc>
      </w:tr>
    </w:tbl>
    <w:p>
      <w:pPr>
        <w:spacing w:before="0" w:after="0" w:line="60" w:lineRule="exact"/>
      </w:pPr>
      <w:r>
        <w:rPr>
          <w:sz w:val="2"/>
        </w:rPr>
      </w:r>
    </w:p>
    <w:p>
      <w:pPr>
        <w:pStyle w:val="Heading1"/>
        <w:keepNext/>
        <w:spacing w:before="180" w:after="80"/>
      </w:pPr>
      <w:r>
        <w:rPr>
          <w:rFonts w:ascii="Microsoft YaHei" w:hAnsi="Microsoft YaHei" w:eastAsia="Microsoft YaHei"/>
          <w:b/>
          <w:color w:val="17324D"/>
          <w:sz w:val="30"/>
        </w:rPr>
        <w:t>05 验收标准</w:t>
      </w:r>
    </w:p>
    <w:p>
      <w:pPr>
        <w:pStyle w:val="Heading2"/>
        <w:keepNext/>
        <w:spacing w:before="120" w:after="40"/>
      </w:pPr>
      <w:r>
        <w:rPr>
          <w:rFonts w:ascii="Microsoft YaHei" w:hAnsi="Microsoft YaHei" w:eastAsia="Microsoft YaHei"/>
          <w:b/>
          <w:color w:val="287A8A"/>
          <w:sz w:val="23"/>
        </w:rPr>
        <w:t>AC-01 查询到已公布信息</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认可来源中存在与查询匹配的艺人活动，并包含开票或演出时间。</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用户查询该艺人的相关演出或开票信息。</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系统主卡展示艺人/活动、城市/演出日期/场馆、开票时间与状态，以及来源类型/发布方、官方核验状态、最近核验时间和来源链接；未公布字段显示“待公布”；发布时间（如可获得）及证据摘要放在展开详情中。展示内容须与对应来源一致，不得拼接其他场次的时间。</w:t>
      </w:r>
    </w:p>
    <w:p>
      <w:pPr>
        <w:pStyle w:val="Heading2"/>
        <w:keepNext/>
        <w:spacing w:before="120" w:after="40"/>
      </w:pPr>
      <w:r>
        <w:rPr>
          <w:rFonts w:ascii="Microsoft YaHei" w:hAnsi="Microsoft YaHei" w:eastAsia="Microsoft YaHei"/>
          <w:b/>
          <w:color w:val="287A8A"/>
          <w:sz w:val="23"/>
        </w:rPr>
        <w:t>AC-02 信息尚未公布</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认可来源可正常核查，但没有提供该活动的开票时间。</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用户查询该活动的开票信息。</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开票时间显示“待公布”；不出现模型推测的日期或时间；不允许创建以该未公布时间为触发点的提醒。</w:t>
      </w:r>
    </w:p>
    <w:p>
      <w:pPr>
        <w:pStyle w:val="Heading2"/>
        <w:keepNext/>
        <w:spacing w:before="120" w:after="40"/>
      </w:pPr>
      <w:r>
        <w:rPr>
          <w:rFonts w:ascii="Microsoft YaHei" w:hAnsi="Microsoft YaHei" w:eastAsia="Microsoft YaHei"/>
          <w:b/>
          <w:color w:val="287A8A"/>
          <w:sz w:val="23"/>
        </w:rPr>
        <w:t>AC-03 信息源查询失败</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系统无法访问来源或查询过程发生错误。</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用户查询相关活动信息。</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系统明确提示“查询暂时失败”，不把查询失败伪装成官方“待公布”，并提供重试操作。</w:t>
      </w:r>
    </w:p>
    <w:p>
      <w:pPr>
        <w:pStyle w:val="Heading2"/>
        <w:keepNext/>
        <w:spacing w:before="120" w:after="40"/>
      </w:pPr>
      <w:r>
        <w:rPr>
          <w:rFonts w:ascii="Microsoft YaHei" w:hAnsi="Microsoft YaHei" w:eastAsia="Microsoft YaHei"/>
          <w:b/>
          <w:color w:val="287A8A"/>
          <w:sz w:val="23"/>
        </w:rPr>
        <w:t>AC-04 查询存在多个可能场次</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同一艺人有多个与用户查询相符的活动或场次。</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用户发起查询。</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系统仅追问当前缺失且能区分候选项的信息（如城市、日期或场次）；信息足以区分后，展示对应候选活动卡片。用户明确确认某一活动前，不进入提醒设置且不创建提醒。</w:t>
      </w:r>
    </w:p>
    <w:p>
      <w:pPr>
        <w:pStyle w:val="Heading2"/>
        <w:keepNext/>
        <w:spacing w:before="120" w:after="40"/>
      </w:pPr>
      <w:r>
        <w:rPr>
          <w:rFonts w:ascii="Microsoft YaHei" w:hAnsi="Microsoft YaHei" w:eastAsia="Microsoft YaHei"/>
          <w:b/>
          <w:color w:val="287A8A"/>
          <w:sz w:val="23"/>
        </w:rPr>
        <w:t>AC-05 创建提醒</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用户已确认来源和活动，且活动包含明确时间。</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用户提交创建提醒。</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系统返回创建成功及提醒详情，并按用户选择的提前量安排提醒；用户可多选提前 1 天、1 小时、10 分钟，默认提前 1 小时，每个所选提前量各触发一次。通知通过邮箱发送；首期全站采用中国标准时间 Asia/Shanghai（UTC+8）。</w:t>
      </w:r>
    </w:p>
    <w:p>
      <w:pPr>
        <w:pStyle w:val="Heading2"/>
        <w:keepNext/>
        <w:spacing w:before="120" w:after="40"/>
      </w:pPr>
      <w:r>
        <w:rPr>
          <w:rFonts w:ascii="Microsoft YaHei" w:hAnsi="Microsoft YaHei" w:eastAsia="Microsoft YaHei"/>
          <w:b/>
          <w:color w:val="287A8A"/>
          <w:sz w:val="23"/>
        </w:rPr>
        <w:t>AC-06 取消提醒</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用户存在一条尚未触发的有效提醒。</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用户取消该提醒。</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系统确认取消并更新提醒状态；该提醒的所有未发送通知均停止，到达原计划时间后不再发送；已发送通知保留历史记录，不作撤回。</w:t>
      </w:r>
    </w:p>
    <w:p>
      <w:pPr>
        <w:pStyle w:val="Heading2"/>
        <w:keepNext/>
        <w:spacing w:before="120" w:after="40"/>
      </w:pPr>
      <w:r>
        <w:rPr>
          <w:rFonts w:ascii="Microsoft YaHei" w:hAnsi="Microsoft YaHei" w:eastAsia="Microsoft YaHei"/>
          <w:b/>
          <w:color w:val="287A8A"/>
          <w:sz w:val="23"/>
        </w:rPr>
        <w:t>AC-07 来源信息冲突</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多个认可来源对同一活动提供不一致的时间。</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用户查询该活动。</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系统并列展示冲突内容、来源和证据，不静默选择一个时间；在认可的官方来源核验一致前，禁止基于冲突信息创建提醒。</w:t>
      </w:r>
    </w:p>
    <w:p>
      <w:pPr>
        <w:pStyle w:val="Heading2"/>
      </w:pPr>
      <w:r>
        <w:t>AC-08 来源信息已过期</w:t>
      </w:r>
    </w:p>
    <w:p>
      <w:pPr/>
      <w:r>
        <w:rPr>
          <w:b/>
        </w:rPr>
        <w:t xml:space="preserve">前置条件  </w:t>
      </w:r>
      <w:r>
        <w:t>该信息自最近一次成功官方核验起已达到对应有效期：开票时间或活动状态为 6 小时，演出日期或地点为 24 小时。</w:t>
      </w:r>
    </w:p>
    <w:p>
      <w:pPr/>
      <w:r>
        <w:rPr>
          <w:b/>
        </w:rPr>
        <w:t xml:space="preserve">操作  </w:t>
      </w:r>
      <w:r>
        <w:t>用户查询活动信息或尝试基于该信息创建提醒。</w:t>
      </w:r>
    </w:p>
    <w:p>
      <w:pPr/>
      <w:r>
        <w:rPr>
          <w:b/>
        </w:rPr>
        <w:t xml:space="preserve">验收结果  </w:t>
      </w:r>
      <w:r>
        <w:t>系统显示上次成功官方核验时间并提示用户刷新；重新核验成功前，不得基于已过期信息创建提醒。</w:t>
      </w:r>
    </w:p>
    <w:p>
      <w:pPr>
        <w:pStyle w:val="Heading2"/>
        <w:keepNext/>
      </w:pPr>
      <w:r>
        <w:t>AC-09 重复创建同一场次和提前量</w:t>
      </w:r>
    </w:p>
    <w:p>
      <w:pPr>
        <w:keepNext/>
      </w:pPr>
      <w:r>
        <w:rPr>
          <w:b/>
        </w:rPr>
        <w:t xml:space="preserve">前置条件  </w:t>
      </w:r>
      <w:r>
        <w:t>同一用户已存在一条有效提醒，且该提醒绑定到某一场次和一个提前量。</w:t>
      </w:r>
    </w:p>
    <w:p>
      <w:pPr>
        <w:keepNext/>
      </w:pPr>
      <w:r>
        <w:rPr>
          <w:b/>
        </w:rPr>
        <w:t xml:space="preserve">操作  </w:t>
      </w:r>
      <w:r>
        <w:t>用户再次为同一场次提交相同提前量的提醒创建请求。</w:t>
      </w:r>
    </w:p>
    <w:p>
      <w:pPr/>
      <w:r>
        <w:rPr>
          <w:b/>
        </w:rPr>
        <w:t xml:space="preserve">验收结果  </w:t>
      </w:r>
      <w:r>
        <w:t>系统不新增重复提醒触发项，并向用户呈现已存在的提醒；用户为同一场次选择不同提前量时，可分别创建对应提醒。</w:t>
      </w:r>
    </w:p>
    <w:p>
      <w:pPr>
        <w:pStyle w:val="Heading2"/>
        <w:keepNext/>
      </w:pPr>
      <w:r>
        <w:t>AC-10 核验后的活动时间变更</w:t>
      </w:r>
    </w:p>
    <w:p>
      <w:pPr>
        <w:keepNext/>
      </w:pPr>
      <w:r>
        <w:rPr>
          <w:b/>
        </w:rPr>
        <w:t xml:space="preserve">前置条件  </w:t>
      </w:r>
      <w:r>
        <w:t>活动开场或开票开始时间已被认可来源核验，且用户存在尚未发送的相关提醒。</w:t>
      </w:r>
    </w:p>
    <w:p>
      <w:pPr>
        <w:keepNext/>
      </w:pPr>
      <w:r>
        <w:rPr>
          <w:b/>
        </w:rPr>
        <w:t xml:space="preserve">操作  </w:t>
      </w:r>
      <w:r>
        <w:t>认可来源核验确认活动时间发生变更，系统接收并处理更新后的时间。</w:t>
      </w:r>
    </w:p>
    <w:p>
      <w:pPr/>
      <w:r>
        <w:rPr>
          <w:b/>
        </w:rPr>
        <w:t xml:space="preserve">验收结果  </w:t>
      </w:r>
      <w:r>
        <w:t>系统按新时间及用户已选提前量重算所有未发送提醒，并通过邮件告知时间变更和新的提醒安排；已发送通知保留历史记录，不撤回。</w:t>
      </w:r>
    </w:p>
    <w:p>
      <w:pPr>
        <w:pStyle w:val="Heading2"/>
      </w:pPr>
      <w:r>
        <w:t>AC-11 清单外信息源的标识与使用</w:t>
      </w:r>
    </w:p>
    <w:p>
      <w:pPr/>
      <w:r>
        <w:rPr>
          <w:b/>
        </w:rPr>
        <w:t xml:space="preserve">前置条件  </w:t>
      </w:r>
      <w:r>
        <w:t>查询结果中存在未收录于首期官方来源清单的公开页面，或媒体/粉丝来源。</w:t>
      </w:r>
    </w:p>
    <w:p>
      <w:pPr/>
      <w:r>
        <w:rPr>
          <w:b/>
        </w:rPr>
        <w:t xml:space="preserve">操作  </w:t>
      </w:r>
      <w:r>
        <w:t>系统将来源信息与维护的官方来源清单匹配，并根据匹配结果展示。</w:t>
      </w:r>
    </w:p>
    <w:p>
      <w:pPr/>
      <w:r>
        <w:rPr>
          <w:b/>
        </w:rPr>
        <w:t xml:space="preserve">验收结果  </w:t>
      </w:r>
      <w:r>
        <w:t>仅将清单内已核验的账号/域名标记为官方；清单外来源仅能作为未核实线索展示，不得单独作为提醒依据。</w:t>
      </w:r>
    </w:p>
    <w:p>
      <w:pPr>
        <w:pStyle w:val="Heading2"/>
        <w:keepNext/>
      </w:pPr>
      <w:r>
        <w:t>AC-12 官方来源分层匹配</w:t>
      </w:r>
    </w:p>
    <w:p>
      <w:pPr>
        <w:pStyle w:val="Heading2"/>
        <w:keepNext/>
      </w:pPr>
      <w:r>
        <w:t>AC-13 平台级来源清单准入评审</w:t>
      </w:r>
    </w:p>
    <w:p>
      <w:pPr>
        <w:keepNext/>
        <w:keepLines/>
        <w:spacing w:after="60" w:line="264" w:lineRule="auto"/>
      </w:pPr>
      <w:r>
        <w:rPr>
          <w:rFonts w:ascii="Microsoft YaHei" w:hAnsi="Microsoft YaHei" w:eastAsia="Microsoft YaHei"/>
          <w:b/>
          <w:color w:val="287A8A"/>
          <w:sz w:val="19"/>
        </w:rPr>
        <w:t xml:space="preserve">前置条件  </w:t>
      </w:r>
      <w:r>
        <w:rPr>
          <w:rFonts w:ascii="Microsoft YaHei" w:hAnsi="Microsoft YaHei" w:eastAsia="Microsoft YaHei"/>
          <w:color w:val="17324D"/>
          <w:sz w:val="19"/>
        </w:rPr>
        <w:t>存在拟纳入首期平台级清单的候选域名。</w:t>
      </w:r>
    </w:p>
    <w:p>
      <w:pPr>
        <w:keepNext/>
        <w:keepLines/>
        <w:spacing w:after="60" w:line="264" w:lineRule="auto"/>
      </w:pPr>
      <w:r>
        <w:rPr>
          <w:rFonts w:ascii="Microsoft YaHei" w:hAnsi="Microsoft YaHei" w:eastAsia="Microsoft YaHei"/>
          <w:b/>
          <w:color w:val="287A8A"/>
          <w:sz w:val="19"/>
        </w:rPr>
        <w:t xml:space="preserve">操作  </w:t>
      </w:r>
      <w:r>
        <w:rPr>
          <w:rFonts w:ascii="Microsoft YaHei" w:hAnsi="Microsoft YaHei" w:eastAsia="Microsoft YaHei"/>
          <w:color w:val="17324D"/>
          <w:sz w:val="19"/>
        </w:rPr>
        <w:t>产品与研发共同记录并评审：页面可访问性、活动/场次字段、开票时间与状态字段可得性、字段稳定性、官方身份依据、更新频率和访问/授权边界。</w:t>
      </w:r>
    </w:p>
    <w:p>
      <w:pPr>
        <w:keepLines/>
        <w:spacing w:after="60" w:line="264" w:lineRule="auto"/>
      </w:pPr>
      <w:r>
        <w:rPr>
          <w:rFonts w:ascii="Microsoft YaHei" w:hAnsi="Microsoft YaHei" w:eastAsia="Microsoft YaHei"/>
          <w:b/>
          <w:color w:val="287A8A"/>
          <w:sz w:val="19"/>
        </w:rPr>
        <w:t xml:space="preserve">验收结果  </w:t>
      </w:r>
      <w:r>
        <w:rPr>
          <w:rFonts w:ascii="Microsoft YaHei" w:hAnsi="Microsoft YaHei" w:eastAsia="Microsoft YaHei"/>
          <w:color w:val="17324D"/>
          <w:sz w:val="19"/>
        </w:rPr>
        <w:t>全部维度均有记录且经评审通过后，域名方可纳入首期平台级清单；未评审或未通过的候选域名不得进入清单或自动查询范围。</w:t>
      </w:r>
    </w:p>
    <w:p>
      <w:pPr>
        <w:keepNext/>
      </w:pPr>
      <w:r>
        <w:rPr>
          <w:b/>
        </w:rPr>
        <w:t xml:space="preserve">前置条件  </w:t>
      </w:r>
      <w:r>
        <w:t>查询结果包含固定票务/公告平台页面，或具体场次相关的艺人、主办方或场馆账号或链接。</w:t>
      </w:r>
    </w:p>
    <w:p>
      <w:pPr>
        <w:keepNext/>
      </w:pPr>
      <w:r>
        <w:rPr>
          <w:b/>
        </w:rPr>
        <w:t xml:space="preserve">操作  </w:t>
      </w:r>
      <w:r>
        <w:t>系统分别将来源与平台级域名清单及活动级账号/链接记录匹配。</w:t>
      </w:r>
    </w:p>
    <w:p>
      <w:pPr/>
      <w:r>
        <w:rPr>
          <w:b/>
        </w:rPr>
        <w:t xml:space="preserve">验收结果  </w:t>
      </w:r>
      <w:r>
        <w:t>平台级来源须匹配已评审的清单域名；活动级账号/链接须核验并绑定目标活动。仅匹配相应层级且核验通过的来源可标记为官方；其他来源只作为未核实线索，不得作为提醒依据。</w:t>
      </w:r>
    </w:p>
    <w:p>
      <w:pPr>
        <w:pStyle w:val="Heading1"/>
        <w:keepNext/>
        <w:spacing w:before="180" w:after="80"/>
      </w:pPr>
      <w:r>
        <w:rPr>
          <w:rFonts w:ascii="Microsoft YaHei" w:hAnsi="Microsoft YaHei" w:eastAsia="Microsoft YaHei"/>
          <w:b/>
          <w:color w:val="17324D"/>
          <w:sz w:val="30"/>
        </w:rPr>
        <w:t>06 信息来源与数据约束</w:t>
      </w:r>
    </w:p>
    <w:p>
      <w:pPr>
        <w:pStyle w:val="ListBullet"/>
        <w:spacing w:line="240" w:lineRule="auto" w:after="0"/>
      </w:pPr>
      <w:r>
        <w:t>官方来源清单分平台级和活动级维护：前者登记固定票务/公告域名，后者逐场次核验艺人、主办方或场馆账号/链接并关联活动。仅匹配对应清单且核验通过的记录可标记为官方；清单外页面只作为未核实线索。</w:t>
      </w:r>
    </w:p>
    <w:p>
      <w:pPr>
        <w:pStyle w:val="ListBullet"/>
        <w:spacing w:line="240" w:lineRule="auto" w:after="0"/>
      </w:pPr>
      <w:r>
        <w:t>首期平台级清单由产品与研发摸排并评审确认，仅纳入小范围域名；调研准入维度按 AC-13 执行，首期不承诺覆盖全部票务或公告平台。</w:t>
      </w:r>
    </w:p>
    <w:p>
      <w:pPr>
        <w:pStyle w:val="ListBullet"/>
        <w:keepNext/>
        <w:keepLines/>
        <w:spacing w:after="0" w:line="240" w:lineRule="auto"/>
        <w:ind w:left="317" w:hanging="230"/>
      </w:pPr>
      <w:r>
        <w:rPr>
          <w:rFonts w:ascii="Microsoft YaHei" w:hAnsi="Microsoft YaHei" w:eastAsia="Microsoft YaHei"/>
          <w:color w:val="17324D"/>
          <w:sz w:val="20"/>
        </w:rPr>
        <w:t>来源优先使用艺人本人、工作室或经纪公司、主办方、场馆及官方票务页面。媒体或粉丝来源如被展示，必须标清其非官方或未核实状态。</w:t>
      </w:r>
    </w:p>
    <w:p>
      <w:pPr>
        <w:pStyle w:val="ListBullet"/>
        <w:spacing w:line="240" w:lineRule="auto" w:after="0"/>
      </w:pPr>
      <w:r>
        <w:t>可用于提醒的信息字段以最近一次成功官方来源核验时间起算有效期：开票时间和活动状态为 6 小时，演出日期和地点为 24 小时；达到有效期后标记为过期，重新核验成功前不得用于创建提醒。</w:t>
      </w:r>
    </w:p>
    <w:p>
      <w:pPr>
        <w:pStyle w:val="ListBullet"/>
        <w:keepNext/>
        <w:keepLines/>
        <w:spacing w:after="0" w:line="240" w:lineRule="auto"/>
        <w:ind w:left="317" w:hanging="230"/>
      </w:pPr>
      <w:r>
        <w:t>对影响用户安排的信息保留来源链接、来源类型、发布账号、发布时间（如可获得）、查询时间、官方核验状态和最近核验时间。来源卡片主视图展示活动关键信息及来源类型/发布方、核验状态、最近核验时间和链接；发布时间与证据摘要（如可获得）置于展开详情。媒体或粉丝来源须明确标为未核实。</w:t>
      </w:r>
    </w:p>
    <w:p>
      <w:pPr>
        <w:pStyle w:val="ListBullet"/>
        <w:keepNext/>
        <w:keepLines/>
        <w:spacing w:after="0" w:line="240" w:lineRule="auto"/>
        <w:ind w:left="317" w:hanging="230"/>
      </w:pPr>
      <w:r>
        <w:rPr>
          <w:rFonts w:ascii="Microsoft YaHei" w:hAnsi="Microsoft YaHei" w:eastAsia="Microsoft YaHei"/>
          <w:color w:val="17324D"/>
          <w:sz w:val="20"/>
        </w:rPr>
        <w:t>动态且字段明确的场次、开票时间和活动状态，应以结构化业务数据或经授权的实时信息源为依据，不能只依赖可能过期的向量检索结果。</w:t>
      </w:r>
    </w:p>
    <w:p>
      <w:pPr>
        <w:pStyle w:val="ListBullet"/>
        <w:keepNext w:val="0"/>
        <w:keepLines/>
        <w:spacing w:after="0" w:line="240" w:lineRule="auto"/>
        <w:ind w:left="317" w:hanging="230"/>
      </w:pPr>
      <w:r>
        <w:rPr>
          <w:rFonts w:ascii="Microsoft YaHei" w:hAnsi="Microsoft YaHei" w:eastAsia="Microsoft YaHei"/>
          <w:color w:val="17324D"/>
          <w:sz w:val="20"/>
        </w:rPr>
        <w:t>如暂时没有公开或授权接口，可用用户提供的官方链接或少量人工维护记录验证 MVP；不得假设存在未核验的第三方接口。</w:t>
      </w:r>
    </w:p>
    <w:p>
      <w:pPr>
        <w:pStyle w:val="Heading1"/>
        <w:keepNext/>
        <w:spacing w:before="180" w:after="80"/>
      </w:pPr>
      <w:r>
        <w:rPr>
          <w:rFonts w:ascii="Microsoft YaHei" w:hAnsi="Microsoft YaHei" w:eastAsia="Microsoft YaHei"/>
          <w:b/>
          <w:color w:val="17324D"/>
          <w:sz w:val="30"/>
        </w:rPr>
        <w:t>07 质量与安全边界</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1728"/>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约束</w:t>
            </w:r>
          </w:p>
        </w:tc>
        <w:tc>
          <w:tcPr>
            <w:tcW w:type="dxa" w:w="7560"/>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要求</w:t>
            </w:r>
          </w:p>
        </w:tc>
      </w:tr>
      <w:tr>
        <w:trPr>
          <w:cantSplit/>
        </w:trPr>
        <w:tc>
          <w:tcPr>
            <w:tcW w:type="dxa" w:w="172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来源可信</w:t>
            </w:r>
          </w:p>
        </w:tc>
        <w:tc>
          <w:tcPr>
            <w:tcW w:type="dxa" w:w="756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不得把未核验来源标为官方或已确认；来源冲突必须显式说明。</w:t>
            </w:r>
          </w:p>
        </w:tc>
      </w:tr>
      <w:tr>
        <w:trPr>
          <w:cantSplit/>
        </w:trPr>
        <w:tc>
          <w:tcPr>
            <w:tcW w:type="dxa" w:w="172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隐私保护</w:t>
            </w:r>
          </w:p>
        </w:tc>
        <w:tc>
          <w:tcPr>
            <w:tcW w:type="dxa" w:w="756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不收集或推断艺人的私人航班、酒店、住址、实时位置等非公开信息。</w:t>
            </w:r>
          </w:p>
        </w:tc>
      </w:tr>
      <w:tr>
        <w:trPr>
          <w:cantSplit/>
        </w:trPr>
        <w:tc>
          <w:tcPr>
            <w:tcW w:type="dxa" w:w="172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平台操作</w:t>
            </w:r>
          </w:p>
        </w:tc>
        <w:tc>
          <w:tcPr>
            <w:tcW w:type="dxa" w:w="756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不实现自动抢票、绕过排队、未经授权的自动签到、Cookie 注入或模拟点击。</w:t>
            </w:r>
          </w:p>
        </w:tc>
      </w:tr>
      <w:tr>
        <w:trPr>
          <w:cantSplit/>
        </w:trPr>
        <w:tc>
          <w:tcPr>
            <w:tcW w:type="dxa" w:w="172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凭据保护</w:t>
            </w:r>
          </w:p>
        </w:tc>
        <w:tc>
          <w:tcPr>
            <w:tcW w:type="dxa" w:w="756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8"/>
              </w:rPr>
              <w:t>不保存平台密码、支付密码或未经保护的访问令牌；日志不得泄露机密。</w:t>
            </w:r>
          </w:p>
        </w:tc>
      </w:tr>
    </w:tbl>
    <w:p>
      <w:pPr>
        <w:spacing w:before="0" w:after="0" w:line="60" w:lineRule="exact"/>
      </w:pPr>
      <w:r>
        <w:rPr>
          <w:sz w:val="2"/>
        </w:rPr>
      </w:r>
    </w:p>
    <w:p>
      <w:pPr>
        <w:pStyle w:val="Heading1"/>
        <w:keepNext/>
        <w:pageBreakBefore/>
        <w:spacing w:before="180" w:after="80"/>
      </w:pPr>
      <w:r>
        <w:t>08 跨职能评审决策记录</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rPr>
        <w:tc>
          <w:tcPr>
            <w:tcW w:type="dxa" w:w="893"/>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编号</w:t>
            </w:r>
          </w:p>
        </w:tc>
        <w:tc>
          <w:tcPr>
            <w:tcW w:type="dxa" w:w="5400"/>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决策议题</w:t>
            </w:r>
          </w:p>
        </w:tc>
        <w:tc>
          <w:tcPr>
            <w:tcW w:type="dxa" w:w="2088"/>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建议责任方</w:t>
            </w:r>
          </w:p>
        </w:tc>
        <w:tc>
          <w:tcPr>
            <w:tcW w:type="dxa" w:w="936"/>
            <w:shd w:fill="17324D"/>
            <w:vAlign w:val="center"/>
            <w:tcMar>
              <w:top w:w="70" w:type="dxa"/>
              <w:start w:w="110" w:type="dxa"/>
              <w:bottom w:w="70" w:type="dxa"/>
              <w:end w:w="110" w:type="dxa"/>
            </w:tcMar>
          </w:tcPr>
          <w:p>
            <w:pPr>
              <w:spacing w:after="0" w:before="0" w:line="269" w:lineRule="auto"/>
            </w:pPr>
            <w:r/>
            <w:r>
              <w:rPr>
                <w:rFonts w:ascii="Microsoft YaHei" w:hAnsi="Microsoft YaHei" w:eastAsia="Microsoft YaHei"/>
                <w:b/>
                <w:color w:val="FFFFFF"/>
                <w:sz w:val="18"/>
              </w:rPr>
              <w:t>状态</w:t>
            </w:r>
          </w:p>
        </w:tc>
      </w:tr>
      <w:tr>
        <w:trPr>
          <w:cantSplit/>
        </w:trPr>
        <w:tc>
          <w:tcPr>
            <w:tcW w:type="dxa" w:w="893"/>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D-01</w:t>
            </w:r>
          </w:p>
        </w:tc>
        <w:tc>
          <w:tcPr>
            <w:tcW w:type="dxa" w:w="540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首期支持哪些艺人、城市和活动类型？</w:t>
            </w:r>
          </w:p>
        </w:tc>
        <w:tc>
          <w:tcPr>
            <w:tcW w:type="dxa" w:w="20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w:t>
            </w:r>
          </w:p>
        </w:tc>
        <w:tc>
          <w:tcPr>
            <w:tcW w:type="dxa" w:w="936"/>
            <w:vAlign w:val="center"/>
            <w:tcMar>
              <w:top w:w="70" w:type="dxa"/>
              <w:start w:w="110" w:type="dxa"/>
              <w:bottom w:w="70" w:type="dxa"/>
              <w:end w:w="110" w:type="dxa"/>
            </w:tcMar>
          </w:tcPr>
          <w:p>
            <w:pPr>
              <w:spacing w:after="0" w:before="0" w:line="269" w:lineRule="auto"/>
            </w:pPr>
            <w:r>
              <w:t>已确认</w:t>
            </w:r>
          </w:p>
        </w:tc>
      </w:tr>
      <w:tr>
        <w:trPr>
          <w:cantSplit/>
        </w:trPr>
        <w:tc>
          <w:tcPr>
            <w:tcW w:type="dxa" w:w="893"/>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D-02</w:t>
            </w:r>
          </w:p>
        </w:tc>
        <w:tc>
          <w:tcPr>
            <w:tcW w:type="dxa" w:w="540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认可来源清单是什么，哪些来源可支持自动查询？</w:t>
            </w:r>
          </w:p>
        </w:tc>
        <w:tc>
          <w:tcPr>
            <w:tcW w:type="dxa" w:w="208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 / 研发</w:t>
            </w:r>
          </w:p>
        </w:tc>
        <w:tc>
          <w:tcPr>
            <w:tcW w:type="dxa" w:w="936"/>
            <w:shd w:fill="F4F6F8"/>
            <w:vAlign w:val="center"/>
            <w:tcMar>
              <w:top w:w="70" w:type="dxa"/>
              <w:start w:w="110" w:type="dxa"/>
              <w:bottom w:w="70" w:type="dxa"/>
              <w:end w:w="110" w:type="dxa"/>
            </w:tcMar>
          </w:tcPr>
          <w:p>
            <w:pPr>
              <w:spacing w:after="0" w:before="0" w:line="269" w:lineRule="auto"/>
            </w:pPr>
            <w:r>
              <w:t>已确认</w:t>
            </w:r>
          </w:p>
        </w:tc>
      </w:tr>
      <w:tr>
        <w:trPr>
          <w:cantSplit/>
        </w:trPr>
        <w:tc>
          <w:tcPr>
            <w:tcW w:type="dxa" w:w="893"/>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D-03</w:t>
            </w:r>
          </w:p>
        </w:tc>
        <w:tc>
          <w:tcPr>
            <w:tcW w:type="dxa" w:w="540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“用户确认来源”具体通过什么交互完成？</w:t>
            </w:r>
          </w:p>
        </w:tc>
        <w:tc>
          <w:tcPr>
            <w:tcW w:type="dxa" w:w="20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 / 设计</w:t>
            </w:r>
          </w:p>
        </w:tc>
        <w:tc>
          <w:tcPr>
            <w:tcW w:type="dxa" w:w="936"/>
            <w:vAlign w:val="center"/>
            <w:tcMar>
              <w:top w:w="70" w:type="dxa"/>
              <w:start w:w="110" w:type="dxa"/>
              <w:bottom w:w="70" w:type="dxa"/>
              <w:end w:w="110" w:type="dxa"/>
            </w:tcMar>
          </w:tcPr>
          <w:p>
            <w:r>
              <w:t>已确认</w:t>
            </w:r>
          </w:p>
        </w:tc>
      </w:tr>
      <w:tr>
        <w:trPr>
          <w:cantSplit/>
        </w:trPr>
        <w:tc>
          <w:tcPr>
            <w:tcW w:type="dxa" w:w="893"/>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D-04</w:t>
            </w:r>
          </w:p>
        </w:tc>
        <w:tc>
          <w:tcPr>
            <w:tcW w:type="dxa" w:w="540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提醒在活动时间触发还是提前触发？用户可选哪些提前量？</w:t>
            </w:r>
          </w:p>
        </w:tc>
        <w:tc>
          <w:tcPr>
            <w:tcW w:type="dxa" w:w="208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 / 用户研究</w:t>
            </w:r>
          </w:p>
        </w:tc>
        <w:tc>
          <w:tcPr>
            <w:tcW w:type="dxa" w:w="936"/>
            <w:shd w:fill="F4F6F8"/>
            <w:vAlign w:val="center"/>
            <w:tcMar>
              <w:top w:w="70" w:type="dxa"/>
              <w:start w:w="110" w:type="dxa"/>
              <w:bottom w:w="70" w:type="dxa"/>
              <w:end w:w="110" w:type="dxa"/>
            </w:tcMar>
          </w:tcPr>
          <w:p>
            <w:r>
              <w:t>已确认</w:t>
            </w:r>
          </w:p>
        </w:tc>
      </w:tr>
      <w:tr>
        <w:trPr>
          <w:cantSplit/>
        </w:trPr>
        <w:tc>
          <w:tcPr>
            <w:tcW w:type="dxa" w:w="893"/>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D-05</w:t>
            </w:r>
          </w:p>
        </w:tc>
        <w:tc>
          <w:tcPr>
            <w:tcW w:type="dxa" w:w="540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提醒通过什么渠道发送，首期默认时区是什么？</w:t>
            </w:r>
          </w:p>
        </w:tc>
        <w:tc>
          <w:tcPr>
            <w:tcW w:type="dxa" w:w="20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 / 研发</w:t>
            </w:r>
          </w:p>
        </w:tc>
        <w:tc>
          <w:tcPr>
            <w:tcW w:type="dxa" w:w="936"/>
            <w:vAlign w:val="center"/>
            <w:tcMar>
              <w:top w:w="70" w:type="dxa"/>
              <w:start w:w="110" w:type="dxa"/>
              <w:bottom w:w="70" w:type="dxa"/>
              <w:end w:w="110" w:type="dxa"/>
            </w:tcMar>
          </w:tcPr>
          <w:p>
            <w:r>
              <w:t>已确认</w:t>
            </w:r>
          </w:p>
        </w:tc>
      </w:tr>
      <w:tr>
        <w:trPr>
          <w:cantSplit/>
        </w:trPr>
        <w:tc>
          <w:tcPr>
            <w:tcW w:type="dxa" w:w="893"/>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D-06</w:t>
            </w:r>
          </w:p>
        </w:tc>
        <w:tc>
          <w:tcPr>
            <w:tcW w:type="dxa" w:w="540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查询失败、来源冲突、来源过期分别使用什么状态和提示？</w:t>
            </w:r>
          </w:p>
        </w:tc>
        <w:tc>
          <w:tcPr>
            <w:tcW w:type="dxa" w:w="208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 / 研发 / 测试</w:t>
            </w:r>
          </w:p>
        </w:tc>
        <w:tc>
          <w:tcPr>
            <w:tcW w:type="dxa" w:w="936"/>
            <w:shd w:fill="F4F6F8"/>
            <w:vAlign w:val="center"/>
            <w:tcMar>
              <w:top w:w="70" w:type="dxa"/>
              <w:start w:w="110" w:type="dxa"/>
              <w:bottom w:w="70" w:type="dxa"/>
              <w:end w:w="110" w:type="dxa"/>
            </w:tcMar>
          </w:tcPr>
          <w:p>
            <w:r>
              <w:t>已确认</w:t>
            </w:r>
          </w:p>
        </w:tc>
      </w:tr>
      <w:tr>
        <w:trPr>
          <w:cantSplit/>
        </w:trPr>
        <w:tc>
          <w:tcPr>
            <w:tcW w:type="dxa" w:w="893"/>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D-07</w:t>
            </w:r>
          </w:p>
        </w:tc>
        <w:tc>
          <w:tcPr>
            <w:tcW w:type="dxa" w:w="5400"/>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用户重复创建同一提醒、活动时间变更或取消时如何处理？</w:t>
            </w:r>
          </w:p>
        </w:tc>
        <w:tc>
          <w:tcPr>
            <w:tcW w:type="dxa" w:w="208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 / 研发 / 测试</w:t>
            </w:r>
          </w:p>
        </w:tc>
        <w:tc>
          <w:tcPr>
            <w:tcW w:type="dxa" w:w="936"/>
            <w:vAlign w:val="center"/>
            <w:tcMar>
              <w:top w:w="70" w:type="dxa"/>
              <w:start w:w="110" w:type="dxa"/>
              <w:bottom w:w="70" w:type="dxa"/>
              <w:end w:w="110" w:type="dxa"/>
            </w:tcMar>
          </w:tcPr>
          <w:p>
            <w:r>
              <w:t>已确认</w:t>
            </w:r>
          </w:p>
        </w:tc>
      </w:tr>
      <w:tr>
        <w:trPr>
          <w:cantSplit/>
        </w:trPr>
        <w:tc>
          <w:tcPr>
            <w:tcW w:type="dxa" w:w="893"/>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D-08</w:t>
            </w:r>
          </w:p>
        </w:tc>
        <w:tc>
          <w:tcPr>
            <w:tcW w:type="dxa" w:w="5400"/>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如何衡量首期效果，目标值设定多少？</w:t>
            </w:r>
          </w:p>
        </w:tc>
        <w:tc>
          <w:tcPr>
            <w:tcW w:type="dxa" w:w="2088"/>
            <w:shd w:fill="F4F6F8"/>
            <w:vAlign w:val="center"/>
            <w:tcMar>
              <w:top w:w="70" w:type="dxa"/>
              <w:start w:w="110" w:type="dxa"/>
              <w:bottom w:w="70" w:type="dxa"/>
              <w:end w:w="110" w:type="dxa"/>
            </w:tcMar>
          </w:tcPr>
          <w:p>
            <w:pPr>
              <w:spacing w:after="0" w:before="0" w:line="269" w:lineRule="auto"/>
            </w:pPr>
            <w:r/>
            <w:r>
              <w:rPr>
                <w:rFonts w:ascii="Microsoft YaHei" w:hAnsi="Microsoft YaHei" w:eastAsia="Microsoft YaHei"/>
                <w:b w:val="0"/>
                <w:color w:val="17324D"/>
                <w:sz w:val="16"/>
              </w:rPr>
              <w:t>产品</w:t>
            </w:r>
          </w:p>
        </w:tc>
        <w:tc>
          <w:tcPr>
            <w:tcW w:type="dxa" w:w="936"/>
            <w:shd w:fill="F4F6F8"/>
            <w:vAlign w:val="center"/>
            <w:tcMar>
              <w:top w:w="70" w:type="dxa"/>
              <w:start w:w="110" w:type="dxa"/>
              <w:bottom w:w="70" w:type="dxa"/>
              <w:end w:w="110" w:type="dxa"/>
            </w:tcMar>
          </w:tcPr>
          <w:p>
            <w:r>
              <w:t>已确认</w:t>
            </w:r>
          </w:p>
        </w:tc>
      </w:tr>
      <w:tr>
        <w:tc>
          <w:tcPr>
            <w:tcW w:type="dxa" w:w="792"/>
            <w:vAlign w:val="center"/>
          </w:tcPr>
          <w:p>
            <w:r>
              <w:t>D-09</w:t>
            </w:r>
          </w:p>
        </w:tc>
        <w:tc>
          <w:tcPr>
            <w:tcW w:type="dxa" w:w="5112"/>
            <w:vAlign w:val="center"/>
          </w:tcPr>
          <w:p>
            <w:r>
              <w:t>同一艺人匹配多个活动或场次时，如何澄清并确认目标？</w:t>
            </w:r>
          </w:p>
        </w:tc>
        <w:tc>
          <w:tcPr>
            <w:tcW w:type="dxa" w:w="1584"/>
            <w:vAlign w:val="center"/>
          </w:tcPr>
          <w:p>
            <w:r>
              <w:t>产品 / 设计</w:t>
            </w:r>
          </w:p>
        </w:tc>
        <w:tc>
          <w:tcPr>
            <w:tcW w:type="dxa" w:w="1080"/>
            <w:vAlign w:val="center"/>
          </w:tcPr>
          <w:p>
            <w:r>
              <w:t>已确认</w:t>
            </w:r>
          </w:p>
        </w:tc>
      </w:tr>
      <w:tr>
        <w:tc>
          <w:tcPr>
            <w:tcW w:type="dxa" w:w="792"/>
            <w:vAlign w:val="center"/>
          </w:tcPr>
          <w:p>
            <w:r>
              <w:t>D-10</w:t>
            </w:r>
          </w:p>
        </w:tc>
        <w:tc>
          <w:tcPr>
            <w:tcW w:type="dxa" w:w="5112"/>
            <w:vAlign w:val="center"/>
          </w:tcPr>
          <w:p>
            <w:r>
              <w:t>首期如何认定官方来源并用于核验？</w:t>
            </w:r>
          </w:p>
        </w:tc>
        <w:tc>
          <w:tcPr>
            <w:tcW w:type="dxa" w:w="1584"/>
            <w:vAlign w:val="center"/>
          </w:tcPr>
          <w:p>
            <w:r>
              <w:t>产品 / 研发</w:t>
            </w:r>
          </w:p>
        </w:tc>
        <w:tc>
          <w:tcPr>
            <w:tcW w:type="dxa" w:w="1080"/>
            <w:vAlign w:val="center"/>
          </w:tcPr>
          <w:p>
            <w:r>
              <w:t>已确认</w:t>
            </w:r>
          </w:p>
        </w:tc>
      </w:tr>
      <w:tr>
        <w:tc>
          <w:tcPr>
            <w:tcW w:type="dxa" w:w="792"/>
            <w:vAlign w:val="center"/>
          </w:tcPr>
          <w:p>
            <w:r>
              <w:t>D-11</w:t>
            </w:r>
          </w:p>
        </w:tc>
        <w:tc>
          <w:tcPr>
            <w:tcW w:type="dxa" w:w="5112"/>
            <w:vAlign w:val="center"/>
          </w:tcPr>
          <w:p>
            <w:r>
              <w:t>官方来源清单应如何分层维护？</w:t>
            </w:r>
          </w:p>
        </w:tc>
        <w:tc>
          <w:tcPr>
            <w:tcW w:type="dxa" w:w="1584"/>
            <w:vAlign w:val="center"/>
          </w:tcPr>
          <w:p>
            <w:r>
              <w:t>产品 / 研发</w:t>
            </w:r>
          </w:p>
        </w:tc>
        <w:tc>
          <w:tcPr>
            <w:tcW w:type="dxa" w:w="1080"/>
            <w:vAlign w:val="center"/>
          </w:tcPr>
          <w:p>
            <w:r>
              <w:t>已确认</w:t>
            </w:r>
          </w:p>
        </w:tc>
      </w:tr>
      <w:tr>
        <w:tc>
          <w:tcPr>
            <w:tcW w:type="dxa" w:w="792"/>
            <w:vAlign w:val="center"/>
          </w:tcPr>
          <w:p>
            <w:r>
              <w:t>D-12</w:t>
            </w:r>
          </w:p>
        </w:tc>
        <w:tc>
          <w:tcPr>
            <w:tcW w:type="dxa" w:w="5112"/>
            <w:vAlign w:val="center"/>
          </w:tcPr>
          <w:p>
            <w:r>
              <w:t>首期平台级清单的域名范围如何确定？</w:t>
            </w:r>
          </w:p>
        </w:tc>
        <w:tc>
          <w:tcPr>
            <w:tcW w:type="dxa" w:w="1584"/>
            <w:vAlign w:val="center"/>
          </w:tcPr>
          <w:p>
            <w:r>
              <w:t>产品 / 研发</w:t>
            </w:r>
          </w:p>
        </w:tc>
        <w:tc>
          <w:tcPr>
            <w:tcW w:type="dxa" w:w="1080"/>
            <w:vAlign w:val="center"/>
          </w:tcPr>
          <w:p>
            <w:r>
              <w:t>已确认</w:t>
            </w:r>
          </w:p>
        </w:tc>
      </w:tr>
      <w:tr>
        <w:tc>
          <w:tcPr>
            <w:tcW w:type="dxa" w:w="792"/>
            <w:vAlign w:val="center"/>
          </w:tcPr>
          <w:p>
            <w:r>
              <w:t>D-13</w:t>
            </w:r>
          </w:p>
        </w:tc>
        <w:tc>
          <w:tcPr>
            <w:tcW w:type="dxa" w:w="5112"/>
            <w:vAlign w:val="center"/>
          </w:tcPr>
          <w:p>
            <w:r>
              <w:t>平台级域名的首期调研应记录哪些准入维度？</w:t>
            </w:r>
          </w:p>
        </w:tc>
        <w:tc>
          <w:tcPr>
            <w:tcW w:type="dxa" w:w="1584"/>
            <w:vAlign w:val="center"/>
          </w:tcPr>
          <w:p>
            <w:r>
              <w:t>产品 / 研发</w:t>
            </w:r>
          </w:p>
        </w:tc>
        <w:tc>
          <w:tcPr>
            <w:tcW w:type="dxa" w:w="1080"/>
            <w:vAlign w:val="center"/>
          </w:tcPr>
          <w:p>
            <w:r>
              <w:t>已确认</w:t>
            </w:r>
          </w:p>
        </w:tc>
      </w:tr>
    </w:tbl>
    <w:p>
      <w:pPr>
        <w:spacing w:before="0" w:after="0" w:line="60" w:lineRule="exact"/>
      </w:pPr>
      <w:r>
        <w:rPr>
          <w:sz w:val="2"/>
        </w:rPr>
      </w:r>
    </w:p>
    <w:p>
      <w:pPr>
        <w:pStyle w:val="Heading1"/>
        <w:keepNext/>
        <w:pageBreakBefore/>
        <w:spacing w:before="180" w:after="80"/>
      </w:pPr>
      <w:r>
        <w:rPr>
          <w:rFonts w:ascii="Microsoft YaHei" w:hAnsi="Microsoft YaHei" w:eastAsia="Microsoft YaHei"/>
          <w:b/>
          <w:color w:val="17324D"/>
          <w:sz w:val="30"/>
        </w:rPr>
        <w:t>09 开发就绪条件</w:t>
      </w:r>
    </w:p>
    <w:p>
      <w:pPr>
        <w:pStyle w:val="ListBullet"/>
      </w:pPr>
      <w:r>
        <w:t>D-01 已确认：首期艺人范围不限；地域范围为中国大陆，城市不限；活动类型覆盖演唱会、巡演及其相关开票信息。</w:t>
      </w:r>
    </w:p>
    <w:p>
      <w:pPr>
        <w:pStyle w:val="ListBullet"/>
      </w:pPr>
      <w:r>
        <w:t>D-02 已确认：官方核验来源包括艺人本人、工作室或经纪公司、主办方、场馆及官方票务页面；自动查询仅面向公开页面。媒体和粉丝来源可作为线索展示，但须标为未核实，不能作为活动或开票时间的核验依据。</w:t>
      </w:r>
    </w:p>
    <w:p>
      <w:pPr>
        <w:pStyle w:val="ListBullet"/>
      </w:pPr>
      <w:r>
        <w:t>D-03 已确认：查询结果以来源卡片呈现候选活动及其来源；用户点击卡片上的“确认此活动”后，才进入提醒设置；未确认前不得创建提醒。</w:t>
      </w:r>
    </w:p>
    <w:p>
      <w:pPr>
        <w:pStyle w:val="ListBullet"/>
      </w:pPr>
      <w:r>
        <w:t>D-04 已确认：以已确认活动的演出开场时间或开票开始时间为基准，用户可选择提前 1 天、1 小时或 10 分钟提醒，可多选，默认提前 1 小时；每个所选提前量各触发一次。通知渠道采用邮箱；首期全站统一采用中国标准时间 Asia/Shanghai（UTC+8）。</w:t>
      </w:r>
    </w:p>
    <w:p>
      <w:pPr>
        <w:pStyle w:val="ListBullet"/>
      </w:pPr>
      <w:r>
        <w:t>D-05 已确认：首期提醒通知渠道采用邮箱；全站统一采用中国标准时间 Asia/Shanghai（UTC+8）。</w:t>
      </w:r>
    </w:p>
    <w:p>
      <w:pPr>
        <w:pStyle w:val="ListBullet"/>
      </w:pPr>
      <w:r>
        <w:t>D-06 已确认：查询失败时提示“查询暂时失败”并提供重试；来源冲突时并列展示各来源和证据、不自行判断，且在认可的官方来源核验一致前禁止基于冲突信息创建提醒；来源过期时显示上次成功官方核验时间并提示刷新，重新核验前不作为提醒依据。开票时间和活动状态有效期为 6 小时，演出日期和地点为 24 小时，均从最近一次成功官方核验起算。</w:t>
      </w:r>
    </w:p>
    <w:p>
      <w:pPr>
        <w:pStyle w:val="ListBullet"/>
        <w:keepNext/>
        <w:keepLines/>
        <w:spacing w:after="30" w:line="259" w:lineRule="auto"/>
        <w:ind w:left="317" w:hanging="230"/>
      </w:pPr>
      <w:r>
        <w:t>后续识别出的 P0 需求决策须在需求基线冻结前完成评审，并形成明确结论。</w:t>
      </w:r>
    </w:p>
    <w:p>
      <w:pPr>
        <w:pStyle w:val="ListBullet"/>
        <w:keepNext/>
        <w:keepLines/>
        <w:spacing w:after="30" w:line="259" w:lineRule="auto"/>
        <w:ind w:left="317" w:hanging="230"/>
      </w:pPr>
      <w:r>
        <w:t>首期官方来源清单及其账号/域名和可取得的数据字段须完成验证；来源有效期按照第 06 节规则执行；没有授权或能力依据的来源不得进入自动查询范围；清单外来源不得被自动认定为官方或作为提醒依据。</w:t>
      </w:r>
    </w:p>
    <w:p>
      <w:pPr>
        <w:pStyle w:val="ListBullet"/>
      </w:pPr>
      <w:r>
        <w:t>D-07 已确认：同一用户对同一场次的同一提前量不重复创建有效提醒；活动时间经核验确认变更后，按已选提前量重排所有未发送提醒并邮件告知；取消提醒后停止该提醒所有未发送通知，已发送通知保留记录。</w:t>
      </w:r>
    </w:p>
    <w:p>
      <w:pPr>
        <w:pStyle w:val="ListBullet"/>
      </w:pPr>
      <w:r>
        <w:t>D-08 已确认：首期采用小范围试用，记录查询结果、官方来源核验、提醒确认/创建/取消、邮件发送结果及提醒生命周期指标；先积累试点基线，再据此评审数值目标，不预设首期硬性目标。具体口径见第 10 节。</w:t>
      </w:r>
    </w:p>
    <w:p>
      <w:pPr>
        <w:pStyle w:val="ListBullet"/>
      </w:pPr>
      <w:r>
        <w:t>D-09 已确认：匹配到多个活动或场次时，只追问能区分候选的缺失信息；随后展示候选卡片，用户明确确认前不进入提醒设置或创建提醒。</w:t>
      </w:r>
    </w:p>
    <w:p>
      <w:pPr>
        <w:pStyle w:val="ListBullet"/>
      </w:pPr>
      <w:r>
        <w:t>D-10 已确认：首期维护官方来源清单，以经确认的艺人本人、工作室/经纪公司、主办方、场馆及官方票务页面账号或域名为准；清单外公开页面只作为未核实线索，不单独作官方核验依据。</w:t>
      </w:r>
    </w:p>
    <w:p>
      <w:pPr>
        <w:pStyle w:val="ListBullet"/>
      </w:pPr>
      <w:r>
        <w:t>D-11 已确认：官方来源清单分两层维护；平台级收录固定票务/公告域名，活动级逐场次记录并核验艺人、主办方或场馆账号/链接，并关联对应活动。</w:t>
      </w:r>
    </w:p>
    <w:p>
      <w:pPr>
        <w:pStyle w:val="ListBullet"/>
      </w:pPr>
      <w:r>
        <w:t>D-12 已确认：首期平台级域名由产品与研发按公开可访问性和活动/开票字段稳定性进行摸排，经评审纳入小范围清单；首期不承诺全平台覆盖。</w:t>
      </w:r>
    </w:p>
    <w:p>
      <w:pPr>
        <w:pStyle w:val="ListBullet"/>
      </w:pPr>
      <w:r>
        <w:t>D-13 已确认：平台级候选域名须完整记录页面可访问性、活动/场次与开票时间和状态字段、字段稳定性、官方身份依据、更新频率以及访问/授权边界；产品与研发评审通过后才纳入首期平台级清单。</w:t>
      </w:r>
    </w:p>
    <w:p>
      <w:pPr>
        <w:pStyle w:val="ListBullet"/>
        <w:keepNext/>
        <w:keepLines/>
        <w:spacing w:after="30" w:line="259" w:lineRule="auto"/>
        <w:ind w:left="317" w:hanging="230"/>
      </w:pPr>
      <w:r>
        <w:t>提醒提前量、邮箱通知渠道和首期统一时区已确认；提醒去重、核验后时间变更重排及取消规则已在 D-07 中明确。</w:t>
      </w:r>
    </w:p>
    <w:p>
      <w:pPr>
        <w:pStyle w:val="ListBullet"/>
        <w:keepNext/>
        <w:keepLines/>
        <w:spacing w:after="30" w:line="259" w:lineRule="auto"/>
        <w:ind w:left="317" w:hanging="230"/>
      </w:pPr>
      <w:r>
        <w:t>测试须覆盖查询成功、待公布、查询失败、多场次澄清、来源冲突、提醒创建与重复请求去重、核验后时间变更重排、提醒取消。</w:t>
      </w:r>
    </w:p>
    <w:p>
      <w:pPr>
        <w:pStyle w:val="ListBullet"/>
        <w:keepNext w:val="0"/>
        <w:keepLines/>
        <w:spacing w:after="30" w:line="259" w:lineRule="auto"/>
        <w:ind w:left="317" w:hanging="230"/>
      </w:pPr>
      <w:r>
        <w:t>研发须完成 cjxAgent 模块复用评估与技术拆分；需求基线不替代技术评审。</w:t>
      </w:r>
    </w:p>
    <w:p>
      <w:pPr>
        <w:spacing w:before="160" w:after="0"/>
      </w:pPr>
      <w:r>
        <w:rPr>
          <w:rFonts w:ascii="Microsoft YaHei" w:hAnsi="Microsoft YaHei" w:eastAsia="Microsoft YaHei"/>
          <w:b/>
          <w:color w:val="287A8A"/>
          <w:sz w:val="19"/>
        </w:rPr>
        <w:t>评审结论记录：</w:t>
      </w:r>
      <w:r>
        <w:rPr>
          <w:rFonts w:ascii="Microsoft YaHei" w:hAnsi="Microsoft YaHei" w:eastAsia="Microsoft YaHei"/>
          <w:color w:val="536273"/>
          <w:sz w:val="19"/>
        </w:rPr>
        <w:t>通过评审后，将已确认的待决项更新到本文件，并将版本状态改为“已基线”；后续需求变更需同步更新验收条件。</w:t>
      </w:r>
    </w:p>
    <w:p>
      <w:pPr>
        <w:pStyle w:val="Heading1"/>
        <w:pageBreakBefore w:val="0"/>
      </w:pPr>
      <w:r>
        <w:t>10 首期效果观测</w:t>
      </w:r>
    </w:p>
    <w:p>
      <w:pPr>
        <w:keepNext/>
      </w:pPr>
      <w:r>
        <w:t>首期采用小范围试用，先按下表记录状态、操作和发送结果，积累真实基线后再由产品、研发和测试共同评审目标值。MVP 阶段不预设缺少依据的数值门槛；试点对象与观测周期在试点计划中确定。</w:t>
      </w:r>
    </w:p>
    <w:tbl>
      <w:tblPr>
        <w:tblStyle w:val="TableGrid"/>
        <w:tblW w:type="auto" w:w="0"/>
        <w:jc w:val="center"/>
        <w:tblLayout w:type="fixed"/>
        <w:tblLook w:firstColumn="1" w:firstRow="1" w:lastColumn="0" w:lastRow="0" w:noHBand="0" w:noVBand="1" w:val="04A0"/>
      </w:tblPr>
      <w:tblGrid>
        <w:gridCol w:w="1944"/>
        <w:gridCol w:w="4464"/>
        <w:gridCol w:w="2664"/>
      </w:tblGrid>
      <w:tr>
        <w:trPr>
          <w:cantSplit/>
        </w:trPr>
        <w:tc>
          <w:tcPr>
            <w:tcW w:type="dxa" w:w="1944"/>
            <w:vAlign w:val="center"/>
            <w:shd w:fill="17324D"/>
          </w:tcPr>
          <w:p>
            <w:pPr>
              <w:spacing w:after="40"/>
            </w:pPr>
            <w:r>
              <w:rPr>
                <w:b/>
                <w:color w:val="FFFFFF"/>
                <w:sz w:val="18"/>
              </w:rPr>
              <w:t>指标</w:t>
            </w:r>
          </w:p>
        </w:tc>
        <w:tc>
          <w:tcPr>
            <w:tcW w:type="dxa" w:w="4464"/>
            <w:vAlign w:val="center"/>
            <w:shd w:fill="17324D"/>
          </w:tcPr>
          <w:p>
            <w:pPr>
              <w:spacing w:after="40"/>
            </w:pPr>
            <w:r>
              <w:rPr>
                <w:b/>
                <w:color w:val="FFFFFF"/>
                <w:sz w:val="18"/>
              </w:rPr>
              <w:t>记录口径</w:t>
            </w:r>
          </w:p>
        </w:tc>
        <w:tc>
          <w:tcPr>
            <w:tcW w:type="dxa" w:w="2664"/>
            <w:vAlign w:val="center"/>
            <w:shd w:fill="17324D"/>
          </w:tcPr>
          <w:p>
            <w:pPr>
              <w:spacing w:after="40"/>
            </w:pPr>
            <w:r>
              <w:rPr>
                <w:b/>
                <w:color w:val="FFFFFF"/>
                <w:sz w:val="18"/>
              </w:rPr>
              <w:t>首期使用方式</w:t>
            </w:r>
          </w:p>
        </w:tc>
      </w:tr>
      <w:tr>
        <w:trPr>
          <w:cantSplit/>
        </w:trPr>
        <w:tc>
          <w:tcPr>
            <w:tcW w:type="dxa" w:w="1944"/>
            <w:vAlign w:val="center"/>
          </w:tcPr>
          <w:p>
            <w:pPr>
              <w:spacing w:after="40"/>
            </w:pPr>
            <w:r>
              <w:rPr>
                <w:sz w:val="18"/>
              </w:rPr>
              <w:t>查询结果与状态清晰度</w:t>
            </w:r>
          </w:p>
        </w:tc>
        <w:tc>
          <w:tcPr>
            <w:tcW w:type="dxa" w:w="4464"/>
            <w:vAlign w:val="center"/>
          </w:tcPr>
          <w:p>
            <w:pPr>
              <w:spacing w:after="40"/>
            </w:pPr>
            <w:r>
              <w:rPr>
                <w:sz w:val="18"/>
              </w:rPr>
              <w:t>按有效查询记录返回状态分布：可用信息、待公布、查询暂时失败、来源冲突、来源过期；同时记录明确返回状态的查询数/有效查询数。</w:t>
            </w:r>
          </w:p>
        </w:tc>
        <w:tc>
          <w:tcPr>
            <w:tcW w:type="dxa" w:w="2664"/>
            <w:vAlign w:val="center"/>
          </w:tcPr>
          <w:p>
            <w:pPr>
              <w:spacing w:after="40"/>
            </w:pPr>
            <w:r>
              <w:rPr>
                <w:sz w:val="18"/>
              </w:rPr>
              <w:t>“待公布”是有效业务状态，不计为查询失败；观察查询链路是否清楚区分结果。</w:t>
            </w:r>
          </w:p>
        </w:tc>
      </w:tr>
      <w:tr>
        <w:trPr>
          <w:cantSplit/>
        </w:trPr>
        <w:tc>
          <w:tcPr>
            <w:tcW w:type="dxa" w:w="1944"/>
            <w:vAlign w:val="center"/>
          </w:tcPr>
          <w:p>
            <w:pPr>
              <w:spacing w:after="40"/>
            </w:pPr>
            <w:r>
              <w:rPr>
                <w:sz w:val="18"/>
              </w:rPr>
              <w:t>官方来源核验覆盖</w:t>
            </w:r>
          </w:p>
        </w:tc>
        <w:tc>
          <w:tcPr>
            <w:tcW w:type="dxa" w:w="4464"/>
            <w:vAlign w:val="center"/>
          </w:tcPr>
          <w:p>
            <w:pPr>
              <w:spacing w:after="40"/>
            </w:pPr>
            <w:r>
              <w:rPr>
                <w:sz w:val="18"/>
              </w:rPr>
              <w:t>记录展示候选活动中具有可访问官方来源且标明核验状态的数量；媒体/粉丝线索单独计数，不计为官方核验。</w:t>
            </w:r>
          </w:p>
        </w:tc>
        <w:tc>
          <w:tcPr>
            <w:tcW w:type="dxa" w:w="2664"/>
            <w:vAlign w:val="center"/>
          </w:tcPr>
          <w:p>
            <w:pPr>
              <w:spacing w:after="40"/>
            </w:pPr>
            <w:r>
              <w:rPr>
                <w:sz w:val="18"/>
              </w:rPr>
              <w:t>了解 MVP 能否稳定呈现符合来源规则的信息，不预设覆盖率目标。</w:t>
            </w:r>
          </w:p>
        </w:tc>
      </w:tr>
      <w:tr>
        <w:trPr>
          <w:cantSplit/>
        </w:trPr>
        <w:tc>
          <w:tcPr>
            <w:tcW w:type="dxa" w:w="1944"/>
            <w:vAlign w:val="center"/>
          </w:tcPr>
          <w:p>
            <w:pPr>
              <w:spacing w:after="40"/>
            </w:pPr>
            <w:r>
              <w:rPr>
                <w:sz w:val="18"/>
              </w:rPr>
              <w:t>用户确认与提醒转化</w:t>
            </w:r>
          </w:p>
        </w:tc>
        <w:tc>
          <w:tcPr>
            <w:tcW w:type="dxa" w:w="4464"/>
            <w:vAlign w:val="center"/>
          </w:tcPr>
          <w:p>
            <w:pPr>
              <w:spacing w:after="40"/>
            </w:pPr>
            <w:r>
              <w:rPr>
                <w:sz w:val="18"/>
              </w:rPr>
              <w:t>按用户和场次记录来源确认、提醒创建、提醒取消；观察已确认场次中创建至少一条提醒的比例，并记录创建后取消量。</w:t>
            </w:r>
          </w:p>
        </w:tc>
        <w:tc>
          <w:tcPr>
            <w:tcW w:type="dxa" w:w="2664"/>
            <w:vAlign w:val="center"/>
          </w:tcPr>
          <w:p>
            <w:pPr>
              <w:spacing w:after="40"/>
            </w:pPr>
            <w:r>
              <w:rPr>
                <w:sz w:val="18"/>
              </w:rPr>
              <w:t>判断用户能否完成“查询—确认—提醒”主流程；取消量作为行为描述，不直接等同失败。</w:t>
            </w:r>
          </w:p>
        </w:tc>
      </w:tr>
      <w:tr>
        <w:trPr>
          <w:cantSplit/>
        </w:trPr>
        <w:tc>
          <w:tcPr>
            <w:tcW w:type="dxa" w:w="1944"/>
            <w:vAlign w:val="center"/>
          </w:tcPr>
          <w:p>
            <w:pPr>
              <w:spacing w:after="40"/>
            </w:pPr>
            <w:r>
              <w:rPr>
                <w:sz w:val="18"/>
              </w:rPr>
              <w:t>邮件发送尝试结果</w:t>
            </w:r>
          </w:p>
        </w:tc>
        <w:tc>
          <w:tcPr>
            <w:tcW w:type="dxa" w:w="4464"/>
            <w:vAlign w:val="center"/>
          </w:tcPr>
          <w:p>
            <w:pPr>
              <w:spacing w:after="40"/>
            </w:pPr>
            <w:r>
              <w:rPr>
                <w:sz w:val="18"/>
              </w:rPr>
              <w:t>逐次记录提醒邮件发送尝试及 SMTP 接受或失败结果，统计 SMTP 接受数/发送尝试数。</w:t>
            </w:r>
          </w:p>
        </w:tc>
        <w:tc>
          <w:tcPr>
            <w:tcW w:type="dxa" w:w="2664"/>
            <w:vAlign w:val="center"/>
          </w:tcPr>
          <w:p>
            <w:pPr>
              <w:spacing w:after="40"/>
            </w:pPr>
            <w:r>
              <w:rPr>
                <w:sz w:val="18"/>
              </w:rPr>
              <w:t>观察发送链路可靠性；SMTP 接受只表示服务商接受请求，不代表邮件必然进入收件箱。</w:t>
            </w:r>
          </w:p>
        </w:tc>
      </w:tr>
      <w:tr>
        <w:trPr>
          <w:cantSplit/>
        </w:trPr>
        <w:tc>
          <w:tcPr>
            <w:tcW w:type="dxa" w:w="1944"/>
            <w:vAlign w:val="center"/>
          </w:tcPr>
          <w:p>
            <w:pPr>
              <w:spacing w:after="40"/>
            </w:pPr>
            <w:r>
              <w:rPr>
                <w:sz w:val="18"/>
              </w:rPr>
              <w:t>提醒生命周期正确性</w:t>
            </w:r>
          </w:p>
        </w:tc>
        <w:tc>
          <w:tcPr>
            <w:tcW w:type="dxa" w:w="4464"/>
            <w:vAlign w:val="center"/>
          </w:tcPr>
          <w:p>
            <w:pPr>
              <w:spacing w:after="40"/>
            </w:pPr>
            <w:r>
              <w:rPr>
                <w:sz w:val="18"/>
              </w:rPr>
              <w:t>记录重复请求去重、核验后时间变更重排、取消提醒停止未发送通知的处理结果及异常。</w:t>
            </w:r>
          </w:p>
        </w:tc>
        <w:tc>
          <w:tcPr>
            <w:tcW w:type="dxa" w:w="2664"/>
            <w:vAlign w:val="center"/>
          </w:tcPr>
          <w:p>
            <w:pPr>
              <w:spacing w:after="40"/>
            </w:pPr>
            <w:r>
              <w:rPr>
                <w:sz w:val="18"/>
              </w:rPr>
              <w:t>用于核查 D-07 规则是否按预期执行；试点基线形成后再评估量化目标。</w:t>
            </w:r>
          </w:p>
        </w:tc>
      </w:tr>
    </w:tbl>
    <w:sectPr w:rsidR="00FC693F" w:rsidRPr="0006063C" w:rsidSect="00034616">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87A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5362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星序 MVP 需求基线</dc:title>
  <dc:subject>艺人演出与开票信息查询及提醒</dc:subject>
  <dc:creator>python-docx</dc:creator>
  <cp:keywords>星序, MVP, 需求基线, Agent</cp:keywords>
  <dc:description>generated by python-docx</dc:description>
  <cp:lastModifiedBy/>
  <cp:revision>1</cp:revision>
  <dcterms:created xsi:type="dcterms:W3CDTF">2013-12-23T23:15:00Z</dcterms:created>
  <dcterms:modified xsi:type="dcterms:W3CDTF">2013-12-23T23:15:00Z</dcterms:modified>
  <cp:category/>
</cp:coreProperties>
</file>