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Tecnológico y de Estudios Superiores de Monterrey</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Escuela de Ingeniería y Ciencias</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Monterrey</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TC3006C.102: Inteligencia artificial avanzada para la ciencia de datos I</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Momento de Retroalimentación: Reto Análisis del contexto y la normatividad. (Portafolio Análisis)</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Jesús Daniel Martínez García - A00833591</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480" w:lineRule="auto"/>
        <w:ind w:firstLine="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Lunes 9 de Septiembre de 2024</w:t>
      </w:r>
    </w:p>
    <w:p w:rsidR="00000000" w:rsidDel="00000000" w:rsidP="00000000" w:rsidRDefault="00000000" w:rsidRPr="00000000" w14:paraId="00000013">
      <w:pPr>
        <w:spacing w:after="240" w:before="240" w:line="480" w:lineRule="auto"/>
        <w:ind w:firstLine="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xn7n3za5y7w5" w:id="0"/>
      <w:bookmarkEnd w:id="0"/>
      <w:r w:rsidDel="00000000" w:rsidR="00000000" w:rsidRPr="00000000">
        <w:rPr>
          <w:rFonts w:ascii="Times New Roman" w:cs="Times New Roman" w:eastAsia="Times New Roman" w:hAnsi="Times New Roman"/>
          <w:b w:val="1"/>
          <w:color w:val="000000"/>
          <w:sz w:val="22"/>
          <w:szCs w:val="22"/>
          <w:rtl w:val="0"/>
        </w:rPr>
        <w:t xml:space="preserve">Introducción</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detalla cómo el modelo de </w:t>
      </w:r>
      <w:r w:rsidDel="00000000" w:rsidR="00000000" w:rsidRPr="00000000">
        <w:rPr>
          <w:rFonts w:ascii="Times New Roman" w:cs="Times New Roman" w:eastAsia="Times New Roman" w:hAnsi="Times New Roman"/>
          <w:b w:val="1"/>
          <w:rtl w:val="0"/>
        </w:rPr>
        <w:t xml:space="preserve">regresión logística</w:t>
      </w:r>
      <w:r w:rsidDel="00000000" w:rsidR="00000000" w:rsidRPr="00000000">
        <w:rPr>
          <w:rFonts w:ascii="Times New Roman" w:cs="Times New Roman" w:eastAsia="Times New Roman" w:hAnsi="Times New Roman"/>
          <w:rtl w:val="0"/>
        </w:rPr>
        <w:t xml:space="preserve">, desarrollado para el análisis de datos médicos, cumple con las normativas y principios éticos establecidos en la industria de la inteligencia artificial y en el manejo de datos sensibles. Los principales puntos de cumplimiento incluyen regulaciones como el </w:t>
      </w:r>
      <w:r w:rsidDel="00000000" w:rsidR="00000000" w:rsidRPr="00000000">
        <w:rPr>
          <w:rFonts w:ascii="Times New Roman" w:cs="Times New Roman" w:eastAsia="Times New Roman" w:hAnsi="Times New Roman"/>
          <w:b w:val="1"/>
          <w:rtl w:val="0"/>
        </w:rPr>
        <w:t xml:space="preserve">Reglamento General de Protección de Datos (GDPR)</w:t>
      </w:r>
      <w:r w:rsidDel="00000000" w:rsidR="00000000" w:rsidRPr="00000000">
        <w:rPr>
          <w:rFonts w:ascii="Times New Roman" w:cs="Times New Roman" w:eastAsia="Times New Roman" w:hAnsi="Times New Roman"/>
          <w:rtl w:val="0"/>
        </w:rPr>
        <w:t xml:space="preserve"> y la </w:t>
      </w:r>
      <w:r w:rsidDel="00000000" w:rsidR="00000000" w:rsidRPr="00000000">
        <w:rPr>
          <w:rFonts w:ascii="Times New Roman" w:cs="Times New Roman" w:eastAsia="Times New Roman" w:hAnsi="Times New Roman"/>
          <w:b w:val="1"/>
          <w:rtl w:val="0"/>
        </w:rPr>
        <w:t xml:space="preserve">Ley de Portabilidad y Responsabilidad de Seguros de Salud (HIPAA)</w:t>
      </w:r>
      <w:r w:rsidDel="00000000" w:rsidR="00000000" w:rsidRPr="00000000">
        <w:rPr>
          <w:rFonts w:ascii="Times New Roman" w:cs="Times New Roman" w:eastAsia="Times New Roman" w:hAnsi="Times New Roman"/>
          <w:rtl w:val="0"/>
        </w:rPr>
        <w:t xml:space="preserve">, además de cumplir con los lineamientos éticos para la inteligencia artificial establecidos por la </w:t>
      </w:r>
      <w:r w:rsidDel="00000000" w:rsidR="00000000" w:rsidRPr="00000000">
        <w:rPr>
          <w:rFonts w:ascii="Times New Roman" w:cs="Times New Roman" w:eastAsia="Times New Roman" w:hAnsi="Times New Roman"/>
          <w:b w:val="1"/>
          <w:rtl w:val="0"/>
        </w:rPr>
        <w:t xml:space="preserve">Organización Mundial de la Salud (OMS)</w:t>
      </w:r>
      <w:r w:rsidDel="00000000" w:rsidR="00000000" w:rsidRPr="00000000">
        <w:rPr>
          <w:rFonts w:ascii="Times New Roman" w:cs="Times New Roman" w:eastAsia="Times New Roman" w:hAnsi="Times New Roman"/>
          <w:rtl w:val="0"/>
        </w:rPr>
        <w:t xml:space="preserve"> y los estándares de seguridad de información </w:t>
      </w:r>
      <w:r w:rsidDel="00000000" w:rsidR="00000000" w:rsidRPr="00000000">
        <w:rPr>
          <w:rFonts w:ascii="Times New Roman" w:cs="Times New Roman" w:eastAsia="Times New Roman" w:hAnsi="Times New Roman"/>
          <w:b w:val="1"/>
          <w:rtl w:val="0"/>
        </w:rPr>
        <w:t xml:space="preserve">ISO/IEC 27001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2t9hpibfimuo" w:id="1"/>
      <w:bookmarkEnd w:id="1"/>
      <w:r w:rsidDel="00000000" w:rsidR="00000000" w:rsidRPr="00000000">
        <w:rPr>
          <w:rFonts w:ascii="Times New Roman" w:cs="Times New Roman" w:eastAsia="Times New Roman" w:hAnsi="Times New Roman"/>
          <w:b w:val="1"/>
          <w:color w:val="000000"/>
          <w:sz w:val="22"/>
          <w:szCs w:val="22"/>
          <w:rtl w:val="0"/>
        </w:rPr>
        <w:t xml:space="preserve">Cumplimiento Normativo</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Reglamento General de Protección de Datos (GDPR)</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Anonimización de los Datos</w:t>
      </w:r>
      <w:r w:rsidDel="00000000" w:rsidR="00000000" w:rsidRPr="00000000">
        <w:rPr>
          <w:rFonts w:ascii="Times New Roman" w:cs="Times New Roman" w:eastAsia="Times New Roman" w:hAnsi="Times New Roman"/>
          <w:rtl w:val="0"/>
        </w:rPr>
        <w:t xml:space="preserve">: El modelo de regresión logística ha sido entrenado utilizando datos anonimizados proporcionados por la plataforma Kaggle, en concordancia con el </w:t>
      </w:r>
      <w:r w:rsidDel="00000000" w:rsidR="00000000" w:rsidRPr="00000000">
        <w:rPr>
          <w:rFonts w:ascii="Times New Roman" w:cs="Times New Roman" w:eastAsia="Times New Roman" w:hAnsi="Times New Roman"/>
          <w:b w:val="1"/>
          <w:rtl w:val="0"/>
        </w:rPr>
        <w:t xml:space="preserve">artículo 5</w:t>
      </w:r>
      <w:r w:rsidDel="00000000" w:rsidR="00000000" w:rsidRPr="00000000">
        <w:rPr>
          <w:rFonts w:ascii="Times New Roman" w:cs="Times New Roman" w:eastAsia="Times New Roman" w:hAnsi="Times New Roman"/>
          <w:rtl w:val="0"/>
        </w:rPr>
        <w:t xml:space="preserve"> del GDPR, que exige que los datos personales sean tratados de manera justa y transparente. Dado que los datos utilizados no contienen información personalmente identificable (PII), se cumple con el </w:t>
      </w:r>
      <w:r w:rsidDel="00000000" w:rsidR="00000000" w:rsidRPr="00000000">
        <w:rPr>
          <w:rFonts w:ascii="Times New Roman" w:cs="Times New Roman" w:eastAsia="Times New Roman" w:hAnsi="Times New Roman"/>
          <w:b w:val="1"/>
          <w:rtl w:val="0"/>
        </w:rPr>
        <w:t xml:space="preserve">artículo 6</w:t>
      </w:r>
      <w:r w:rsidDel="00000000" w:rsidR="00000000" w:rsidRPr="00000000">
        <w:rPr>
          <w:rFonts w:ascii="Times New Roman" w:cs="Times New Roman" w:eastAsia="Times New Roman" w:hAnsi="Times New Roman"/>
          <w:rtl w:val="0"/>
        </w:rPr>
        <w:t xml:space="preserve"> del GDPR, que define las bases legales para el tratamiento de los datos.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Protección de Derechos del Individuo</w:t>
      </w:r>
      <w:r w:rsidDel="00000000" w:rsidR="00000000" w:rsidRPr="00000000">
        <w:rPr>
          <w:rFonts w:ascii="Times New Roman" w:cs="Times New Roman" w:eastAsia="Times New Roman" w:hAnsi="Times New Roman"/>
          <w:rtl w:val="0"/>
        </w:rPr>
        <w:t xml:space="preserve">: El uso de datos anonimizados asegura que los derechos de los individuos están completamente protegidos. No se puede rastrear ni identificar a ninguna persona con los datos utilizados, lo que garantiza que la información procesada por el modelo cumple con las exigencias de privacidad y confidencialidad del GDPR.</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Ley de Portabilidad y Responsabilidad de Seguros de Salud (HIPAA)</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Desidentificación de Información de Salud</w:t>
      </w:r>
      <w:r w:rsidDel="00000000" w:rsidR="00000000" w:rsidRPr="00000000">
        <w:rPr>
          <w:rFonts w:ascii="Times New Roman" w:cs="Times New Roman" w:eastAsia="Times New Roman" w:hAnsi="Times New Roman"/>
          <w:rtl w:val="0"/>
        </w:rPr>
        <w:t xml:space="preserve">: Siguiendo la </w:t>
      </w:r>
      <w:r w:rsidDel="00000000" w:rsidR="00000000" w:rsidRPr="00000000">
        <w:rPr>
          <w:rFonts w:ascii="Times New Roman" w:cs="Times New Roman" w:eastAsia="Times New Roman" w:hAnsi="Times New Roman"/>
          <w:b w:val="1"/>
          <w:rtl w:val="0"/>
        </w:rPr>
        <w:t xml:space="preserve">Sección 164.502</w:t>
      </w:r>
      <w:r w:rsidDel="00000000" w:rsidR="00000000" w:rsidRPr="00000000">
        <w:rPr>
          <w:rFonts w:ascii="Times New Roman" w:cs="Times New Roman" w:eastAsia="Times New Roman" w:hAnsi="Times New Roman"/>
          <w:rtl w:val="0"/>
        </w:rPr>
        <w:t xml:space="preserve"> de HIPAA, el modelo utiliza información desidentificada, lo cual cumple con los requisitos de la ley para proteger los datos médicos. Esta desidentificación asegura que la información de salud no pueda vincularse a individuos específicos, previniendo la exposición de información confidencial.</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Cumplimiento con Normas de Privacidad</w:t>
      </w:r>
      <w:r w:rsidDel="00000000" w:rsidR="00000000" w:rsidRPr="00000000">
        <w:rPr>
          <w:rFonts w:ascii="Times New Roman" w:cs="Times New Roman" w:eastAsia="Times New Roman" w:hAnsi="Times New Roman"/>
          <w:rtl w:val="0"/>
        </w:rPr>
        <w:t xml:space="preserve">: Los datos médicos que han sido anonimizados cumplen con las exigencias de HIPAA, permitiendo su uso para investigación sin comprometer la privacidad de los pacientes. Esto asegura que el modelo de regresión logística respeta los estándares de privacidad y seguridad de datos médicos.</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Términos y Condiciones de Kaggle</w:t>
      </w:r>
    </w:p>
    <w:p w:rsidR="00000000" w:rsidDel="00000000" w:rsidP="00000000" w:rsidRDefault="00000000" w:rsidRPr="00000000" w14:paraId="00000022">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Licencia de Datos</w:t>
      </w:r>
      <w:r w:rsidDel="00000000" w:rsidR="00000000" w:rsidRPr="00000000">
        <w:rPr>
          <w:rFonts w:ascii="Times New Roman" w:cs="Times New Roman" w:eastAsia="Times New Roman" w:hAnsi="Times New Roman"/>
          <w:rtl w:val="0"/>
        </w:rPr>
        <w:t xml:space="preserve">: La plataforma Kaggle impone términos estrictos sobre el uso de los datos anonimizados. Como se menciona en los términos de servicio, cualquier usuario que descargue datos debe cumplir con las leyes locales de privacidad y garantizar que los datos no se utilicen de manera indebida. El modelo de regresión logística ha sido desarrollado bajo estos términos, lo que asegura que no se infringe ninguna normativa local o internacional.</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dlrv1osdnm01" w:id="2"/>
      <w:bookmarkEnd w:id="2"/>
      <w:r w:rsidDel="00000000" w:rsidR="00000000" w:rsidRPr="00000000">
        <w:rPr>
          <w:rFonts w:ascii="Times New Roman" w:cs="Times New Roman" w:eastAsia="Times New Roman" w:hAnsi="Times New Roman"/>
          <w:b w:val="1"/>
          <w:color w:val="000000"/>
          <w:sz w:val="22"/>
          <w:szCs w:val="22"/>
          <w:rtl w:val="0"/>
        </w:rPr>
        <w:t xml:space="preserve">Cumplimiento de Normas y Principios Éticos en IA</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Principios Éticos de la IA (OMS)</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Transparencia y Explicabilidad</w:t>
      </w:r>
      <w:r w:rsidDel="00000000" w:rsidR="00000000" w:rsidRPr="00000000">
        <w:rPr>
          <w:rFonts w:ascii="Times New Roman" w:cs="Times New Roman" w:eastAsia="Times New Roman" w:hAnsi="Times New Roman"/>
          <w:rtl w:val="0"/>
        </w:rPr>
        <w:t xml:space="preserve">: El modelo de regresión logística garantiza transparencia en sus decisiones. Las predicciones generadas son interpretables y explicables, lo cual es un principio fundamental en las aplicaciones de IA en la salud, según lo establecido por la </w:t>
      </w:r>
      <w:r w:rsidDel="00000000" w:rsidR="00000000" w:rsidRPr="00000000">
        <w:rPr>
          <w:rFonts w:ascii="Times New Roman" w:cs="Times New Roman" w:eastAsia="Times New Roman" w:hAnsi="Times New Roman"/>
          <w:b w:val="1"/>
          <w:rtl w:val="0"/>
        </w:rPr>
        <w:t xml:space="preserve">OMS</w:t>
      </w:r>
      <w:r w:rsidDel="00000000" w:rsidR="00000000" w:rsidRPr="00000000">
        <w:rPr>
          <w:rFonts w:ascii="Times New Roman" w:cs="Times New Roman" w:eastAsia="Times New Roman" w:hAnsi="Times New Roman"/>
          <w:rtl w:val="0"/>
        </w:rPr>
        <w:t xml:space="preserve">. Esta transparencia permite que los resultados del modelo puedan ser entendidos y validados por médicos y especialistas en la salud, lo que facilita la toma de decisiones informadas.</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Equidad y No Discriminación</w:t>
      </w:r>
      <w:r w:rsidDel="00000000" w:rsidR="00000000" w:rsidRPr="00000000">
        <w:rPr>
          <w:rFonts w:ascii="Times New Roman" w:cs="Times New Roman" w:eastAsia="Times New Roman" w:hAnsi="Times New Roman"/>
          <w:rtl w:val="0"/>
        </w:rPr>
        <w:t xml:space="preserve">: Por la naturaleza de los datos utilizados no existen sesgos por raza, género o estatus socioeconómico en el modelo. Este análisis es crucial para evitar que el modelo tome decisiones discriminatorias o perjudique a grupos subrepresentados. Además, el proceso de entrenamiento ha incluido controles rigurosos para identificar posibles fuentes de sesgo y eliminarlas, garantizando la equidad en los resultados del modelo.</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Normas de Seguridad de la Información (ISO/IEC 27001)</w:t>
      </w:r>
    </w:p>
    <w:p w:rsidR="00000000" w:rsidDel="00000000" w:rsidP="00000000" w:rsidRDefault="00000000" w:rsidRPr="00000000" w14:paraId="00000028">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 de los Datos</w:t>
      </w:r>
      <w:r w:rsidDel="00000000" w:rsidR="00000000" w:rsidRPr="00000000">
        <w:rPr>
          <w:rFonts w:ascii="Times New Roman" w:cs="Times New Roman" w:eastAsia="Times New Roman" w:hAnsi="Times New Roman"/>
          <w:rtl w:val="0"/>
        </w:rPr>
        <w:t xml:space="preserve">: La norma ISO/IEC 27001 establece controles estrictos para garantizar la seguridad de los datos en los sistemas de información. El modelo de regresión logística ha sido desarrollado bajo un entorno seguro, cumpliendo con los estándares internacionales para el manejo y protección de datos. Los datos utilizados se almacenan y procesan de manera segura, evitando cualquier posibilidad de fuga o violación de la información.</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kpgtgxbjjj24" w:id="3"/>
      <w:bookmarkEnd w:id="3"/>
      <w:r w:rsidDel="00000000" w:rsidR="00000000" w:rsidRPr="00000000">
        <w:rPr>
          <w:rFonts w:ascii="Times New Roman" w:cs="Times New Roman" w:eastAsia="Times New Roman" w:hAnsi="Times New Roman"/>
          <w:b w:val="1"/>
          <w:color w:val="000000"/>
          <w:sz w:val="22"/>
          <w:szCs w:val="22"/>
          <w:rtl w:val="0"/>
        </w:rPr>
        <w:t xml:space="preserve">Prevención de Sesgos Éticos</w:t>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Validación Rigurosa del Modelo</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implementado una validación cruzada rigurosa para garantizar la precisión del modelo y evitar decisiones sesgadas. Esta validación ha sido clave para garantizar que el modelo ofrezca predicciones exactas y consistentes, minimizando el riesgo de error debido a la negligencia en el entrenamiento o implementación.</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Mitigación de Sesgos</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Eliminación de Disparidades</w:t>
      </w:r>
      <w:r w:rsidDel="00000000" w:rsidR="00000000" w:rsidRPr="00000000">
        <w:rPr>
          <w:rFonts w:ascii="Times New Roman" w:cs="Times New Roman" w:eastAsia="Times New Roman" w:hAnsi="Times New Roman"/>
          <w:rtl w:val="0"/>
        </w:rPr>
        <w:t xml:space="preserve">: Se han realizado controles específicos para evitar que el modelo esté sesgado. </w:t>
      </w:r>
    </w:p>
    <w:p w:rsidR="00000000" w:rsidDel="00000000" w:rsidP="00000000" w:rsidRDefault="00000000" w:rsidRPr="00000000" w14:paraId="0000002E">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Ajuste de las Variables Críticas</w:t>
      </w:r>
      <w:r w:rsidDel="00000000" w:rsidR="00000000" w:rsidRPr="00000000">
        <w:rPr>
          <w:rFonts w:ascii="Times New Roman" w:cs="Times New Roman" w:eastAsia="Times New Roman" w:hAnsi="Times New Roman"/>
          <w:rtl w:val="0"/>
        </w:rPr>
        <w:t xml:space="preserve">: En lugar de entrenar el modelo con todas las características disponibles, se ha realizado una selección de variables basada en su relevancia clínica, reduciendo la posibilidad de sesgo inducido por variables innecesarias. De este modo, el modelo se enfoca en factores médicamente relevantes para la predicción del cáncer.</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6frs49j8qwfm" w:id="4"/>
      <w:bookmarkEnd w:id="4"/>
      <w:r w:rsidDel="00000000" w:rsidR="00000000" w:rsidRPr="00000000">
        <w:rPr>
          <w:rFonts w:ascii="Times New Roman" w:cs="Times New Roman" w:eastAsia="Times New Roman" w:hAnsi="Times New Roman"/>
          <w:b w:val="1"/>
          <w:color w:val="000000"/>
          <w:sz w:val="22"/>
          <w:szCs w:val="22"/>
          <w:rtl w:val="0"/>
        </w:rPr>
        <w:t xml:space="preserve">Riesgos Éticos y Escenarios de Uso Indebido</w:t>
      </w:r>
    </w:p>
    <w:p w:rsidR="00000000" w:rsidDel="00000000" w:rsidP="00000000" w:rsidRDefault="00000000" w:rsidRPr="00000000" w14:paraId="0000003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Negligencia</w:t>
      </w:r>
    </w:p>
    <w:p w:rsidR="00000000" w:rsidDel="00000000" w:rsidP="00000000" w:rsidRDefault="00000000" w:rsidRPr="00000000" w14:paraId="00000031">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Riesgo: </w:t>
      </w:r>
      <w:r w:rsidDel="00000000" w:rsidR="00000000" w:rsidRPr="00000000">
        <w:rPr>
          <w:rFonts w:ascii="Times New Roman" w:cs="Times New Roman" w:eastAsia="Times New Roman" w:hAnsi="Times New Roman"/>
          <w:sz w:val="22"/>
          <w:szCs w:val="22"/>
          <w:rtl w:val="0"/>
        </w:rPr>
        <w:t xml:space="preserve">Si se implementa el modelo sin una validación adecuada, las predicciones podrían ser incorrectas, lo que podría resultar en decisiones médicas incorrectas. Por ejemplo, un diagnóstico erróneo podría llevar a un tratamiento innecesario o a un paciente que no reciba la atención adecuada.</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Medidas preventivas: </w:t>
      </w:r>
      <w:r w:rsidDel="00000000" w:rsidR="00000000" w:rsidRPr="00000000">
        <w:rPr>
          <w:rFonts w:ascii="Times New Roman" w:cs="Times New Roman" w:eastAsia="Times New Roman" w:hAnsi="Times New Roman"/>
          <w:sz w:val="22"/>
          <w:szCs w:val="22"/>
          <w:rtl w:val="0"/>
        </w:rPr>
        <w:t xml:space="preserve">Las predicciones del modelo se han validado continuamente mediante pruebas en conjuntos de validacion y testing. Además, los procedimientos se han documentado detalladamente en el codigo y reportes.</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Malicia</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Risgo: </w:t>
      </w:r>
      <w:r w:rsidDel="00000000" w:rsidR="00000000" w:rsidRPr="00000000">
        <w:rPr>
          <w:rFonts w:ascii="Times New Roman" w:cs="Times New Roman" w:eastAsia="Times New Roman" w:hAnsi="Times New Roman"/>
          <w:rtl w:val="0"/>
        </w:rPr>
        <w:t xml:space="preserve">Existe la posibilidad de que los resultados del modelo sean manipulados para beneficiar a ciertos grupos o personas. Esto podría afectar negativamente a los pacientes a nivel emocional, financiero o incluso de salud.</w:t>
      </w:r>
    </w:p>
    <w:p w:rsidR="00000000" w:rsidDel="00000000" w:rsidP="00000000" w:rsidRDefault="00000000" w:rsidRPr="00000000" w14:paraId="00000035">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Medidas preventivas: </w:t>
      </w:r>
      <w:r w:rsidDel="00000000" w:rsidR="00000000" w:rsidRPr="00000000">
        <w:rPr>
          <w:rFonts w:ascii="Times New Roman" w:cs="Times New Roman" w:eastAsia="Times New Roman" w:hAnsi="Times New Roman"/>
          <w:rtl w:val="0"/>
        </w:rPr>
        <w:t xml:space="preserve">Sólo los profesores pueden ver los datos junto con el modelo y todos los cambios en el repositorio se revisan, lo que garantiza que cualquier intento de manipulación se detecte de inmediato.</w:t>
      </w:r>
    </w:p>
    <w:p w:rsidR="00000000" w:rsidDel="00000000" w:rsidP="00000000" w:rsidRDefault="00000000" w:rsidRPr="00000000" w14:paraId="00000036">
      <w:pPr>
        <w:spacing w:after="240" w:before="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ading=h.cw4twylzt1cs" w:id="5"/>
      <w:bookmarkEnd w:id="5"/>
      <w:r w:rsidDel="00000000" w:rsidR="00000000" w:rsidRPr="00000000">
        <w:rPr>
          <w:rFonts w:ascii="Times New Roman" w:cs="Times New Roman" w:eastAsia="Times New Roman" w:hAnsi="Times New Roman"/>
          <w:b w:val="1"/>
          <w:color w:val="000000"/>
          <w:sz w:val="22"/>
          <w:szCs w:val="22"/>
          <w:rtl w:val="0"/>
        </w:rPr>
        <w:t xml:space="preserve">Conclusión</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de regresión logística que se creó para el análisis de datos médicos cumple con todos los estándares y estándares éticos de la industria. El modelo garantiza un uso ético y responsable de los datos, desde la privacidad de los datos anonimizados bajo el GDPR y HIPAA hasta la equidad y transparencia en los resultados de la IA según los lineamientos de la OMS. Además, se han tomado medidas robustas para evitar sesgos y prevenir el mal uso del modelo, lo que garantiza su aplicabilidad segura en el ámbito de la investigación médica y el diagnóstico del cáncer.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heading=h.2oszmvfry8jo" w:id="6"/>
      <w:bookmarkEnd w:id="6"/>
      <w:r w:rsidDel="00000000" w:rsidR="00000000" w:rsidRPr="00000000">
        <w:rPr>
          <w:rFonts w:ascii="Times New Roman" w:cs="Times New Roman" w:eastAsia="Times New Roman" w:hAnsi="Times New Roman"/>
          <w:color w:val="000000"/>
          <w:sz w:val="26"/>
          <w:szCs w:val="26"/>
          <w:rtl w:val="0"/>
        </w:rPr>
        <w:t xml:space="preserve">Referencias</w:t>
      </w:r>
    </w:p>
    <w:p w:rsidR="00000000" w:rsidDel="00000000" w:rsidP="00000000" w:rsidRDefault="00000000" w:rsidRPr="00000000" w14:paraId="00000047">
      <w:pPr>
        <w:numPr>
          <w:ilvl w:val="0"/>
          <w:numId w:val="1"/>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GDPR (2018). Artículos 5 y 6 del Reglamento General de Protección de Datos. Disponible en: </w:t>
      </w:r>
      <w:hyperlink r:id="rId7">
        <w:r w:rsidDel="00000000" w:rsidR="00000000" w:rsidRPr="00000000">
          <w:rPr>
            <w:rFonts w:ascii="Times New Roman" w:cs="Times New Roman" w:eastAsia="Times New Roman" w:hAnsi="Times New Roman"/>
            <w:color w:val="1155cc"/>
            <w:u w:val="single"/>
            <w:rtl w:val="0"/>
          </w:rPr>
          <w:t xml:space="preserve">https://gdpr-info.eu/art-5-gdpr/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(2021). 45 CFR § 164.502 - Reglas de Privacidad. Disponible en: </w:t>
      </w:r>
      <w:hyperlink r:id="rId8">
        <w:r w:rsidDel="00000000" w:rsidR="00000000" w:rsidRPr="00000000">
          <w:rPr>
            <w:rFonts w:ascii="Times New Roman" w:cs="Times New Roman" w:eastAsia="Times New Roman" w:hAnsi="Times New Roman"/>
            <w:color w:val="1155cc"/>
            <w:u w:val="single"/>
            <w:rtl w:val="0"/>
          </w:rPr>
          <w:t xml:space="preserve">https://www.hhs.gov/hipaa/for-professionals/privacy/index.html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(2023). Términos de Servicio y Normativas de Uso. Disponible en: </w:t>
      </w:r>
      <w:hyperlink r:id="rId9">
        <w:r w:rsidDel="00000000" w:rsidR="00000000" w:rsidRPr="00000000">
          <w:rPr>
            <w:rFonts w:ascii="Times New Roman" w:cs="Times New Roman" w:eastAsia="Times New Roman" w:hAnsi="Times New Roman"/>
            <w:color w:val="1155cc"/>
            <w:u w:val="single"/>
            <w:rtl w:val="0"/>
          </w:rPr>
          <w:t xml:space="preserve">https://www.kaggle.com/terms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(2021). Principios Éticos para el Diseño y Uso de la Inteligencia Artificial. Disponible en:</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https://www.who.int/publications-detail/9789240029207</w:t>
        </w:r>
      </w:hyperlink>
      <w:r w:rsidDel="00000000" w:rsidR="00000000" w:rsidRPr="00000000">
        <w:rPr>
          <w:rtl w:val="0"/>
        </w:rPr>
      </w:r>
    </w:p>
    <w:p w:rsidR="00000000" w:rsidDel="00000000" w:rsidP="00000000" w:rsidRDefault="00000000" w:rsidRPr="00000000" w14:paraId="0000004B">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ISO/IEC 27001. Sistemas de Gestión de Seguridad de la Información. Disponible en: </w:t>
      </w:r>
      <w:hyperlink r:id="rId12">
        <w:r w:rsidDel="00000000" w:rsidR="00000000" w:rsidRPr="00000000">
          <w:rPr>
            <w:rFonts w:ascii="Times New Roman" w:cs="Times New Roman" w:eastAsia="Times New Roman" w:hAnsi="Times New Roman"/>
            <w:color w:val="1155cc"/>
            <w:u w:val="single"/>
            <w:rtl w:val="0"/>
          </w:rPr>
          <w:t xml:space="preserve">https://www.iso.org/isoiec-27001-information-security.html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(2023). Terms and Cancer Dataset Information. Recuperado de https://www.kaggle.com/datasets/erdemtaha/cancer-data</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 Research Data Commons (CRDC). NCI Data Science Portal. Recuperado de </w:t>
      </w:r>
      <w:hyperlink r:id="rId13">
        <w:r w:rsidDel="00000000" w:rsidR="00000000" w:rsidRPr="00000000">
          <w:rPr>
            <w:rFonts w:ascii="Times New Roman" w:cs="Times New Roman" w:eastAsia="Times New Roman" w:hAnsi="Times New Roman"/>
            <w:color w:val="1155cc"/>
            <w:u w:val="single"/>
            <w:rtl w:val="0"/>
          </w:rPr>
          <w:t xml:space="preserve">https://datascience.cancer.gov/research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publications-detail/9789240029207" TargetMode="External"/><Relationship Id="rId10" Type="http://schemas.openxmlformats.org/officeDocument/2006/relationships/hyperlink" Target="https://www.who.int/publications-detail/9789240029207" TargetMode="External"/><Relationship Id="rId13" Type="http://schemas.openxmlformats.org/officeDocument/2006/relationships/hyperlink" Target="https://datascience.cancer.gov/research" TargetMode="External"/><Relationship Id="rId12" Type="http://schemas.openxmlformats.org/officeDocument/2006/relationships/hyperlink" Target="https://www.iso.org/isoiec-27001-information-secur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term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dpr-info.eu/art-5-gdpr/" TargetMode="External"/><Relationship Id="rId8" Type="http://schemas.openxmlformats.org/officeDocument/2006/relationships/hyperlink" Target="https://www.hhs.gov/hipaa/for-professionals/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kNX83tPSRsMRd5US4iAWDIlDTA==">CgMxLjAyDmgueG43bjN6YTV5N3c1Mg5oLjJ0OWhwaWJmaW11bzIOaC5kbHJ2MW9zZG5tMDEyDmgua3BndGd4YmpqajI0Mg5oLjZmcnM0OWo4cXdmbTIOaC5jdzR0d3lsenQxY3MyDmguMm9zem12ZnJ5OGpvOAByITFPekhaY2dyT3A0a3kwajIyUnVwUzdSeTNON09fcExYUQ==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