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Xc0cdf0ef98626bcacd03c478dba0940b5a061e4"/>
    <w:p>
      <w:pPr>
        <w:pStyle w:val="Heading2"/>
      </w:pPr>
      <w:r>
        <w:rPr>
          <w:rStyle w:val="SectionNumber"/>
        </w:rPr>
        <w:t xml:space="preserve">1.2</w:t>
      </w:r>
      <w:r>
        <w:tab/>
      </w:r>
      <w:r>
        <w:t xml:space="preserve">Relation to second-order multiconfigurational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8"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 These labels describe operator actions, not assembled Hessian matrices.</w:t>
      </w:r>
    </w:p>
    <w:bookmarkStart w:id="31" w:name="X6557ef79713174e2188006dbc0b493177e68299"/>
    <w:p>
      <w:pPr>
        <w:pStyle w:val="Heading2"/>
      </w:pPr>
      <w:r>
        <w:rPr>
          <w:rStyle w:val="SectionNumber"/>
        </w:rPr>
        <w:t xml:space="preserve">2.1</w:t>
      </w:r>
      <w:r>
        <w:tab/>
      </w:r>
      <w:r>
        <w:t xml:space="preserve">Nonorthogonal VB wave functions and the stationary structure problem</w:t>
      </w:r>
    </w:p>
    <w:p>
      <w:pPr>
        <w:pStyle w:val="FirstParagraph"/>
      </w:pPr>
      <w:r>
        <w:t xml:space="preserve">A valence bond (VB) wave function is expanded in a prescribed set of spin-adapted structures,</w:t>
      </w:r>
    </w:p>
    <w:p>
      <w:pPr>
        <w:pStyle w:val="BodyText"/>
      </w:pPr>
      <m:oMathPara>
        <m:oMathParaPr>
          <m:jc m:val="center"/>
        </m:oMathParaPr>
        <m:oMath>
          <m:r>
            <m:rPr>
              <m:sty m:val="p"/>
            </m:rPr>
            <m:t>|</m:t>
          </m:r>
          <m:sSub>
            <m:e>
              <m:r>
                <m:rPr>
                  <m:sty m:val="p"/>
                </m:rPr>
                <m:t>Ψ</m:t>
              </m:r>
            </m:e>
            <m:sub>
              <m:r>
                <m:t>n</m:t>
              </m:r>
            </m:sub>
          </m:sSub>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r>
                    <m:t>n</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VB structure</w:t>
      </w:r>
      <w:r>
        <w:t xml:space="preserve"> </w:t>
      </w:r>
      <m:oMath>
        <m:r>
          <m:t>I</m:t>
        </m:r>
      </m:oMath>
      <w:r>
        <w:t xml:space="preserve">,</w:t>
      </w:r>
      <w:r>
        <w:t xml:space="preserve"> </w:t>
      </w:r>
      <m:oMath>
        <m:sSub>
          <m:e>
            <m:r>
              <m:t>C</m:t>
            </m:r>
          </m:e>
          <m:sub>
            <m:r>
              <m:t>I</m:t>
            </m:r>
            <m:r>
              <m:t>n</m:t>
            </m:r>
          </m:sub>
        </m:sSub>
      </m:oMath>
      <w:r>
        <w:t xml:space="preserve"> </w:t>
      </w:r>
      <w:r>
        <w:t xml:space="preserve">is its coefficient in electronic state</w:t>
      </w:r>
      <w:r>
        <w:t xml:space="preserve"> </w:t>
      </w:r>
      <m:oMath>
        <m:r>
          <m:t>n</m:t>
        </m:r>
      </m:oMath>
      <w:r>
        <w:t xml:space="preserve">, and the sum runs over the selected VB structures. The vector</w:t>
      </w:r>
      <w:r>
        <w:t xml:space="preserve"> </w:t>
      </w:r>
      <m:oMath>
        <m:r>
          <m:rPr>
            <m:sty m:val="bi"/>
          </m:rPr>
          <m:t>x</m:t>
        </m:r>
      </m:oMath>
      <w:r>
        <w:t xml:space="preserve"> </w:t>
      </w:r>
      <w:r>
        <w:t xml:space="preserve">contains the allowed atomic orbital (AO) coefficients of the inactive and active orbitals. The Hamiltonian and overlap matrices in the VB structure basis are defined by</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We use</w:t>
      </w:r>
      <w:r>
        <w:t xml:space="preserve"> </w:t>
      </w:r>
      <m:oMath>
        <m:r>
          <m:rPr>
            <m:sty m:val="bi"/>
          </m:rPr>
          <m:t>M</m:t>
        </m:r>
      </m:oMath>
      <w:r>
        <w:t xml:space="preserve"> </w:t>
      </w:r>
      <w:r>
        <w:t xml:space="preserve">for the structure overlap matrix and</w:t>
      </w:r>
      <w:r>
        <w:t xml:space="preserve"> </w:t>
      </w:r>
      <m:oMath>
        <m:r>
          <m:rPr>
            <m:sty m:val="bi"/>
          </m:rPr>
          <m:t>S</m:t>
        </m:r>
      </m:oMath>
      <w:r>
        <w:t xml:space="preserve"> </w:t>
      </w:r>
      <w:r>
        <w:t xml:space="preserve">for the AO overlap matrix,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where</w:t>
      </w:r>
      <w:r>
        <w:t xml:space="preserve"> </w:t>
      </w:r>
      <m:oMath>
        <m:sSub>
          <m:e>
            <m:r>
              <m:t>χ</m:t>
            </m:r>
          </m:e>
          <m:sub>
            <m:r>
              <m:t>μ</m:t>
            </m:r>
          </m:sub>
        </m:sSub>
      </m:oMath>
      <w:r>
        <w:t xml:space="preserve"> </w:t>
      </w:r>
      <w:r>
        <w:t xml:space="preserve">denotes an AO basis function. The Hamiltonian matrix includes both inactive- and active-electron contributions. The nuclear repulsion is constant during orbital optimization and is omitted from the following expressions.</w:t>
      </w:r>
    </w:p>
    <w:p>
      <w:pPr>
        <w:pStyle w:val="BodyText"/>
      </w:pPr>
      <w:r>
        <w:t xml:space="preserve">At fixed orbitals, variation of the structure coefficients gives</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sSubSup>
            <m:e>
              <m:r>
                <m:rPr>
                  <m:sty m:val="bi"/>
                </m:rPr>
                <m:t>c</m:t>
              </m:r>
            </m:e>
            <m:sub>
              <m:r>
                <m:t>m</m:t>
              </m:r>
            </m:sub>
            <m:sup>
              <m:r>
                <m:t>T</m:t>
              </m:r>
            </m:sup>
          </m:sSubSup>
          <m:r>
            <m:rPr>
              <m:sty m:val="bi"/>
            </m:rPr>
            <m:t>M</m:t>
          </m:r>
          <m:sSub>
            <m:e>
              <m:r>
                <m:rPr>
                  <m:sty m:val="bi"/>
                </m:rPr>
                <m:t>c</m:t>
              </m:r>
            </m:e>
            <m:sub>
              <m:r>
                <m:t>n</m:t>
              </m:r>
            </m:sub>
          </m:sSub>
          <m:r>
            <m:rPr>
              <m:sty m:val="p"/>
            </m:rPr>
            <m:t>=</m:t>
          </m:r>
          <m:sSub>
            <m:e>
              <m:r>
                <m:t>δ</m:t>
              </m:r>
            </m:e>
            <m:sub>
              <m:r>
                <m:t>m</m:t>
              </m:r>
              <m:r>
                <m:t>n</m:t>
              </m:r>
            </m:sub>
          </m:sSub>
          <m:r>
            <m:rPr>
              <m:sty m:val="p"/>
            </m:rPr>
            <m:t>,</m:t>
          </m:r>
          <m:r>
            <m:t>  </m:t>
          </m:r>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E</m:t>
            </m:r>
          </m:e>
          <m:sub>
            <m:r>
              <m:t>n</m:t>
            </m:r>
          </m:sub>
        </m:sSub>
      </m:oMath>
      <w:r>
        <w:t xml:space="preserve"> </w:t>
      </w:r>
      <w:r>
        <w:t xml:space="preserve">and</w:t>
      </w:r>
      <w:r>
        <w:t xml:space="preserve"> </w:t>
      </w:r>
      <m:oMath>
        <m:sSub>
          <m:e>
            <m:r>
              <m:rPr>
                <m:sty m:val="bi"/>
              </m:rPr>
              <m:t>c</m:t>
            </m:r>
          </m:e>
          <m:sub>
            <m:r>
              <m:t>n</m:t>
            </m:r>
          </m:sub>
        </m:sSub>
      </m:oMath>
      <w:r>
        <w:t xml:space="preserve"> </w:t>
      </w:r>
      <w:r>
        <w:t xml:space="preserve">are the energy and structure-coefficient vector of state</w:t>
      </w:r>
      <w:r>
        <w:t xml:space="preserve"> </w:t>
      </w:r>
      <m:oMath>
        <m:r>
          <m:t>n</m:t>
        </m:r>
      </m:oMath>
      <w:r>
        <w:t xml:space="preserve">, respectively, with</w:t>
      </w:r>
      <w:r>
        <w:t xml:space="preserve"> </w:t>
      </w:r>
      <m:oMath>
        <m:r>
          <m:rPr>
            <m:sty m:val="p"/>
          </m:rPr>
          <m:t>(</m:t>
        </m:r>
        <m:sSub>
          <m:e>
            <m:r>
              <m:rPr>
                <m:sty m:val="bi"/>
              </m:rPr>
              <m:t>c</m:t>
            </m:r>
          </m:e>
          <m:sub>
            <m:r>
              <m:t>n</m:t>
            </m:r>
          </m:sub>
        </m:sSub>
        <m:sSub>
          <m:e>
            <m:r>
              <m:rPr>
                <m:sty m:val="p"/>
              </m:rPr>
              <m:t>)</m:t>
            </m:r>
          </m:e>
          <m:sub>
            <m:r>
              <m:t>I</m:t>
            </m:r>
          </m:sub>
        </m:sSub>
        <m:r>
          <m:rPr>
            <m:sty m:val="p"/>
          </m:rPr>
          <m:t>=</m:t>
        </m:r>
        <m:sSub>
          <m:e>
            <m:r>
              <m:t>C</m:t>
            </m:r>
          </m:e>
          <m:sub>
            <m:r>
              <m:t>I</m:t>
            </m:r>
            <m:r>
              <m:t>n</m:t>
            </m:r>
          </m:sub>
        </m:sSub>
      </m:oMath>
      <w:r>
        <w:t xml:space="preserve">, and</w:t>
      </w:r>
      <w:r>
        <w:t xml:space="preserve"> </w:t>
      </w:r>
      <m:oMath>
        <m:sSub>
          <m:e>
            <m:r>
              <m:t>δ</m:t>
            </m:r>
          </m:e>
          <m:sub>
            <m:r>
              <m:t>m</m:t>
            </m:r>
            <m:r>
              <m:t>n</m:t>
            </m:r>
          </m:sub>
        </m:sSub>
      </m:oMath>
      <w:r>
        <w:t xml:space="preserve"> </w:t>
      </w:r>
      <w:r>
        <w:t xml:space="preserve">is the Kronecker delta. We consider real wave functions; the superscript</w:t>
      </w:r>
      <w:r>
        <w:t xml:space="preserve"> </w:t>
      </w:r>
      <m:oMath>
        <m:r>
          <m:t>T</m:t>
        </m:r>
      </m:oMath>
      <w:r>
        <w:t xml:space="preserve"> </w:t>
      </w:r>
      <w:r>
        <w:t xml:space="preserve">denotes transpose. The objective</w:t>
      </w:r>
      <w:r>
        <w:t xml:space="preserve"> </w:t>
      </w:r>
      <m:oMath>
        <m:r>
          <m:rPr>
            <m:scr m:val="script"/>
            <m:sty m:val="p"/>
          </m:rPr>
          <m:t>E</m:t>
        </m:r>
      </m:oMath>
      <w:r>
        <w:t xml:space="preserve"> </w:t>
      </w:r>
      <w:r>
        <w:t xml:space="preserve">is the equally weighted average over the lowest</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states, 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states included in the average;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gives ground-state valence bond self-consistent field (VBSCF) optimization. We assume a positive-definite structure overlap on the working coefficient space and a selected eigenspace separated from excluded roots. Internal degeneracies among the equally weighted states do not change the state-averaged energy. A gap closing between selected and excluded roots, however, can destroy differentiability of this objective.</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(4)</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Thus no coefficient-response solve is required for the first derivative. Coefficient response is required for the second derivative: the cancellation leading to eq (4) does not permit the eigenvectors to be held fixed when that equation is differentiated.</w:t>
      </w:r>
    </w:p>
    <w:bookmarkEnd w:id="31"/>
    <w:bookmarkStart w:id="32" w:name="X8e1f20e358d132aee05834bcdf6fd92a62ce417"/>
    <w:p>
      <w:pPr>
        <w:pStyle w:val="Heading2"/>
      </w:pPr>
      <w:r>
        <w:rPr>
          <w:rStyle w:val="SectionNumber"/>
        </w:rPr>
        <w:t xml:space="preserve">2.2</w:t>
      </w:r>
      <w:r>
        <w:tab/>
      </w:r>
      <w:r>
        <w:t xml:space="preserve">Support-preserving orbital coordinates and the update map</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(5)</m:t>
          </m:r>
        </m:oMath>
      </m:oMathPara>
    </w:p>
    <w:p>
      <w:pPr>
        <w:pStyle w:val="FirstParagraph"/>
      </w:pPr>
      <w:r>
        <w:t xml:space="preserve">where</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These orbital coefficients are distinct from the structure coefficients</w:t>
      </w:r>
      <w:r>
        <w:t xml:space="preserve"> </w:t>
      </w:r>
      <m:oMath>
        <m:sSub>
          <m:e>
            <m:r>
              <m:t>C</m:t>
            </m:r>
          </m:e>
          <m:sub>
            <m:r>
              <m:t>I</m:t>
            </m:r>
            <m:r>
              <m:t>n</m:t>
            </m:r>
          </m:sub>
        </m:sSub>
      </m:oMath>
      <w:r>
        <w:t xml:space="preserve">. A hybrid atomic orbital (HAO) has a prescribed localized subset of allowed AOs; an overlap-enhanced orbital (OEO) has full AO support. Neither designation imposes mutual orthogonality of the VB orbitals.</w:t>
      </w:r>
    </w:p>
    <w:p>
      <w:pPr>
        <w:pStyle w:val="BodyText"/>
      </w:pPr>
      <w:r>
        <w:t xml:space="preserve">We remove a direction only when it is an infinitesimal invariance of the represented wave function and respects the specified supports. These invariances include orbital scaling and admissible changes of inactive representatives. For a complete active-space expansion with full-AO orbitals, nonsingular changes of the active basis can also be compensated by changes of the structure coefficients. This active-space invariance does not generally hold for an arbitrary selected set of VB structures. Consequently, active–active mixing is not removed merely because both orbitals are active.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(6)</m:t>
          </m:r>
        </m:oMath>
      </m:oMathPara>
    </w:p>
    <w:p>
      <w:pPr>
        <w:pStyle w:val="FirstParagraph"/>
      </w:pPr>
      <w:r>
        <w:t xml:space="preserve">Here</w:t>
      </w:r>
      <w:r>
        <w:t xml:space="preserve"> </w:t>
      </w:r>
      <m:oMath>
        <m:r>
          <m:rPr>
            <m:sty m:val="bi"/>
          </m:rPr>
          <m:t>t</m:t>
        </m:r>
      </m:oMath>
      <w:r>
        <w:t xml:space="preserve"> </w:t>
      </w:r>
      <w:r>
        <w:t xml:space="preserve">contains the coefficients of a linear combination of gauge generators;</w:t>
      </w:r>
      <w:r>
        <w:t xml:space="preserve"> </w:t>
      </w:r>
      <m:oMath>
        <m:sSub>
          <m:e>
            <m:r>
              <m:rPr>
                <m:sty m:val="bi"/>
              </m:rPr>
              <m:t>F</m:t>
            </m:r>
          </m:e>
          <m:sub>
            <m:r>
              <m:t>i</m:t>
            </m:r>
          </m:sub>
        </m:sSub>
        <m:sSub>
          <m:e>
            <m:r>
              <m:rPr>
                <m:sty m:val="bi"/>
              </m:rPr>
              <m:t>G</m:t>
            </m:r>
          </m:e>
          <m:sub>
            <m:r>
              <m:t>i</m:t>
            </m:r>
          </m:sub>
        </m:sSub>
        <m:r>
          <m:rPr>
            <m:sty m:val="bi"/>
          </m:rPr>
          <m:t>t</m:t>
        </m:r>
        <m:r>
          <m:rPr>
            <m:sty m:val="p"/>
          </m:rPr>
          <m:t>=</m:t>
        </m:r>
        <m:r>
          <m:t>0</m:t>
        </m:r>
      </m:oMath>
      <w:r>
        <w:t xml:space="preserve"> </w:t>
      </w:r>
      <w:r>
        <w:t xml:space="preserve">requires that combination to vanish on every forbidden AO. The complement of these admissible generators defines a local quotient basis. In particular, truncating a dense gauge generator to the allowed rows is not equivalent to eq (6).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and the preparation of orbitals for energy evaluation are distinct maps: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(7)</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 Equation (7) is an additive coefficient update followed by preparation, not an orthogonal orbital rotation or a sphere exponential map.</w:t>
      </w:r>
    </w:p>
    <w:p>
      <w:pPr>
        <w:pStyle w:val="BodyText"/>
      </w:pPr>
      <w:r>
        <w:t xml:space="preserve">All derivatives must refer to this same composition. For a scalar function</w:t>
      </w:r>
      <w:r>
        <w:t xml:space="preserve"> </w:t>
      </w:r>
      <m:oMath>
        <m:r>
          <m:t>F</m:t>
        </m:r>
      </m:oMath>
      <w:r>
        <w:t xml:space="preserve"> </w:t>
      </w:r>
      <w:r>
        <w:t xml:space="preserve">of prepared orbitals, its Hessian pullback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(8)</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second term is necessary even though the raw lift in eq (7) is linear. For example, 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(9)</m:t>
          </m:r>
        </m:oMath>
      </m:oMathPara>
    </w:p>
    <w:p>
      <w:pPr>
        <w:pStyle w:val="FirstParagraph"/>
      </w:pPr>
      <w:r>
        <w:t xml:space="preserve">where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 and</w:t>
      </w:r>
      <w:r>
        <w:t xml:space="preserve"> </w:t>
      </w:r>
      <m:oMath>
        <m:r>
          <m:rPr>
            <m:sty m:val="bi"/>
          </m:rPr>
          <m:t>I</m:t>
        </m:r>
      </m:oMath>
      <w:r>
        <w:t xml:space="preserve"> </w:t>
      </w:r>
      <w:r>
        <w:t xml:space="preserve">is the identity matrix of the appropriate dimension. Using an orbital-rotation Hessian with this coefficient update would omit the required map derivatives.</w:t>
      </w:r>
    </w:p>
    <w:bookmarkEnd w:id="32"/>
    <w:bookmarkStart w:id="33" w:name="physical-orbital-step-metric"/>
    <w:p>
      <w:pPr>
        <w:pStyle w:val="Heading2"/>
      </w:pPr>
      <w:r>
        <w:rPr>
          <w:rStyle w:val="SectionNumber"/>
        </w:rPr>
        <w:t xml:space="preserve">2.3</w:t>
      </w:r>
      <w:r>
        <w:tab/>
      </w:r>
      <w:r>
        <w:t xml:space="preserve">Physical orbital step metric</w:t>
      </w:r>
    </w:p>
    <w:p>
      <w:pPr>
        <w:pStyle w:val="FirstParagraph"/>
      </w:pPr>
      <w:r>
        <w:t xml:space="preserve">The trust-region norm measures changes of physical orbital representatives rather than the Euclidean magnitude of raw AO coefficients.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(10)</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The subscript</w:t>
      </w:r>
      <w:r>
        <w:t xml:space="preserve"> </w:t>
      </w:r>
      <m:oMath>
        <m:r>
          <m:t>o</m:t>
        </m:r>
      </m:oMath>
      <w:r>
        <w:t xml:space="preserve"> </w:t>
      </w:r>
      <w:r>
        <w:t xml:space="preserve">denotes orbital coordinates. We assume</w:t>
      </w:r>
      <w:r>
        <w:t xml:space="preserve"> </w:t>
      </w:r>
      <m:oMath>
        <m:sSub>
          <m:e>
            <m:r>
              <m:rPr>
                <m:sty m:val="bi"/>
              </m:rPr>
              <m:t>G</m:t>
            </m:r>
          </m:e>
          <m:sub>
            <m:r>
              <m:t>o</m:t>
            </m:r>
          </m:sub>
        </m:sSub>
      </m:oMath>
      <w:r>
        <w:t xml:space="preserve"> </w:t>
      </w:r>
      <w:r>
        <w:t xml:space="preserve">is positive definite on the retained coordinates. Metric application and dual-norm evaluation need not construct a dense matrix. Local conditioning of each orbital quotient basis does not, in general, whiten the complete coupled physical metric. The metric is also distinct from a Hessian preconditioner: the former defines step size and residual norms, whereas the latter accelerates the iterative solution without changing the target equation.</w:t>
      </w:r>
    </w:p>
    <w:bookmarkEnd w:id="33"/>
    <w:bookmarkStart w:id="34" w:name="Xe3678f3615e859bc87ce03787d2d5f7a7a1814c"/>
    <w:p>
      <w:pPr>
        <w:pStyle w:val="Heading2"/>
      </w:pPr>
      <w:r>
        <w:rPr>
          <w:rStyle w:val="SectionNumber"/>
        </w:rPr>
        <w:t xml:space="preserve">2.4</w:t>
      </w:r>
      <w:r>
        <w:tab/>
      </w:r>
      <w:r>
        <w:t xml:space="preserve">Horizontal structure response and the coupled quadratic model</w:t>
      </w:r>
    </w:p>
    <w:p>
      <w:pPr>
        <w:pStyle w:val="FirstParagraph"/>
      </w:pPr>
      <w:r>
        <w:t xml:space="preserve">Collect the selected eigenvectors in</w:t>
      </w:r>
      <w:r>
        <w:t xml:space="preserve"> </w:t>
      </w:r>
      <m:oMath>
        <m:r>
          <m:rPr>
            <m:sty m:val="bi"/>
          </m:rPr>
          <m:t>C</m:t>
        </m:r>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p>
          <m:e>
            <m:r>
              <m:rPr>
                <m:sty m:val="bi"/>
              </m:rPr>
              <m:t>C</m:t>
            </m:r>
          </m:e>
          <m:sup>
            <m:r>
              <m:t>T</m:t>
            </m:r>
          </m:sup>
        </m:sSup>
        <m:r>
          <m:rPr>
            <m:sty m:val="bi"/>
          </m:rPr>
          <m:t>M</m:t>
        </m:r>
        <m:r>
          <m:rPr>
            <m:sty m:val="bi"/>
          </m:rPr>
          <m:t>C</m:t>
        </m:r>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t>g</m:t>
              </m:r>
            </m:sub>
          </m:sSub>
          <m:r>
            <m:rPr>
              <m:sty m:val="p"/>
            </m:rPr>
            <m:t>=</m:t>
          </m:r>
          <m:r>
            <m:rPr>
              <m:sty m:val="p"/>
            </m:rPr>
            <m:t>−</m:t>
          </m:r>
          <m:f>
            <m:fPr>
              <m:type m:val="lin"/>
            </m:fPr>
            <m:num>
              <m:r>
                <m:t>1</m:t>
              </m:r>
            </m:num>
            <m:den>
              <m:r>
                <m:t>2</m:t>
              </m:r>
            </m:den>
          </m:f>
          <m:r>
            <m:rPr>
              <m:sty m:val="bi"/>
            </m:rPr>
            <m:t>C</m:t>
          </m:r>
          <m:r>
            <m:rPr>
              <m:sty m:val="p"/>
            </m:rPr>
            <m:t>(</m:t>
          </m:r>
          <m:sSup>
            <m:e>
              <m:r>
                <m:rPr>
                  <m:sty m:val="bi"/>
                </m:rPr>
                <m:t>C</m:t>
              </m:r>
            </m:e>
            <m:sup>
              <m:r>
                <m:t>T</m:t>
              </m:r>
            </m:sup>
          </m:sSup>
          <m:acc>
            <m:accPr>
              <m:chr m:val="̇"/>
            </m:accPr>
            <m:e>
              <m:r>
                <m:rPr>
                  <m:sty m:val="bi"/>
                </m:rPr>
                <m:t>M</m:t>
              </m:r>
            </m:e>
          </m:acc>
          <m:r>
            <m:rPr>
              <m:sty m:val="bi"/>
            </m:rPr>
            <m:t>C</m:t>
          </m:r>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(11)</m:t>
          </m:r>
        </m:oMath>
      </m:oMathPara>
    </w:p>
    <w:p>
      <w:pPr>
        <w:pStyle w:val="FirstParagraph"/>
      </w:pPr>
      <w:r>
        <w:t xml:space="preserve">Here</w:t>
      </w:r>
      <w:r>
        <w:t xml:space="preserve"> </w:t>
      </w:r>
      <m:oMath>
        <m:sSub>
          <m:e>
            <m:acc>
              <m:accPr>
                <m:chr m:val="̇"/>
              </m:accPr>
              <m:e>
                <m:r>
                  <m:rPr>
                    <m:sty m:val="bi"/>
                  </m:rPr>
                  <m:t>C</m:t>
                </m:r>
              </m:e>
            </m:acc>
          </m:e>
          <m:sub>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p>
          <m:e>
            <m:r>
              <m:rPr>
                <m:sty m:val="bi"/>
              </m:rPr>
              <m:t>C</m:t>
            </m:r>
          </m:e>
          <m:sup>
            <m:r>
              <m:t>T</m:t>
            </m:r>
          </m:sup>
        </m:s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The latter condition fixes the response coordinates; it does not impose orthogonality on the VB structures.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(12)</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uses structure Hamiltonian and overlap actions on</w:t>
      </w:r>
      <w:r>
        <w:t xml:space="preserve"> </w:t>
      </w:r>
      <m:oMath>
        <m:r>
          <m:rPr>
            <m:sty m:val="bi"/>
          </m:rPr>
          <m:t>Z</m:t>
        </m:r>
        <m:sSub>
          <m:e>
            <m:r>
              <m:rPr>
                <m:sty m:val="bi"/>
              </m:rPr>
              <m:t>q</m:t>
            </m:r>
          </m:e>
          <m:sub>
            <m:r>
              <m:t>n</m:t>
            </m:r>
          </m:sub>
        </m:sSub>
      </m:oMath>
      <w:r>
        <w:t xml:space="preserve">; it does not require assembling a structure Hessian.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(12)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It is not the raw HVP obtained by freezing all structure coefficients.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(13)</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This equation defines the curvature action mathematically; it does not prescribe constructing the directional derivative matrices or a Hessian.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(14)</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(4) in the coordinates of eq (7).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 All curvature and coupling actions therefore derive from the same constrained energy, without requiring explicit Hessian assembly.</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(15)</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applied by solving a linear equation, not by constructing an inverse. Small structure gaps can make the relaxation contribution large even when the coupling action is small. A complete eigenvalue spectrum is not needed to evaluate eq (15); iterative actions on the admissible response space suffice.</w:t>
      </w:r>
    </w:p>
    <w:bookmarkEnd w:id="34"/>
    <w:bookmarkStart w:id="35" w:name="X585acee64440383605dc4d60be863248645f1b5"/>
    <w:p>
      <w:pPr>
        <w:pStyle w:val="Heading2"/>
      </w:pPr>
      <w:r>
        <w:rPr>
          <w:rStyle w:val="SectionNumber"/>
        </w:rPr>
        <w:t xml:space="preserve">2.5</w:t>
      </w:r>
      <w:r>
        <w:tab/>
      </w:r>
      <w:r>
        <w:t xml:space="preserve">Orbital restricted steps and the norm-extended formulation</w:t>
      </w:r>
    </w:p>
    <w:p>
      <w:pPr>
        <w:pStyle w:val="FirstParagraph"/>
      </w:pPr>
      <w:r>
        <w:t xml:space="preserve">We restrict the physical orbital displacement, not the joint length of orbital and structure response:</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(16)</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structure variables describe local electronic relaxation and do not receive an independent trust-region penalty.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(17)</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(15),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(18)</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(19)</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(17). The gradient scale is therefore tied to the restricted step rather than being an arbitrary fixed parameter.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(18) and (19) to express its norm-extended interpretation. It does not repeatedly solve a full-dimensional augmented eigenproblem or form</w:t>
      </w:r>
      <w:r>
        <w:t xml:space="preserve"> </w:t>
      </w:r>
      <m:oMath>
        <m:sSub>
          <m:e>
            <m:r>
              <m:rPr>
                <m:scr m:val="script"/>
                <m:sty m:val="p"/>
              </m:rPr>
              <m:t>H</m:t>
            </m:r>
          </m:e>
          <m:sub>
            <m:r>
              <m:rPr>
                <m:sty m:val="p"/>
              </m:rPr>
              <m:t>r</m:t>
            </m:r>
            <m:r>
              <m:rPr>
                <m:sty m:val="p"/>
              </m:rPr>
              <m:t>e</m:t>
            </m:r>
            <m:r>
              <m:rPr>
                <m:sty m:val="p"/>
              </m:rPr>
              <m:t>l</m:t>
            </m:r>
          </m:sub>
        </m:sSub>
      </m:oMath>
      <w:r>
        <w:t xml:space="preserve">.</w:t>
      </w:r>
    </w:p>
    <w:bookmarkEnd w:id="35"/>
    <w:bookmarkStart w:id="36" w:name="Xd766e9f9f9269a6fc70b85f76dc2b4e866912d9"/>
    <w:p>
      <w:pPr>
        <w:pStyle w:val="Heading2"/>
      </w:pPr>
      <w:r>
        <w:rPr>
          <w:rStyle w:val="SectionNumber"/>
        </w:rPr>
        <w:t xml:space="preserve">2.6</w:t>
      </w:r>
      <w:r>
        <w:tab/>
      </w:r>
      <w:r>
        <w:t xml:space="preserve">Independent response spaces and full residual certification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(20)</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Only these subspace projections are stored as matrices; the full curvature and coupling operators remain matrix-free. The dagger on the small matrix denotes its Moore–Penrose pseudoinverse. New directions require new operator images; previously computed images are retained at the same accepted orbital point. Changing the trust radius does not invalidate these images. The projected Schur complement is inexpensive once these small matrices are available, but is not assumed to reproduce the full structure relaxation merely because its projected equations are solved accurately.</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(21)</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(11).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(22)</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It does not eliminate coupling work: appending an orbital direction still requires its orbital-to-structure image.</w:t>
      </w:r>
    </w:p>
    <w:bookmarkEnd w:id="36"/>
    <w:bookmarkStart w:id="37" w:name="Xd183fbc7e1b56d1d45683a7ec8820b864787eb1"/>
    <w:p>
      <w:pPr>
        <w:pStyle w:val="Heading2"/>
      </w:pPr>
      <w:r>
        <w:rPr>
          <w:rStyle w:val="SectionNumber"/>
        </w:rPr>
        <w:t xml:space="preserve">2.7</w:t>
      </w:r>
      <w:r>
        <w:tab/>
      </w:r>
      <w:r>
        <w:t xml:space="preserve">Trial evaluation, approximate models, and local convergence</w:t>
      </w:r>
    </w:p>
    <w:p>
      <w:pPr>
        <w:pStyle w:val="FirstParagraph"/>
      </w:pPr>
      <w:r>
        <w:t xml:space="preserve">Only the orbital component of the local step is applied in eq (7). At the trial orbitals, the selected structure problem is solved again;</w:t>
      </w:r>
      <w:r>
        <w:t xml:space="preserve"> </w:t>
      </w:r>
      <m:oMath>
        <m:r>
          <m:rPr>
            <m:sty m:val="bi"/>
          </m:rPr>
          <m:t>q</m:t>
        </m:r>
      </m:oMath>
      <w:r>
        <w:t xml:space="preserve"> </w:t>
      </w:r>
      <w:r>
        <w:t xml:space="preserve">is an auxiliary local response, not a replacement for this nonlinear reoptimization.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(23)</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No cross-iteration secant Hessian history is required by this NEO formulation; a previous orbital direction may provide a warm start.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It is therefore not simply eq (14) with</w:t>
      </w:r>
      <w:r>
        <w:t xml:space="preserve"> </w:t>
      </w:r>
      <m:oMath>
        <m:sSup>
          <m:e>
            <m:r>
              <m:rPr>
                <m:scr m:val="script"/>
                <m:sty m:val="p"/>
              </m:rPr>
              <m:t>H</m:t>
            </m:r>
          </m:e>
          <m:sup>
            <m:r>
              <m:t>s</m:t>
            </m:r>
            <m:r>
              <m:t>o</m:t>
            </m:r>
          </m:sup>
        </m:sSup>
        <m:r>
          <m:rPr>
            <m:sty m:val="p"/>
          </m:rPr>
          <m:t>=</m:t>
        </m:r>
        <m:r>
          <m:t>0</m:t>
        </m:r>
      </m:oMath>
      <w:r>
        <w:t xml:space="preserve">, nor is it the complete fixed-structure orbital Hessian.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One-electron orbital blocks are used as a preconditioner, not substituted for the full Hessian in these statements. The comparison methods are block-preconditioned L-BFGS (block-LBFGS) and truncated Newton with Hessian–vector products (TNHVP), where a Hessian–vector product (HVP) applies the Hessian to a direction without forming the matrix. Block-LBFGS retains secant history with a block initial inverse, whereas the current TNHVP implementation uses a block-LBFGS baseline with conditional HVP-based correction. Their performance must be measured against NEO rather than inferred from the labels</w:t>
      </w:r>
      <w:r>
        <w:t xml:space="preserve"> </w:t>
      </w:r>
      <w:r>
        <w:t xml:space="preserve">“first order”</w:t>
      </w:r>
      <w:r>
        <w:t xml:space="preserve"> </w:t>
      </w:r>
      <w:r>
        <w:t xml:space="preserve">and</w:t>
      </w:r>
      <w:r>
        <w:t xml:space="preserve"> </w:t>
      </w:r>
      <w:r>
        <w:t xml:space="preserve">“second order.”</w:t>
      </w:r>
    </w:p>
    <w:bookmarkEnd w:id="37"/>
    <w:bookmarkEnd w:id="38"/>
    <w:bookmarkStart w:id="42" w:name="implementation"/>
    <w:p>
      <w:pPr>
        <w:pStyle w:val="Heading1"/>
      </w:pPr>
      <w:r>
        <w:rPr>
          <w:rStyle w:val="SectionNumber"/>
        </w:rPr>
        <w:t xml:space="preserve">3</w:t>
      </w:r>
      <w:r>
        <w:tab/>
      </w:r>
      <w:r>
        <w:t xml:space="preserve">IMPLEMENTATION</w:t>
      </w:r>
    </w:p>
    <w:bookmarkStart w:id="39"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9"/>
    <w:bookmarkStart w:id="40" w:name="trial-steps-and-accepted-point-updates"/>
    <w:p>
      <w:pPr>
        <w:pStyle w:val="Heading2"/>
      </w:pPr>
      <w:r>
        <w:rPr>
          <w:rStyle w:val="SectionNumber"/>
        </w:rPr>
        <w:t xml:space="preserve">3.2</w:t>
      </w:r>
      <w:r>
        <w:tab/>
      </w:r>
      <w:r>
        <w:t xml:space="preserve">Trial steps and accepted-point updates</w:t>
      </w:r>
    </w:p>
    <w:p>
      <w:pPr>
        <w:pStyle w:val="FirstParagraph"/>
      </w:pPr>
      <w:r>
        <w:t xml:space="preserve">Give the acceptance and trust-radius update settings associated with eq (23).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40"/>
    <w:bookmarkStart w:id="41"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1"/>
    <w:bookmarkEnd w:id="42"/>
    <w:bookmarkStart w:id="46" w:name="computational-details"/>
    <w:p>
      <w:pPr>
        <w:pStyle w:val="Heading1"/>
      </w:pPr>
      <w:r>
        <w:rPr>
          <w:rStyle w:val="SectionNumber"/>
        </w:rPr>
        <w:t xml:space="preserve">4</w:t>
      </w:r>
      <w:r>
        <w:tab/>
      </w:r>
      <w:r>
        <w:t xml:space="preserve">COMPUTATIONAL DETAILS</w:t>
      </w:r>
    </w:p>
    <w:bookmarkStart w:id="43"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3"/>
    <w:bookmarkStart w:id="44"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4"/>
    <w:bookmarkStart w:id="45"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5"/>
    <w:bookmarkEnd w:id="46"/>
    <w:bookmarkStart w:id="52" w:name="results-and-discussion"/>
    <w:p>
      <w:pPr>
        <w:pStyle w:val="Heading1"/>
      </w:pPr>
      <w:r>
        <w:rPr>
          <w:rStyle w:val="SectionNumber"/>
        </w:rPr>
        <w:t xml:space="preserve">5</w:t>
      </w:r>
      <w:r>
        <w:tab/>
      </w:r>
      <w:r>
        <w:t xml:space="preserve">RESULTS AND DISCUSSION</w:t>
      </w:r>
    </w:p>
    <w:bookmarkStart w:id="47"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7"/>
    <w:bookmarkStart w:id="48"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8"/>
    <w:bookmarkStart w:id="49"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9"/>
    <w:bookmarkStart w:id="50"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50"/>
    <w:bookmarkStart w:id="51"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1"/>
    <w:bookmarkEnd w:id="52"/>
    <w:bookmarkStart w:id="53"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3"/>
    <w:bookmarkStart w:id="55" w:name="associated-content"/>
    <w:p>
      <w:pPr>
        <w:pStyle w:val="Heading1"/>
      </w:pPr>
      <w:r>
        <w:t xml:space="preserve">ASSOCIATED CONTENT</w:t>
      </w:r>
    </w:p>
    <w:bookmarkStart w:id="54"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4"/>
    <w:bookmarkEnd w:id="55"/>
    <w:bookmarkStart w:id="56"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6"/>
    <w:bookmarkStart w:id="57"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7"/>
    <w:bookmarkStart w:id="58"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8"/>
    <w:bookmarkStart w:id="59"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9"/>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2026-10-07T10:25:09Z</dcterms:created>
  <dcterms:modified xsi:type="dcterms:W3CDTF">2026-10-07T10:25:09Z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