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n</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r>
                    <m:t>n</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C</m:t>
            </m:r>
          </m:e>
          <m:sub>
            <m:r>
              <m:t>I</m:t>
            </m:r>
            <m:r>
              <m:t>n</m:t>
            </m:r>
          </m:sub>
        </m:sSub>
      </m:oMath>
      <w:r>
        <w:t xml:space="preserve"> </w:t>
      </w:r>
      <w:r>
        <w:t xml:space="preserve">is its coefficient in electronic state</w:t>
      </w:r>
      <w:r>
        <w:t xml:space="preserve"> </w:t>
      </w:r>
      <m:oMath>
        <m:r>
          <m:t>n</m:t>
        </m:r>
      </m:oMath>
      <w:r>
        <w:t xml:space="preserve">, and the sum runs over the selected VB structures. The vector</w:t>
      </w:r>
      <w:r>
        <w:t xml:space="preserve"> </w:t>
      </w:r>
      <m:oMath>
        <m:r>
          <m:rPr>
            <m:sty m:val="bi"/>
          </m:rPr>
          <m:t>x</m:t>
        </m:r>
      </m:oMath>
      <w:r>
        <w:t xml:space="preserve"> </w:t>
      </w:r>
      <w:r>
        <w:t xml:space="preserve">contains the allowed atomic orbital (AO) coefficients of the inactive and active orbitals. The Hamiltonian and overlap matrices in the VB structure basis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We use</w:t>
      </w:r>
      <w:r>
        <w:t xml:space="preserve"> </w:t>
      </w:r>
      <m:oMath>
        <m:r>
          <m:rPr>
            <m:sty m:val="bi"/>
          </m:rPr>
          <m:t>M</m:t>
        </m:r>
      </m:oMath>
      <w:r>
        <w:t xml:space="preserve"> </w:t>
      </w:r>
      <w:r>
        <w:t xml:space="preserve">for the structure overlap matrix and</w:t>
      </w:r>
      <w:r>
        <w:t xml:space="preserve"> </w:t>
      </w:r>
      <m:oMath>
        <m:r>
          <m:rPr>
            <m:sty m:val="bi"/>
          </m:rPr>
          <m:t>S</m:t>
        </m:r>
      </m:oMath>
      <w:r>
        <w:t xml:space="preserve"> </w:t>
      </w:r>
      <w:r>
        <w:t xml:space="preserve">for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denotes an AO basis function. The Hamiltonian matrix includes both inactive- and active-electron contributions. The nuclear repulsion is constant during orbital optimization and is omitted from the following expressions.</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sSubSup>
            <m:e>
              <m:r>
                <m:rPr>
                  <m:sty m:val="bi"/>
                </m:rPr>
                <m:t>c</m:t>
              </m:r>
            </m:e>
            <m:sub>
              <m:r>
                <m:t>m</m:t>
              </m:r>
            </m:sub>
            <m:sup>
              <m:r>
                <m:t>T</m:t>
              </m:r>
            </m:sup>
          </m:sSubSup>
          <m:r>
            <m:rPr>
              <m:sty m:val="bi"/>
            </m:rPr>
            <m:t>M</m:t>
          </m:r>
          <m:sSub>
            <m:e>
              <m:r>
                <m:rPr>
                  <m:sty m:val="bi"/>
                </m:rPr>
                <m:t>c</m:t>
              </m:r>
            </m:e>
            <m:sub>
              <m:r>
                <m:t>n</m:t>
              </m:r>
            </m:sub>
          </m:sSub>
          <m:r>
            <m:rPr>
              <m:sty m:val="p"/>
            </m:rPr>
            <m:t>=</m:t>
          </m:r>
          <m:sSub>
            <m:e>
              <m:r>
                <m:t>δ</m:t>
              </m:r>
            </m:e>
            <m:sub>
              <m:r>
                <m:t>m</m:t>
              </m:r>
              <m:r>
                <m:t>n</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and</w:t>
      </w:r>
      <w:r>
        <w:t xml:space="preserve"> </w:t>
      </w:r>
      <m:oMath>
        <m:sSub>
          <m:e>
            <m:r>
              <m:rPr>
                <m:sty m:val="bi"/>
              </m:rPr>
              <m:t>c</m:t>
            </m:r>
          </m:e>
          <m:sub>
            <m:r>
              <m:t>n</m:t>
            </m:r>
          </m:sub>
        </m:sSub>
      </m:oMath>
      <w:r>
        <w:t xml:space="preserve"> </w:t>
      </w:r>
      <w:r>
        <w:t xml:space="preserve">are the energy and structure-coefficient vector of state</w:t>
      </w:r>
      <w:r>
        <w:t xml:space="preserve"> </w:t>
      </w:r>
      <m:oMath>
        <m:r>
          <m:t>n</m:t>
        </m:r>
      </m:oMath>
      <w:r>
        <w:t xml:space="preserve">, respectively, with</w:t>
      </w:r>
      <w:r>
        <w:t xml:space="preserve"> </w:t>
      </w:r>
      <m:oMath>
        <m:r>
          <m:rPr>
            <m:sty m:val="p"/>
          </m:rPr>
          <m:t>(</m:t>
        </m:r>
        <m:sSub>
          <m:e>
            <m:r>
              <m:rPr>
                <m:sty m:val="bi"/>
              </m:rPr>
              <m:t>c</m:t>
            </m:r>
          </m:e>
          <m:sub>
            <m:r>
              <m:t>n</m:t>
            </m:r>
          </m:sub>
        </m:sSub>
        <m:sSub>
          <m:e>
            <m:r>
              <m:rPr>
                <m:sty m:val="p"/>
              </m:rPr>
              <m:t>)</m:t>
            </m:r>
          </m:e>
          <m:sub>
            <m:r>
              <m:t>I</m:t>
            </m:r>
          </m:sub>
        </m:sSub>
        <m:r>
          <m:rPr>
            <m:sty m:val="p"/>
          </m:rPr>
          <m:t>=</m:t>
        </m:r>
        <m:sSub>
          <m:e>
            <m:r>
              <m:t>C</m:t>
            </m:r>
          </m:e>
          <m:sub>
            <m:r>
              <m:t>I</m:t>
            </m:r>
            <m:r>
              <m:t>n</m:t>
            </m:r>
          </m:sub>
        </m:sSub>
      </m:oMath>
      <w:r>
        <w:t xml:space="preserve">, and</w:t>
      </w:r>
      <w:r>
        <w:t xml:space="preserve"> </w:t>
      </w:r>
      <m:oMath>
        <m:sSub>
          <m:e>
            <m:r>
              <m:t>δ</m:t>
            </m:r>
          </m:e>
          <m:sub>
            <m:r>
              <m:t>m</m:t>
            </m:r>
            <m:r>
              <m:t>n</m:t>
            </m:r>
          </m:sub>
        </m:sSub>
      </m:oMath>
      <w:r>
        <w:t xml:space="preserve"> </w:t>
      </w:r>
      <w:r>
        <w:t xml:space="preserve">is the Kronecker delta. We consider real wave functions;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averages the lowest</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states with equal weights;</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gives ground-state valence bond self-consistent field (VBSCF) optimization. We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(4)</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(7)</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(8)</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(9)</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(6).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(10)</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(9) in the coordinates of eq (6).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(15);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(6),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2026-10-07T10:31:17Z</dcterms:created>
  <dcterms:modified xsi:type="dcterms:W3CDTF">2026-10-07T10:31:17Z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