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the</w:t>
      </w:r>
      <w:r>
        <w:t xml:space="preserve"> </w:t>
      </w:r>
      <m:oMath>
        <m:r>
          <m:t>I</m:t>
        </m:r>
      </m:oMath>
      <w:r>
        <w:t xml:space="preserve">th spin-adapted VB structure,</w:t>
      </w:r>
      <w:r>
        <w:t xml:space="preserve"> </w:t>
      </w:r>
      <m:oMath>
        <m:r>
          <m:rPr>
            <m:sty m:val="bi"/>
          </m:rPr>
          <m:t>C</m:t>
        </m:r>
      </m:oMath>
      <w:r>
        <w:t xml:space="preserve"> </w:t>
      </w:r>
      <w:r>
        <w:t xml:space="preserve">is the vector of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(2)</m:t>
          </m:r>
        </m:oMath>
      </m:oMathPara>
    </w:p>
    <w:p>
      <w:pPr>
        <w:pStyle w:val="FirstParagraph"/>
      </w:pPr>
      <w:r>
        <w:t xml:space="preserve">where</w:t>
      </w:r>
      <w:r>
        <w:t xml:space="preserve"> </w:t>
      </w:r>
      <m:oMath>
        <m:r>
          <m:rPr>
            <m:sty m:val="bi"/>
          </m:rPr>
          <m:t>H</m:t>
        </m:r>
      </m:oMath>
      <w:r>
        <w:t xml:space="preserve"> </w:t>
      </w:r>
      <w:r>
        <w:t xml:space="preserve">and</w:t>
      </w:r>
      <w:r>
        <w:t xml:space="preserve"> </w:t>
      </w:r>
      <m:oMath>
        <m:r>
          <m:rPr>
            <m:sty m:val="bi"/>
          </m:rPr>
          <m:t>M</m:t>
        </m:r>
      </m:oMath>
      <w:r>
        <w:t xml:space="preserve"> </w:t>
      </w:r>
      <w:r>
        <w:t xml:space="preserve">are the electronic Hamiltonian and overlap matrices in the VB structure basis, respectively, and</w:t>
      </w:r>
      <w:r>
        <w:t xml:space="preserve"> </w:t>
      </w:r>
      <m:oMath>
        <m:sSub>
          <m:e>
            <m:r>
              <m:t>E</m:t>
            </m:r>
          </m:e>
          <m:sub>
            <m:r>
              <m:t>n</m:t>
            </m:r>
          </m:sub>
        </m:sSub>
      </m:oMath>
      <w:r>
        <w:t xml:space="preserve"> </w:t>
      </w:r>
      <w:r>
        <w:t xml:space="preserve">is the electronic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Orbital optimization minimizes</w:t>
      </w:r>
      <w:r>
        <w:t xml:space="preserve"> </w:t>
      </w:r>
      <m:oMath>
        <m:r>
          <m:rPr>
            <m:scr m:val="script"/>
            <m:sty m:val="p"/>
          </m:rPr>
          <m:t>E</m:t>
        </m:r>
        <m:r>
          <m:rPr>
            <m:sty m:val="p"/>
          </m:rPr>
          <m:t>(</m:t>
        </m:r>
        <m:r>
          <m:rPr>
            <m:sty m:val="bi"/>
          </m:rPr>
          <m:t>x</m:t>
        </m:r>
        <m:r>
          <m:rPr>
            <m:sty m:val="p"/>
          </m:rPr>
          <m:t>)</m:t>
        </m:r>
      </m:oMath>
      <w:r>
        <w:t xml:space="preserve"> </w:t>
      </w:r>
      <w:r>
        <w:t xml:space="preserve">with the structure coefficients optimized at each orbital point.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w:t>
      </w:r>
    </w:p>
    <w:bookmarkEnd w:id="31"/>
    <w:bookmarkStart w:id="32" w:name="nonredundant-orbital-coordinates"/>
    <w:p>
      <w:pPr>
        <w:pStyle w:val="Heading2"/>
      </w:pPr>
      <w:r>
        <w:rPr>
          <w:rStyle w:val="SectionNumber"/>
        </w:rPr>
        <w:t xml:space="preserve">2.2</w:t>
      </w:r>
      <w:r>
        <w:tab/>
      </w:r>
      <w:r>
        <w:t xml:space="preserve">Nonredundant Orbital Coordinates</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r>
            <m:rPr>
              <m:nor/>
              <m:sty m:val="p"/>
            </m:rPr>
            <m:t>(4)</m:t>
          </m:r>
        </m:oMath>
      </m:oMathPara>
    </w:p>
    <w:p>
      <w:pPr>
        <w:pStyle w:val="FirstParagraph"/>
      </w:pPr>
      <w:r>
        <w:t xml:space="preserve">where</w:t>
      </w:r>
      <w:r>
        <w:t xml:space="preserve"> </w:t>
      </w:r>
      <m:oMath>
        <m:sSub>
          <m:e>
            <m:r>
              <m:t>χ</m:t>
            </m:r>
          </m:e>
          <m:sub>
            <m:r>
              <m:t>μ</m:t>
            </m:r>
          </m:sub>
        </m:sSub>
      </m:oMath>
      <w:r>
        <w:t xml:space="preserve"> </w:t>
      </w:r>
      <w:r>
        <w:t xml:space="preserve">is an AO basis function and</w:t>
      </w:r>
      <w:r>
        <w:t xml:space="preserve"> </w:t>
      </w:r>
      <m:oMath>
        <m:sSub>
          <m:e>
            <m:r>
              <m:t>b</m:t>
            </m:r>
          </m:e>
          <m:sub>
            <m:r>
              <m:t>μ</m:t>
            </m:r>
            <m:r>
              <m:t>i</m:t>
            </m:r>
          </m:sub>
        </m:sSub>
      </m:oMath>
      <w:r>
        <w:t xml:space="preserve"> </w:t>
      </w:r>
      <w:r>
        <w:t xml:space="preserve">is its coefficient in orbital</w:t>
      </w:r>
      <w:r>
        <w:t xml:space="preserve"> </w:t>
      </w:r>
      <m:oMath>
        <m:r>
          <m:t>i</m:t>
        </m:r>
      </m:oMath>
      <w:r>
        <w:t xml:space="preserve">. Hybrid atomic orbitals (HAOs) are strictly localized on a prescribed atom or group of atoms: coefficients of AOs outside that region remain zero during optimization. Overlap-enhanced orbitals (OEOs) can expand over the entire AO basis without this localization constraint. Both orbital descriptions allow nonorthogonal orbitals.</w:t>
      </w:r>
    </w:p>
    <w:p>
      <w:pPr>
        <w:pStyle w:val="BodyText"/>
      </w:pPr>
      <w:r>
        <w:t xml:space="preserve">Redundant orbital directions are infinitesimal changes of the orbitals that leave the wave function unchanged, up to normalization and compensating changes of the structure coefficients, while respecting any prescribed localization constraints.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(7)</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(8)</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(9)</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(6).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(10)</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(9) in the coordinates of eq (6).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(15);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(6),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2026-10-07T11:10:57Z</dcterms:created>
  <dcterms:modified xsi:type="dcterms:W3CDTF">2026-10-07T11:10:57Z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