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Optimization of Nonorthogonal Valence-Bond Wave Functions</w:t>
      </w:r>
    </w:p>
    <w:p>
      <w:pPr>
        <w:pStyle w:val="Author"/>
      </w:pPr>
      <w:r>
        <w:t xml:space="preserve">[Author names and affiliations to be confirmed]</w:t>
      </w:r>
    </w:p>
    <w:p>
      <w:pPr>
        <w:pStyle w:val="Date"/>
      </w:pPr>
      <w:r>
        <w:t xml:space="preserve">Internal review draft: 7 October 2026</w:t>
      </w:r>
    </w:p>
    <w:p>
      <w:pPr>
        <w:pStyle w:val="FirstParagraph"/>
      </w:pPr>
      <w:r>
        <w:t xml:space="preserve">JCTC Article — manuscript outline for internal review, 7 October 2026</w:t>
      </w:r>
    </w:p>
    <w:bookmarkStart w:id="25" w:name="abstract"/>
    <w:p>
      <w:pPr>
        <w:pStyle w:val="Heading1"/>
      </w:pPr>
      <w:r>
        <w:t xml:space="preserve">ABSTRACT</w:t>
      </w:r>
    </w:p>
    <w:p>
      <w:pPr>
        <w:pStyle w:val="FirstParagraph"/>
      </w:pPr>
      <w:r>
        <w:t xml:space="preserve">Orbital optimization in valence-bond self-consistent-field theory must accommodate nonorthogonal orbitals, prescribed atomic-orbital supports, and relaxation of the structure coefficients. We formulate a matrix-free second-order treatment in support-preserving nonredundant coordinates and distinguish the relaxed-orbital and coupled orbital–structure models. The numerical study will compare truncated Newton and norm-extended optimization with conventional and block-preconditioned L-BFGS, reporting convergence, operator work, wall time, and peak memory under matched conditions. [Replace this sentence with the principal quantitative findings and the supported conclusion after the benchmark campaign.]</w:t>
      </w:r>
    </w:p>
    <w:bookmarkEnd w:id="25"/>
    <w:bookmarkStart w:id="29" w:name="introduction"/>
    <w:p>
      <w:pPr>
        <w:pStyle w:val="Heading1"/>
      </w:pPr>
      <w:r>
        <w:rPr>
          <w:rStyle w:val="SectionNumber"/>
        </w:rPr>
        <w:t xml:space="preserve">1</w:t>
      </w:r>
      <w:r>
        <w:tab/>
      </w:r>
      <w:r>
        <w:t xml:space="preserve">INTRODUCTION</w:t>
      </w:r>
    </w:p>
    <w:bookmarkStart w:id="26" w:name="the-optimization-problem"/>
    <w:p>
      <w:pPr>
        <w:pStyle w:val="Heading2"/>
      </w:pPr>
      <w:r>
        <w:rPr>
          <w:rStyle w:val="SectionNumber"/>
        </w:rPr>
        <w:t xml:space="preserve">1.1</w:t>
      </w:r>
      <w:r>
        <w:tab/>
      </w:r>
      <w:r>
        <w:t xml:space="preserve">The optimization problem</w:t>
      </w:r>
    </w:p>
    <w:p>
      <w:pPr>
        <w:pStyle w:val="FirstParagraph"/>
      </w:pPr>
      <w:r>
        <w:t xml:space="preserve">Explain why VBSCF uses nonorthogonal localized orbitals and, in HAO calculations, fixed orbital supports. Separate the cost of optimizing orbitals from the cost of solving the structure-coefficient problem. Introduce OEO as full-AO support, not as an orthogonal-orbital model.</w:t>
      </w:r>
    </w:p>
    <w:bookmarkEnd w:id="26"/>
    <w:bookmarkStart w:id="27" w:name="X0b57c8e7baf23dae1b0766c013297d88637db6a"/>
    <w:p>
      <w:pPr>
        <w:pStyle w:val="Heading2"/>
      </w:pPr>
      <w:r>
        <w:rPr>
          <w:rStyle w:val="SectionNumber"/>
        </w:rPr>
        <w:t xml:space="preserve">1.2</w:t>
      </w:r>
      <w:r>
        <w:tab/>
      </w:r>
      <w:r>
        <w:t xml:space="preserve">Relation to second-order MCSCF optimization</w:t>
      </w:r>
    </w:p>
    <w:p>
      <w:pPr>
        <w:pStyle w:val="FirstParagraph"/>
      </w:pPr>
      <w:r>
        <w:t xml:space="preserve">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bookmarkEnd w:id="27"/>
    <w:bookmarkStart w:id="28"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bookmarkEnd w:id="28"/>
    <w:bookmarkEnd w:id="29"/>
    <w:bookmarkStart w:id="36" w:name="theory"/>
    <w:p>
      <w:pPr>
        <w:pStyle w:val="Heading1"/>
      </w:pPr>
      <w:r>
        <w:rPr>
          <w:rStyle w:val="SectionNumber"/>
        </w:rPr>
        <w:t xml:space="preserve">2</w:t>
      </w:r>
      <w:r>
        <w:tab/>
      </w:r>
      <w:r>
        <w:t xml:space="preserve">THEORY</w:t>
      </w:r>
    </w:p>
    <w:bookmarkStart w:id="30" w:name="Xcabc758f6c485237cdab3adf6177dca8609adea"/>
    <w:p>
      <w:pPr>
        <w:pStyle w:val="Heading2"/>
      </w:pPr>
      <w:r>
        <w:rPr>
          <w:rStyle w:val="SectionNumber"/>
        </w:rPr>
        <w:t xml:space="preserve">2.1</w:t>
      </w:r>
      <w:r>
        <w:tab/>
      </w:r>
      <w:r>
        <w:t xml:space="preserve">Stationary structure problem and state averaging</w:t>
      </w:r>
    </w:p>
    <w:p>
      <w:pPr>
        <w:pStyle w:val="FirstParagraph"/>
      </w:pPr>
      <w:r>
        <w:t xml:space="preserve">Define the generalized structure eigenproblem at fixed orbital coefficients x. Use a different symbol for the AO overlap and the structure overlap throughout the manuscript.</w:t>
      </w:r>
    </w:p>
    <w:p>
      <w:pPr>
        <w:pStyle w:val="BodyText"/>
      </w:pPr>
      <m:oMathPara>
        <m:oMathParaPr>
          <m:jc m:val="center"/>
        </m:oMathParaPr>
        <m:oMath>
          <m:sSub>
            <m:e>
              <m:r>
                <m:rPr>
                  <m:sty m:val="bi"/>
                </m:rPr>
                <m:t>H</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sSub>
            <m:e>
              <m:r>
                <m:t>E</m:t>
              </m:r>
            </m:e>
            <m:sub>
              <m:r>
                <m:t>s</m:t>
              </m:r>
            </m:sub>
          </m:sSub>
          <m:sSub>
            <m:e>
              <m:r>
                <m:rPr>
                  <m:sty m:val="bi"/>
                </m:rPr>
                <m:t>S</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r>
            <m:t> </m:t>
          </m:r>
          <m:sSubSup>
            <m:e>
              <m:r>
                <m:rPr>
                  <m:sty m:val="bi"/>
                </m:rPr>
                <m:t>a</m:t>
              </m:r>
            </m:e>
            <m:sub>
              <m:r>
                <m:t>r</m:t>
              </m:r>
            </m:sub>
            <m:sup>
              <m:r>
                <m:t>T</m:t>
              </m:r>
            </m:sup>
          </m:sSubSup>
          <m:sSub>
            <m:e>
              <m:r>
                <m:rPr>
                  <m:sty m:val="bi"/>
                </m:rPr>
                <m:t>S</m:t>
              </m:r>
            </m:e>
            <m:sub>
              <m:r>
                <m:rPr>
                  <m:sty m:val="p"/>
                </m:rPr>
                <m:t>V</m:t>
              </m:r>
              <m:r>
                <m:rPr>
                  <m:sty m:val="p"/>
                </m:rPr>
                <m:t>B</m:t>
              </m:r>
            </m:sub>
          </m:sSub>
          <m:sSub>
            <m:e>
              <m:r>
                <m:rPr>
                  <m:sty m:val="bi"/>
                </m:rPr>
                <m:t>a</m:t>
              </m:r>
            </m:e>
            <m:sub>
              <m:r>
                <m:t>s</m:t>
              </m:r>
            </m:sub>
          </m:sSub>
          <m:r>
            <m:rPr>
              <m:sty m:val="p"/>
            </m:rPr>
            <m:t>=</m:t>
          </m:r>
          <m:sSub>
            <m:e>
              <m:r>
                <m:t>δ</m:t>
              </m:r>
            </m:e>
            <m:sub>
              <m:r>
                <m:t>r</m:t>
              </m:r>
              <m:r>
                <m:t>s</m:t>
              </m:r>
            </m:sub>
          </m:sSub>
        </m:oMath>
      </m:oMathPara>
    </w:p>
    <w:p>
      <w:pPr>
        <w:pStyle w:val="FirstParagraph"/>
      </w:pPr>
      <m:oMathPara>
        <m:oMathParaPr>
          <m:jc m:val="center"/>
        </m:oMathParaPr>
        <m:oMath>
          <m:r>
            <m:rPr>
              <m:scr m:val="script"/>
              <m:sty m:val="p"/>
            </m:rPr>
            <m:t>E</m:t>
          </m:r>
          <m:r>
            <m:rPr>
              <m:sty m:val="p"/>
            </m:rPr>
            <m:t>(</m:t>
          </m:r>
          <m:r>
            <m:rPr>
              <m:sty m:val="bi"/>
            </m:rPr>
            <m:t>x</m:t>
          </m:r>
          <m:r>
            <m:rPr>
              <m:sty m:val="p"/>
            </m:rPr>
            <m:t>)</m:t>
          </m:r>
          <m:r>
            <m:rPr>
              <m:sty m:val="p"/>
            </m:rPr>
            <m:t>=</m:t>
          </m:r>
          <m:nary>
            <m:naryPr>
              <m:chr m:val="∑"/>
              <m:limLoc m:val="undOvr"/>
              <m:subHide m:val="off"/>
              <m:supHide m:val="on"/>
            </m:naryPr>
            <m:sub>
              <m:r>
                <m:t>s</m:t>
              </m:r>
              <m:r>
                <m:rPr>
                  <m:sty m:val="p"/>
                </m:rPr>
                <m:t>∈</m:t>
              </m:r>
              <m:r>
                <m:rPr>
                  <m:scr m:val="script"/>
                  <m:sty m:val="p"/>
                </m:rPr>
                <m:t>A</m:t>
              </m:r>
            </m:sub>
            <m:sup>
              <m:r>
                <m:t>​</m:t>
              </m:r>
            </m:sup>
            <m:e>
              <m:sSub>
                <m:e>
                  <m:r>
                    <m:t>w</m:t>
                  </m:r>
                </m:e>
                <m:sub>
                  <m:r>
                    <m:t>s</m:t>
                  </m:r>
                </m:sub>
              </m:sSub>
            </m:e>
          </m:nary>
          <m:sSub>
            <m:e>
              <m:r>
                <m:t>E</m:t>
              </m:r>
            </m:e>
            <m:sub>
              <m:r>
                <m:t>s</m:t>
              </m:r>
            </m:sub>
          </m:sSub>
          <m:r>
            <m:rPr>
              <m:sty m:val="p"/>
            </m:rPr>
            <m:t>(</m:t>
          </m:r>
          <m:r>
            <m:rPr>
              <m:sty m:val="bi"/>
            </m:rPr>
            <m:t>x</m:t>
          </m:r>
          <m:r>
            <m:rPr>
              <m:sty m:val="p"/>
            </m:rPr>
            <m:t>)</m:t>
          </m:r>
          <m:r>
            <m:rPr>
              <m:sty m:val="p"/>
            </m:rPr>
            <m:t>,</m:t>
          </m:r>
          <m:r>
            <m:t> </m:t>
          </m:r>
          <m:sSub>
            <m:e>
              <m:r>
                <m:t>w</m:t>
              </m:r>
            </m:e>
            <m:sub>
              <m:r>
                <m:t>s</m:t>
              </m:r>
            </m:sub>
          </m:sSub>
          <m:r>
            <m:rPr>
              <m:sty m:val="p"/>
            </m:rPr>
            <m:t>=</m:t>
          </m:r>
          <m:r>
            <m:t>1</m:t>
          </m:r>
          <m:r>
            <m:rPr>
              <m:sty m:val="p"/>
            </m:rPr>
            <m:t>/</m:t>
          </m:r>
          <m:r>
            <m:t>m</m:t>
          </m:r>
        </m:oMath>
      </m:oMathPara>
    </w:p>
    <w:p>
      <w:pPr>
        <w:pStyle w:val="FirstParagraph"/>
      </w:pPr>
      <w:r>
        <w:t xml:space="preserve">For the single-state case, use the lowest stationary eigenvalue; for equal-weight state averaging, define the selected eigenspace and its separation from excluded roots. Derive normalization and selected-subspace gauge projections before introducing response equations.</w:t>
      </w:r>
    </w:p>
    <w:bookmarkEnd w:id="30"/>
    <w:bookmarkStart w:id="31" w:name="X124a8da38f93bcff532d0bfbddda2cc2066ec5c"/>
    <w:p>
      <w:pPr>
        <w:pStyle w:val="Heading2"/>
      </w:pPr>
      <w:r>
        <w:rPr>
          <w:rStyle w:val="SectionNumber"/>
        </w:rPr>
        <w:t xml:space="preserve">2.2</w:t>
      </w:r>
      <w:r>
        <w:tab/>
      </w:r>
      <w:r>
        <w:t xml:space="preserve">Support-preserving nonredundant orbital coordinates</w:t>
      </w:r>
    </w:p>
    <w:p>
      <w:pPr>
        <w:pStyle w:val="FirstParagraph"/>
      </w:pPr>
      <m:oMathPara>
        <m:oMathParaPr>
          <m:jc m:val="center"/>
        </m:oMathParaPr>
        <m:oMath>
          <m:sSub>
            <m:e>
              <m:r>
                <m:rPr>
                  <m:sty m:val="bi"/>
                </m:rPr>
                <m:t>c</m:t>
              </m:r>
            </m:e>
            <m:sub>
              <m:r>
                <m:t>p</m:t>
              </m:r>
            </m:sub>
          </m:sSub>
          <m:r>
            <m:rPr>
              <m:sty m:val="p"/>
            </m:rPr>
            <m:t>=</m:t>
          </m:r>
          <m:sSub>
            <m:e>
              <m:r>
                <m:rPr>
                  <m:sty m:val="bi"/>
                </m:rPr>
                <m:t>R</m:t>
              </m:r>
            </m:e>
            <m:sub>
              <m:r>
                <m:t>p</m:t>
              </m:r>
            </m:sub>
          </m:sSub>
          <m:sSub>
            <m:e>
              <m:r>
                <m:rPr>
                  <m:sty m:val="bi"/>
                </m:rPr>
                <m:t>x</m:t>
              </m:r>
            </m:e>
            <m:sub>
              <m:r>
                <m:t>p</m:t>
              </m:r>
            </m:sub>
          </m:sSub>
          <m:r>
            <m:rPr>
              <m:sty m:val="p"/>
            </m:rPr>
            <m:t>,</m:t>
          </m:r>
          <m:r>
            <m:t> </m:t>
          </m:r>
          <m:r>
            <m:rPr>
              <m:sty m:val="bi"/>
            </m:rPr>
            <m:t>x</m:t>
          </m:r>
          <m:r>
            <m:rPr>
              <m:sty m:val="p"/>
            </m:rPr>
            <m:t>(</m:t>
          </m:r>
          <m:r>
            <m:rPr>
              <m:sty m:val="bi"/>
            </m:rPr>
            <m:t>p</m:t>
          </m:r>
          <m:r>
            <m:rPr>
              <m:sty m:val="p"/>
            </m:rPr>
            <m:t>)</m:t>
          </m:r>
          <m:r>
            <m:rPr>
              <m:sty m:val="p"/>
            </m:rPr>
            <m:t>=</m:t>
          </m:r>
          <m:sSub>
            <m:e>
              <m:r>
                <m:rPr>
                  <m:scr m:val="script"/>
                  <m:sty m:val="p"/>
                </m:rPr>
                <m:t>R</m:t>
              </m:r>
            </m:e>
            <m:sub>
              <m:r>
                <m:t>k</m:t>
              </m:r>
            </m:sub>
          </m:sSub>
          <m:r>
            <m:rPr>
              <m:sty m:val="p"/>
            </m:rPr>
            <m:t>(</m:t>
          </m:r>
          <m:r>
            <m:rPr>
              <m:sty m:val="bi"/>
            </m:rPr>
            <m:t>p</m:t>
          </m:r>
          <m:r>
            <m:rPr>
              <m:sty m:val="p"/>
            </m:rPr>
            <m:t>)</m:t>
          </m:r>
          <m:r>
            <m:rPr>
              <m:sty m:val="p"/>
            </m:rPr>
            <m:t>,</m:t>
          </m:r>
          <m:r>
            <m:t> </m:t>
          </m:r>
          <m:sSub>
            <m:e>
              <m:r>
                <m:rPr>
                  <m:scr m:val="script"/>
                  <m:sty m:val="p"/>
                </m:rPr>
                <m:t>R</m:t>
              </m:r>
            </m:e>
            <m:sub>
              <m:r>
                <m:t>k</m:t>
              </m:r>
            </m:sub>
          </m:sSub>
          <m:r>
            <m:rPr>
              <m:sty m:val="p"/>
            </m:rPr>
            <m:t>(</m:t>
          </m:r>
          <m:r>
            <m:rPr>
              <m:sty m:val="b"/>
            </m:rPr>
            <m:t>0</m:t>
          </m:r>
          <m:r>
            <m:rPr>
              <m:sty m:val="p"/>
            </m:rPr>
            <m:t>)</m:t>
          </m:r>
          <m:r>
            <m:rPr>
              <m:sty m:val="p"/>
            </m:rPr>
            <m:t>=</m:t>
          </m:r>
          <m:sSub>
            <m:e>
              <m:r>
                <m:rPr>
                  <m:sty m:val="bi"/>
                </m:rPr>
                <m:t>x</m:t>
              </m:r>
            </m:e>
            <m:sub>
              <m:r>
                <m:t>k</m:t>
              </m:r>
            </m:sub>
          </m:sSub>
        </m:oMath>
      </m:oMathPara>
    </w:p>
    <w:p>
      <w:pPr>
        <w:pStyle w:val="FirstParagraph"/>
      </w:pPr>
      <w:r>
        <w:t xml:space="preserve">Define the support injection R_p, horizontal lift U_k, local update map, and the physical step metric M_o. Classify a direction as redundant only if it leaves the represented wave function unchanged within the selected structure space. In particular, active–active mixing is not automatically redundant for an arbitrary selected-VB expansion.</w:t>
      </w:r>
    </w:p>
    <w:p>
      <w:pPr>
        <w:pStyle w:val="BodyText"/>
      </w:pPr>
      <m:oMathPara>
        <m:oMathParaPr>
          <m:jc m:val="center"/>
        </m:oMathParaPr>
        <m:oMath>
          <m:sSub>
            <m:e>
              <m:r>
                <m:rPr>
                  <m:sty m:val="bi"/>
                </m:rPr>
                <m:t>g</m:t>
              </m:r>
            </m:e>
            <m:sub>
              <m:r>
                <m:t>o</m:t>
              </m:r>
            </m:sub>
          </m:sSub>
          <m:r>
            <m:rPr>
              <m:sty m:val="p"/>
            </m:rPr>
            <m:t>=</m:t>
          </m:r>
          <m:sSub>
            <m:e>
              <m:r>
                <m:rPr>
                  <m:sty m:val="p"/>
                </m:rPr>
                <m:t>∇</m:t>
              </m:r>
            </m:e>
            <m:sub>
              <m:r>
                <m:rPr>
                  <m:sty m:val="bi"/>
                </m:rPr>
                <m:t>p</m:t>
              </m:r>
            </m:sub>
          </m:sSub>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t> </m:t>
          </m:r>
          <m:sSub>
            <m:e>
              <m:r>
                <m:rPr>
                  <m:sty m:val="bi"/>
                </m:rPr>
                <m:t>H</m:t>
              </m:r>
            </m:e>
            <m:sub>
              <m:r>
                <m:t>o</m:t>
              </m:r>
            </m:sub>
          </m:sSub>
          <m:r>
            <m:rPr>
              <m:sty m:val="bi"/>
            </m:rPr>
            <m:t>v</m:t>
          </m:r>
          <m:r>
            <m:rPr>
              <m:sty m:val="p"/>
            </m:rPr>
            <m:t>=</m:t>
          </m:r>
          <m:sSup>
            <m:e>
              <m:r>
                <m:t>D</m:t>
              </m:r>
            </m:e>
            <m:sup>
              <m:r>
                <m:t>2</m:t>
              </m:r>
            </m:sup>
          </m:sSup>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rPr>
              <m:sty m:val="bi"/>
            </m:rPr>
            <m:t>v</m:t>
          </m:r>
          <m:r>
            <m:rPr>
              <m:sty m:val="p"/>
            </m:rPr>
            <m:t>]</m:t>
          </m:r>
        </m:oMath>
      </m:oMathPara>
    </w:p>
    <w:p>
      <w:pPr>
        <w:pStyle w:val="FirstParagraph"/>
      </w:pPr>
      <w:r>
        <w:t xml:space="preserve">Give the derivative of the actual update map, rather than transferring an orbital-rotation Hessian to a coefficient update. Check the consistency of lift, norm, and retraction.</w:t>
      </w:r>
    </w:p>
    <w:bookmarkEnd w:id="31"/>
    <w:bookmarkStart w:id="32" w:name="Xca5e9cc9a5996dfbcb9c3ec8beacaa02058b721"/>
    <w:p>
      <w:pPr>
        <w:pStyle w:val="Heading2"/>
      </w:pPr>
      <w:r>
        <w:rPr>
          <w:rStyle w:val="SectionNumber"/>
        </w:rPr>
        <w:t xml:space="preserve">2.3</w:t>
      </w:r>
      <w:r>
        <w:tab/>
      </w:r>
      <w:r>
        <w:t xml:space="preserve">Orbital–structure coupling and the relaxed Hessian</w:t>
      </w:r>
    </w:p>
    <w:p>
      <w:pPr>
        <w:pStyle w:val="FirstParagraph"/>
      </w:pPr>
      <w:r>
        <w:t xml:space="preserve">At a structure-stationary accepted point, write the constrained local Hessian in orbital and projected structure tangent variables. A is the fixed-structure orbital block, B is the mixed derivative, and C is the structure tangent block. All blocks include the chosen normalization and generalized-overlap constraints.</w:t>
      </w:r>
    </w:p>
    <w:p>
      <w:pPr>
        <w:pStyle w:val="BodyText"/>
      </w:pPr>
      <m:oMathPara>
        <m:oMathParaPr>
          <m:jc m:val="center"/>
        </m:oMathParaPr>
        <m:oMath>
          <m:r>
            <m:rPr>
              <m:sty m:val="bi"/>
            </m:rPr>
            <m:t>z</m:t>
          </m:r>
          <m:r>
            <m:rPr>
              <m:sty m:val="p"/>
            </m:rPr>
            <m:t>=</m:t>
          </m:r>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t> </m:t>
          </m:r>
          <m:r>
            <m:rPr>
              <m:sty m:val="bi"/>
            </m:rPr>
            <m:t>g</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rPr>
              <m:sty m:val="bi"/>
            </m:rPr>
            <m:t>K</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sSup>
                      <m:e>
                        <m:r>
                          <m:rPr>
                            <m:sty m:val="bi"/>
                          </m:rPr>
                          <m:t>B</m:t>
                        </m:r>
                      </m:e>
                      <m:sup>
                        <m:r>
                          <m:t>T</m:t>
                        </m:r>
                      </m:sup>
                    </m:sSup>
                  </m:e>
                </m:mr>
                <m:mr>
                  <m:e>
                    <m:r>
                      <m:rPr>
                        <m:sty m:val="bi"/>
                      </m:rPr>
                      <m:t>B</m:t>
                    </m:r>
                  </m:e>
                  <m:e>
                    <m:r>
                      <m:rPr>
                        <m:sty m:val="bi"/>
                      </m:rPr>
                      <m:t>C</m:t>
                    </m:r>
                  </m:e>
                </m:mr>
              </m:m>
            </m:e>
          </m:d>
        </m:oMath>
      </m:oMathPara>
    </w:p>
    <w:p>
      <w:pPr>
        <w:pStyle w:val="FirstParagraph"/>
      </w:pPr>
      <m:oMathPara>
        <m:oMathParaPr>
          <m:jc m:val="center"/>
        </m:oMathParaPr>
        <m:oMath>
          <m:sSub>
            <m:e>
              <m:r>
                <m:rPr>
                  <m:sty m:val="bi"/>
                </m:rPr>
                <m:t>H</m:t>
              </m:r>
            </m:e>
            <m:sub>
              <m:r>
                <m:rPr>
                  <m:sty m:val="p"/>
                </m:rPr>
                <m:t>r</m:t>
              </m:r>
              <m:r>
                <m:rPr>
                  <m:sty m:val="p"/>
                </m:rPr>
                <m:t>e</m:t>
              </m:r>
              <m:r>
                <m:rPr>
                  <m:sty m:val="p"/>
                </m:rPr>
                <m:t>l</m:t>
              </m:r>
            </m:sub>
          </m:sSub>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sSub>
            <m:e>
              <m:r>
                <m:rPr>
                  <m:sty m:val="bi"/>
                </m:rPr>
                <m:t>q</m:t>
              </m:r>
            </m:e>
            <m:sub>
              <m:r>
                <m:t>N</m:t>
              </m:r>
            </m:sub>
          </m:sSub>
          <m:r>
            <m:rPr>
              <m:sty m:val="p"/>
            </m:rPr>
            <m:t>=</m:t>
          </m:r>
          <m:r>
            <m:rPr>
              <m:sty m:val="p"/>
            </m:rPr>
            <m:t>−</m:t>
          </m:r>
          <m:sSup>
            <m:e>
              <m:r>
                <m:rPr>
                  <m:sty m:val="bi"/>
                </m:rPr>
                <m:t>C</m:t>
              </m:r>
            </m:e>
            <m:sup>
              <m:r>
                <m:rPr>
                  <m:sty m:val="p"/>
                </m:rPr>
                <m:t>†</m:t>
              </m:r>
            </m:sup>
          </m:sSup>
          <m:r>
            <m:rPr>
              <m:sty m:val="bi"/>
            </m:rPr>
            <m:t>B</m:t>
          </m:r>
          <m:sSub>
            <m:e>
              <m:r>
                <m:rPr>
                  <m:sty m:val="bi"/>
                </m:rPr>
                <m:t>p</m:t>
              </m:r>
            </m:e>
            <m:sub>
              <m:r>
                <m:t>N</m:t>
              </m:r>
            </m:sub>
          </m:sSub>
        </m:oMath>
      </m:oMathPara>
    </w:p>
    <w:p>
      <w:pPr>
        <w:pStyle w:val="FirstParagraph"/>
      </w:pPr>
      <w:r>
        <w:t xml:space="preserve">Define</w:t>
      </w:r>
      <w:r>
        <w:t xml:space="preserve"> </w:t>
      </w:r>
      <m:oMath>
        <m:sSup>
          <m:e>
            <m:r>
              <m:t>C</m:t>
            </m:r>
          </m:e>
          <m:sup>
            <m:r>
              <m:rPr>
                <m:sty m:val="p"/>
              </m:rPr>
              <m:t>†</m:t>
            </m:r>
          </m:sup>
        </m:sSup>
      </m:oMath>
      <w:r>
        <w:t xml:space="preserve"> </w:t>
      </w:r>
      <w:r>
        <w:t xml:space="preserve">only on the admissible response space. Explain the equivalence of the unshifted coupled Newton and relaxed-orbital Newton limits, and why shifted coupled and eliminated models need not be identical away from that limit.</w:t>
      </w:r>
    </w:p>
    <w:bookmarkEnd w:id="32"/>
    <w:bookmarkStart w:id="33" w:name="X254ce884b5a7afd3ef2cd0ae731a94ad091ce7c"/>
    <w:p>
      <w:pPr>
        <w:pStyle w:val="Heading2"/>
      </w:pPr>
      <w:r>
        <w:rPr>
          <w:rStyle w:val="SectionNumber"/>
        </w:rPr>
        <w:t xml:space="preserve">2.4</w:t>
      </w:r>
      <w:r>
        <w:tab/>
      </w:r>
      <w:r>
        <w:t xml:space="preserve">Restricted steps and residual certification</w:t>
      </w:r>
    </w:p>
    <w:p>
      <w:pPr>
        <w:pStyle w:val="FirstParagraph"/>
      </w:pPr>
      <m:oMathPara>
        <m:oMathParaPr>
          <m:jc m:val="center"/>
        </m:oMathParaPr>
        <m:oMath>
          <m:r>
            <m:t>m</m:t>
          </m:r>
          <m:r>
            <m:rPr>
              <m:sty m:val="p"/>
            </m:rPr>
            <m:t>(</m:t>
          </m:r>
          <m:r>
            <m:rPr>
              <m:sty m:val="bi"/>
            </m:rPr>
            <m:t>z</m:t>
          </m:r>
          <m:r>
            <m:rPr>
              <m:sty m:val="p"/>
            </m:rPr>
            <m:t>)</m:t>
          </m:r>
          <m:r>
            <m:rPr>
              <m:sty m:val="p"/>
            </m:rPr>
            <m:t>=</m:t>
          </m:r>
          <m:sSub>
            <m:e>
              <m:r>
                <m:rPr>
                  <m:scr m:val="script"/>
                  <m:sty m:val="p"/>
                </m:rPr>
                <m:t>E</m:t>
              </m:r>
            </m:e>
            <m:sub>
              <m:r>
                <m:t>k</m:t>
              </m:r>
            </m:sub>
          </m:sSub>
          <m:r>
            <m:rPr>
              <m:sty m:val="p"/>
            </m:rPr>
            <m:t>+</m:t>
          </m:r>
          <m:sSup>
            <m:e>
              <m:r>
                <m:rPr>
                  <m:sty m:val="bi"/>
                </m:rPr>
                <m:t>g</m:t>
              </m:r>
            </m:e>
            <m:sup>
              <m:r>
                <m:t>T</m:t>
              </m:r>
            </m:sup>
          </m:sSup>
          <m:r>
            <m:rPr>
              <m:sty m:val="bi"/>
            </m:rPr>
            <m:t>z</m:t>
          </m:r>
          <m:r>
            <m:rPr>
              <m:sty m:val="p"/>
            </m:rPr>
            <m:t>+</m:t>
          </m:r>
          <m:f>
            <m:fPr>
              <m:type m:val="lin"/>
            </m:fPr>
            <m:num>
              <m:r>
                <m:t>1</m:t>
              </m:r>
            </m:num>
            <m:den>
              <m:r>
                <m:t>2</m:t>
              </m:r>
            </m:den>
          </m:f>
          <m:sSup>
            <m:e>
              <m:r>
                <m:rPr>
                  <m:sty m:val="bi"/>
                </m:rPr>
                <m:t>z</m:t>
              </m:r>
            </m:e>
            <m:sup>
              <m:r>
                <m:t>T</m:t>
              </m:r>
            </m:sup>
          </m:sSup>
          <m:r>
            <m:rPr>
              <m:sty m:val="bi"/>
            </m:rPr>
            <m:t>K</m:t>
          </m:r>
          <m:r>
            <m:rPr>
              <m:sty m:val="bi"/>
            </m:rPr>
            <m:t>z</m:t>
          </m:r>
          <m:r>
            <m:rPr>
              <m:sty m:val="p"/>
            </m:rPr>
            <m:t>,</m:t>
          </m:r>
          <m:r>
            <m:t> </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oMath>
      </m:oMathPara>
    </w:p>
    <w:p>
      <w:pPr>
        <w:pStyle w:val="FirstParagraph"/>
      </w:pPr>
      <m:oMathPara>
        <m:oMathParaPr>
          <m:jc m:val="center"/>
        </m:oMathParaPr>
        <m:oMath>
          <m:r>
            <m:rPr>
              <m:sty m:val="bi"/>
            </m:rPr>
            <m:t>r</m:t>
          </m:r>
          <m:r>
            <m:rPr>
              <m:sty m:val="p"/>
            </m:rPr>
            <m:t>=</m:t>
          </m:r>
          <m:r>
            <m:rPr>
              <m:sty m:val="p"/>
            </m:rPr>
            <m:t>(</m:t>
          </m:r>
          <m:r>
            <m:rPr>
              <m:sty m:val="bi"/>
            </m:rPr>
            <m:t>K</m:t>
          </m:r>
          <m:r>
            <m:rPr>
              <m:sty m:val="p"/>
            </m:rPr>
            <m:t>+</m:t>
          </m:r>
          <m:r>
            <m:t>λ</m:t>
          </m:r>
          <m:r>
            <m:rPr>
              <m:sty m:val="bi"/>
            </m:rPr>
            <m:t>M</m:t>
          </m:r>
          <m:r>
            <m:rPr>
              <m:sty m:val="p"/>
            </m:rPr>
            <m:t>)</m:t>
          </m:r>
          <m:r>
            <m:rPr>
              <m:sty m:val="bi"/>
            </m:rPr>
            <m:t>z</m:t>
          </m:r>
          <m:r>
            <m:rPr>
              <m:sty m:val="p"/>
            </m:rPr>
            <m:t>+</m:t>
          </m:r>
          <m:r>
            <m:rPr>
              <m:sty m:val="bi"/>
            </m:rPr>
            <m:t>g</m:t>
          </m:r>
          <m:r>
            <m:rPr>
              <m:sty m:val="p"/>
            </m:rPr>
            <m:t>,</m:t>
          </m:r>
          <m:r>
            <m:t> </m:t>
          </m:r>
          <m:r>
            <m:t>λ</m:t>
          </m:r>
          <m:r>
            <m:rPr>
              <m:sty m:val="p"/>
            </m:rPr>
            <m:t>≥</m:t>
          </m:r>
          <m:r>
            <m:t>0</m:t>
          </m:r>
          <m:r>
            <m:rPr>
              <m:sty m:val="p"/>
            </m:rPr>
            <m:t>,</m:t>
          </m:r>
          <m:r>
            <m:t> </m:t>
          </m:r>
          <m:r>
            <m:rPr>
              <m:sty m:val="bi"/>
            </m:rPr>
            <m:t>K</m:t>
          </m:r>
          <m:r>
            <m:rPr>
              <m:sty m:val="p"/>
            </m:rPr>
            <m:t>+</m:t>
          </m:r>
          <m:r>
            <m:t>λ</m:t>
          </m:r>
          <m:r>
            <m:rPr>
              <m:sty m:val="bi"/>
            </m:rPr>
            <m:t>M</m:t>
          </m:r>
          <m:r>
            <m:rPr>
              <m:sty m:val="p"/>
            </m:rPr>
            <m:t>≽</m:t>
          </m:r>
          <m:r>
            <m:t>0</m:t>
          </m:r>
        </m:oMath>
      </m:oMathPara>
    </w:p>
    <w:p>
      <w:pPr>
        <w:pStyle w:val="FirstParagraph"/>
      </w:pPr>
      <m:oMathPara>
        <m:oMathParaPr>
          <m:jc m:val="center"/>
        </m:oMathParaPr>
        <m:oMath>
          <m:r>
            <m:t>λ</m:t>
          </m:r>
          <m:r>
            <m:rPr>
              <m:sty m:val="p"/>
            </m:rPr>
            <m:t>(</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r>
            <m:rPr>
              <m:sty m:val="p"/>
            </m:rPr>
            <m:t>)</m:t>
          </m:r>
          <m:r>
            <m:rPr>
              <m:sty m:val="p"/>
            </m:rPr>
            <m:t>=</m:t>
          </m:r>
          <m:r>
            <m:t>0</m:t>
          </m:r>
          <m:r>
            <m:rPr>
              <m:sty m:val="p"/>
            </m:rPr>
            <m:t>,</m:t>
          </m:r>
          <m:r>
            <m:t> </m:t>
          </m:r>
          <m:r>
            <m:rPr>
              <m:sty m:val="p"/>
            </m:rPr>
            <m:t>∥</m:t>
          </m:r>
          <m:r>
            <m:rPr>
              <m:sty m:val="bi"/>
            </m:rPr>
            <m:t>r</m:t>
          </m:r>
          <m:sSub>
            <m:e>
              <m:r>
                <m:rPr>
                  <m:sty m:val="p"/>
                </m:rPr>
                <m:t>∥</m:t>
              </m:r>
            </m:e>
            <m:sub>
              <m:sSup>
                <m:e>
                  <m:r>
                    <m:rPr>
                      <m:sty m:val="bi"/>
                    </m:rPr>
                    <m:t>M</m:t>
                  </m:r>
                </m:e>
                <m:sup>
                  <m:r>
                    <m:rPr>
                      <m:sty m:val="p"/>
                    </m:rPr>
                    <m:t>−</m:t>
                  </m:r>
                  <m:r>
                    <m:t>1</m:t>
                  </m:r>
                </m:sup>
              </m:sSup>
            </m:sub>
          </m:sSub>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r>
            <m:rPr>
              <m:sty m:val="bi"/>
            </m:rPr>
            <m:t>g</m:t>
          </m:r>
          <m:sSub>
            <m:e>
              <m:r>
                <m:rPr>
                  <m:sty m:val="p"/>
                </m:rPr>
                <m:t>∥</m:t>
              </m:r>
            </m:e>
            <m:sub>
              <m:sSup>
                <m:e>
                  <m:r>
                    <m:rPr>
                      <m:sty m:val="bi"/>
                    </m:rPr>
                    <m:t>M</m:t>
                  </m:r>
                </m:e>
                <m:sup>
                  <m:r>
                    <m:rPr>
                      <m:sty m:val="p"/>
                    </m:rPr>
                    <m:t>−</m:t>
                  </m:r>
                  <m:r>
                    <m:t>1</m:t>
                  </m:r>
                </m:sup>
              </m:sSup>
            </m:sub>
          </m:sSub>
        </m:oMath>
      </m:oMathPara>
    </w:p>
    <w:p>
      <w:pPr>
        <w:pStyle w:val="FirstParagraph"/>
      </w:pPr>
      <w:r>
        <w:t xml:space="preserve">Separate stationarity, step feasibility, complementarity, and curvature checks. State the regularity and inner-solve conditions required for superlinear or quadratic local convergence; an HVP implementation alone does not establish those properties.</w:t>
      </w:r>
    </w:p>
    <w:bookmarkEnd w:id="33"/>
    <w:bookmarkStart w:id="34" w:name="tnhvp-and-norm-extended-optimization"/>
    <w:p>
      <w:pPr>
        <w:pStyle w:val="Heading2"/>
      </w:pPr>
      <w:r>
        <w:rPr>
          <w:rStyle w:val="SectionNumber"/>
        </w:rPr>
        <w:t xml:space="preserve">2.5</w:t>
      </w:r>
      <w:r>
        <w:tab/>
      </w:r>
      <w:r>
        <w:t xml:space="preserve">TNHVP and norm-extended optimization</w:t>
      </w:r>
    </w:p>
    <w:p>
      <w:pPr>
        <w:pStyle w:val="FirstParagraph"/>
      </w:pPr>
      <w:r>
        <w:t xml:space="preserve">Describe TNHVP as a truncated Newton realization of the relaxed model, and NEO as a norm-extended formulation of the local second-order model [1]. Define the gradient scaling and the step extracted from the generalized augmented eigenvector explicitly.</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p>
                      <m:e>
                        <m:r>
                          <m:rPr>
                            <m:sty m:val="bi"/>
                          </m:rPr>
                          <m:t>g</m:t>
                        </m:r>
                      </m:e>
                      <m:sup>
                        <m:r>
                          <m:t>T</m:t>
                        </m:r>
                      </m:sup>
                    </m:sSup>
                  </m:e>
                </m:mr>
                <m:mr>
                  <m:e>
                    <m:r>
                      <m:t>α</m:t>
                    </m:r>
                    <m:r>
                      <m:rPr>
                        <m:sty m:val="bi"/>
                      </m:rPr>
                      <m:t>g</m:t>
                    </m:r>
                  </m:e>
                  <m:e>
                    <m:r>
                      <m:rPr>
                        <m:sty m:val="bi"/>
                      </m:rPr>
                      <m:t>K</m:t>
                    </m:r>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bi"/>
                      </m:rPr>
                      <m:t>M</m:t>
                    </m:r>
                  </m:e>
                </m:mr>
              </m:m>
            </m:e>
          </m:d>
          <m:d>
            <m:dPr>
              <m:begChr m:val="("/>
              <m:sepChr m:val=""/>
              <m:endChr m:val=")"/>
              <m:grow/>
            </m:dPr>
            <m:e>
              <m:m>
                <m:mPr>
                  <m:baseJc m:val="center"/>
                  <m:plcHide m:val="on"/>
                  <m:mcs>
                    <m:mc>
                      <m:mcPr>
                        <m:mcJc m:val="center"/>
                        <m:count m:val="1"/>
                      </m:mcPr>
                    </m:mc>
                  </m:mcs>
                </m:mPr>
                <m:mr>
                  <m:e>
                    <m:r>
                      <m:t>β</m:t>
                    </m:r>
                  </m:e>
                </m:mr>
                <m:mr>
                  <m:e>
                    <m:r>
                      <m:rPr>
                        <m:sty m:val="bi"/>
                      </m:rPr>
                      <m:t>y</m:t>
                    </m:r>
                  </m:e>
                </m:mr>
              </m:m>
            </m:e>
          </m:d>
        </m:oMath>
      </m:oMathPara>
    </w:p>
    <w:p>
      <w:pPr>
        <w:pStyle w:val="FirstParagraph"/>
      </w:pPr>
      <m:oMathPara>
        <m:oMathParaPr>
          <m:jc m:val="center"/>
        </m:oMathParaPr>
        <m:oMath>
          <m:r>
            <m:rPr>
              <m:sty m:val="bi"/>
            </m:rPr>
            <m:t>z</m:t>
          </m:r>
          <m:r>
            <m:rPr>
              <m:sty m:val="p"/>
            </m:rPr>
            <m:t>=</m:t>
          </m:r>
          <m:r>
            <m:rPr>
              <m:sty m:val="bi"/>
            </m:rPr>
            <m:t>y</m:t>
          </m:r>
          <m:r>
            <m:rPr>
              <m:sty m:val="p"/>
            </m:rPr>
            <m:t>/</m:t>
          </m:r>
          <m:r>
            <m:rPr>
              <m:sty m:val="p"/>
            </m:rPr>
            <m:t>(</m:t>
          </m:r>
          <m:r>
            <m:t>α</m:t>
          </m:r>
          <m:r>
            <m:t>β</m:t>
          </m:r>
          <m:r>
            <m:rPr>
              <m:sty m:val="p"/>
            </m:rPr>
            <m:t>)</m:t>
          </m:r>
          <m:r>
            <m:rPr>
              <m:sty m:val="p"/>
            </m:rPr>
            <m:t>,</m:t>
          </m:r>
          <m:r>
            <m:t> </m:t>
          </m:r>
          <m:r>
            <m:t>λ</m:t>
          </m:r>
          <m:r>
            <m:rPr>
              <m:sty m:val="p"/>
            </m:rPr>
            <m:t>=</m:t>
          </m:r>
          <m:r>
            <m:rPr>
              <m:sty m:val="p"/>
            </m:rPr>
            <m:t>−</m:t>
          </m:r>
          <m:r>
            <m:t>μ</m:t>
          </m:r>
          <m:r>
            <m:rPr>
              <m:sty m:val="p"/>
            </m:rPr>
            <m:t>,</m:t>
          </m:r>
          <m:r>
            <m:t> </m:t>
          </m:r>
          <m:r>
            <m:rPr>
              <m:sty m:val="p"/>
            </m:rPr>
            <m:t>(</m:t>
          </m:r>
          <m:r>
            <m:rPr>
              <m:sty m:val="bi"/>
            </m:rPr>
            <m:t>K</m:t>
          </m:r>
          <m:r>
            <m:rPr>
              <m:sty m:val="p"/>
            </m:rPr>
            <m:t>+</m:t>
          </m:r>
          <m:r>
            <m:t>λ</m:t>
          </m:r>
          <m:r>
            <m:rPr>
              <m:sty m:val="bi"/>
            </m:rPr>
            <m:t>M</m:t>
          </m:r>
          <m:r>
            <m:rPr>
              <m:sty m:val="p"/>
            </m:rPr>
            <m:t>)</m:t>
          </m:r>
          <m:r>
            <m:rPr>
              <m:sty m:val="bi"/>
            </m:rPr>
            <m:t>z</m:t>
          </m:r>
          <m:r>
            <m:rPr>
              <m:sty m:val="p"/>
            </m:rPr>
            <m:t>=</m:t>
          </m:r>
          <m:r>
            <m:rPr>
              <m:sty m:val="p"/>
            </m:rPr>
            <m:t>−</m:t>
          </m:r>
          <m:r>
            <m:rPr>
              <m:sty m:val="bi"/>
            </m:rPr>
            <m:t>g</m:t>
          </m:r>
        </m:oMath>
      </m:oMathPara>
    </w:p>
    <w:p>
      <w:pPr>
        <w:pStyle w:val="FirstParagraph"/>
      </w:pPr>
      <w:r>
        <w:t xml:space="preserve">Discuss the nonzero homogeneous component, lowest-root selection, and the interior Newton limit. Describe how the projected solver reaches this model; do not equate a generic augmented-Hessian step with a certified norm-constrained solution.</w:t>
      </w:r>
    </w:p>
    <w:bookmarkEnd w:id="34"/>
    <w:bookmarkStart w:id="35" w:name="Xfc62d21ba5db41ab4873cfaca62d004aa0720af"/>
    <w:p>
      <w:pPr>
        <w:pStyle w:val="Heading2"/>
      </w:pPr>
      <w:r>
        <w:rPr>
          <w:rStyle w:val="SectionNumber"/>
        </w:rPr>
        <w:t xml:space="preserve">2.6</w:t>
      </w:r>
      <w:r>
        <w:tab/>
      </w:r>
      <w:r>
        <w:t xml:space="preserve">Preconditioning and controlled structure response</w:t>
      </w:r>
    </w:p>
    <w:p>
      <w:pPr>
        <w:pStyle w:val="FirstParagraph"/>
      </w:pPr>
      <w:r>
        <w:t xml:space="preserve">Distinguish the Hessian model from the preconditioner. Present the one-electron block preconditioner, retained secant information where applicable, and the role of coupled structure response. If the implementation omits or restricts response according to a work estimate, identify that calculation as an approximate model and report it separately.</w:t>
      </w:r>
    </w:p>
    <w:bookmarkEnd w:id="35"/>
    <w:bookmarkEnd w:id="36"/>
    <w:bookmarkStart w:id="40" w:name="implementation"/>
    <w:p>
      <w:pPr>
        <w:pStyle w:val="Heading1"/>
      </w:pPr>
      <w:r>
        <w:rPr>
          <w:rStyle w:val="SectionNumber"/>
        </w:rPr>
        <w:t xml:space="preserve">3</w:t>
      </w:r>
      <w:r>
        <w:tab/>
      </w:r>
      <w:r>
        <w:t xml:space="preserve">IMPLEMENTATION</w:t>
      </w:r>
    </w:p>
    <w:bookmarkStart w:id="37"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7"/>
    <w:bookmarkStart w:id="38" w:name="trial-steps-and-accepted-point-updates"/>
    <w:p>
      <w:pPr>
        <w:pStyle w:val="Heading2"/>
      </w:pPr>
      <w:r>
        <w:rPr>
          <w:rStyle w:val="SectionNumber"/>
        </w:rPr>
        <w:t xml:space="preserve">3.2</w:t>
      </w:r>
      <w:r>
        <w:tab/>
      </w:r>
      <w:r>
        <w:t xml:space="preserve">Trial steps and accepted-point updates</w:t>
      </w:r>
    </w:p>
    <w:p>
      <w:pPr>
        <w:pStyle w:val="FirstParagraph"/>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cr m:val="script"/>
                      <m:sty m:val="p"/>
                    </m:rPr>
                    <m:t>R</m:t>
                  </m:r>
                </m:e>
                <m:sub>
                  <m:r>
                    <m:t>k</m:t>
                  </m:r>
                </m:sub>
              </m:sSub>
              <m:r>
                <m:rPr>
                  <m:sty m:val="p"/>
                </m:rPr>
                <m:t>(</m:t>
              </m:r>
              <m:r>
                <m:rPr>
                  <m:sty m:val="bi"/>
                </m:rPr>
                <m:t>p</m:t>
              </m:r>
              <m:r>
                <m:rPr>
                  <m:sty m:val="p"/>
                </m:rPr>
                <m:t>)</m:t>
              </m:r>
              <m:r>
                <m:rPr>
                  <m:sty m:val="p"/>
                </m:rPr>
                <m:t>)</m:t>
              </m:r>
            </m:num>
            <m:den>
              <m:r>
                <m:t>m</m:t>
              </m:r>
              <m:r>
                <m:rPr>
                  <m:sty m:val="p"/>
                </m:rPr>
                <m:t>(</m:t>
              </m:r>
              <m:r>
                <m:rPr>
                  <m:sty m:val="b"/>
                </m:rPr>
                <m:t>0</m:t>
              </m:r>
              <m:r>
                <m:rPr>
                  <m:sty m:val="p"/>
                </m:rPr>
                <m:t>)</m:t>
              </m:r>
              <m:r>
                <m:rPr>
                  <m:sty m:val="p"/>
                </m:rPr>
                <m:t>−</m:t>
              </m:r>
              <m:r>
                <m:t>m</m:t>
              </m:r>
              <m:r>
                <m:rPr>
                  <m:sty m:val="p"/>
                </m:rPr>
                <m:t>(</m:t>
              </m:r>
              <m:r>
                <m:rPr>
                  <m:sty m:val="bi"/>
                </m:rPr>
                <m:t>z</m:t>
              </m:r>
              <m:r>
                <m:rPr>
                  <m:sty m:val="p"/>
                </m:rPr>
                <m:t>)</m:t>
              </m:r>
            </m:den>
          </m:f>
        </m:oMath>
      </m:oMathPara>
    </w:p>
    <w:p>
      <w:pPr>
        <w:pStyle w:val="FirstParagraph"/>
      </w:pPr>
      <w:r>
        <w:t xml:space="preserve">Explain trial evaluation, acceptance, trust-radius updates, and rebuilding the local model. State which quantities are refreshed at a keyframe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8"/>
    <w:bookmarkStart w:id="39"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39"/>
    <w:bookmarkEnd w:id="40"/>
    <w:bookmarkStart w:id="44" w:name="computational-details"/>
    <w:p>
      <w:pPr>
        <w:pStyle w:val="Heading1"/>
      </w:pPr>
      <w:r>
        <w:rPr>
          <w:rStyle w:val="SectionNumber"/>
        </w:rPr>
        <w:t xml:space="preserve">4</w:t>
      </w:r>
      <w:r>
        <w:tab/>
      </w:r>
      <w:r>
        <w:t xml:space="preserve">COMPUTATIONAL DETAILS</w:t>
      </w:r>
    </w:p>
    <w:bookmarkStart w:id="41"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1"/>
    <w:bookmarkStart w:id="42"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241 (benzene),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2"/>
    <w:bookmarkStart w:id="43"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bookmarkEnd w:id="43"/>
    <w:bookmarkEnd w:id="44"/>
    <w:bookmarkStart w:id="50" w:name="results-and-discussion"/>
    <w:p>
      <w:pPr>
        <w:pStyle w:val="Heading1"/>
      </w:pPr>
      <w:r>
        <w:rPr>
          <w:rStyle w:val="SectionNumber"/>
        </w:rPr>
        <w:t xml:space="preserve">5</w:t>
      </w:r>
      <w:r>
        <w:tab/>
      </w:r>
      <w:r>
        <w:t xml:space="preserve">RESULTS AND DISCUSSION</w:t>
      </w:r>
    </w:p>
    <w:bookmarkStart w:id="45"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5"/>
    <w:bookmarkStart w:id="46"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6"/>
    <w:bookmarkStart w:id="47"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7"/>
    <w:bookmarkStart w:id="48"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8"/>
    <w:bookmarkStart w:id="49"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49"/>
    <w:bookmarkEnd w:id="50"/>
    <w:bookmarkStart w:id="51"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1"/>
    <w:bookmarkStart w:id="53" w:name="associated-content"/>
    <w:p>
      <w:pPr>
        <w:pStyle w:val="Heading1"/>
      </w:pPr>
      <w:r>
        <w:t xml:space="preserve">ASSOCIATED CONTENT</w:t>
      </w:r>
    </w:p>
    <w:bookmarkStart w:id="52" w:name="supporting-information"/>
    <w:p>
      <w:pPr>
        <w:pStyle w:val="Heading2"/>
      </w:pPr>
      <w:r>
        <w:rPr>
          <w:rStyle w:val="SectionNumber"/>
        </w:rPr>
        <w:t xml:space="preserve">6.1</w:t>
      </w:r>
      <w:r>
        <w:tab/>
      </w:r>
      <w:r>
        <w:t xml:space="preserve">Supporting Information</w:t>
      </w:r>
    </w:p>
    <w:p>
      <w:pPr>
        <w:pStyle w:val="FirstParagraph"/>
      </w:pPr>
      <w:r>
        <w:t xml:space="preserve">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2"/>
    <w:bookmarkEnd w:id="53"/>
    <w:bookmarkStart w:id="54" w:name="author-information"/>
    <w:p>
      <w:pPr>
        <w:pStyle w:val="Heading1"/>
      </w:pPr>
      <w:r>
        <w:t xml:space="preserve">AUTHOR INFORMATION</w:t>
      </w:r>
    </w:p>
    <w:p>
      <w:pPr>
        <w:pStyle w:val="FirstParagraph"/>
      </w:pPr>
      <w:r>
        <w:t xml:space="preserve">Corresponding Author: [Name and e-mail]. Author Contributions: [To be agreed by all authors]. Notes: [Competing-interest statement to be confirmed].</w:t>
      </w:r>
    </w:p>
    <w:bookmarkEnd w:id="54"/>
    <w:bookmarkStart w:id="55"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5"/>
    <w:bookmarkStart w:id="56"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6"/>
    <w:bookmarkStart w:id="57"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 J. Chem. Phys. 1984, 80, 1204–1214. https://doi.org/10.1063/1.446797.</w:t>
      </w:r>
    </w:p>
    <w:p>
      <w:pPr>
        <w:pStyle w:val="BodyText"/>
      </w:pPr>
      <w:r>
        <w:t xml:space="preserve">(2) Werner, H.-J.; Knowles, P. J. A Second Order Multiconfiguration SCF Procedure with Optimum Convergence. J. Chem. Phys. 1985, 82, 5053–5063. https://doi.org/10.1063/1.448627.</w:t>
      </w:r>
    </w:p>
    <w:p>
      <w:pPr>
        <w:pStyle w:val="BodyText"/>
      </w:pPr>
      <w:r>
        <w:t xml:space="preserve">(3) Sun, Q.; Yang, J.; Chan, G. K.-L. A General Second Order Complete Active Space Self-Consistent-Field Solver for Large-Scale Systems. Chem. Phys. Lett. 2017, 683, 291–299. https://doi.org/10.1016/j.cplett.2017.03.004.</w:t>
      </w:r>
    </w:p>
    <w:p>
      <w:pPr>
        <w:pStyle w:val="BodyText"/>
      </w:pPr>
      <w:r>
        <w:t xml:space="preserve">[Complete the VBSCF/XMVB, inexact-Newton, trust-region, L-BFGS, and density-fitting literature before submission. This starter list is not an exhaustive priority review.]</w:t>
      </w:r>
    </w:p>
    <w:bookmarkEnd w:id="57"/>
    <w:bookmarkStart w:id="58" w:name="Xa8fc50c94211baa90414fe0cf793c634916f867"/>
    <w:p>
      <w:pPr>
        <w:pStyle w:val="Heading1"/>
      </w:pPr>
      <w:r>
        <w:t xml:space="preserve">INTERNAL DRAFT NOTES — REMOVE BEFORE SUBMISSION</w:t>
      </w:r>
    </w:p>
    <w:p>
      <w:pPr>
        <w:pStyle w:val="FirstParagraph"/>
      </w:pPr>
      <w:r>
        <w:t xml:space="preserve">This is a LaTeX master outline, not a finished manuscript. Resolve placeholders before submission. The Word review snapshot is generated with Pandoc; equations are editable Word mathematics. Review comments from earlier snapshots are not automatically transferred.</w:t>
      </w:r>
    </w:p>
    <w:p>
      <w:pPr>
        <w:pStyle w:val="BodyText"/>
      </w:pPr>
      <w:r>
        <w:t xml:space="preserve">The LaTeX master uses the standard article class, not an official ACS LaTeX class. The Word snapshot takes its formatting from the separately retained ACS-based Word draft. This experiment does not establish submission readiness.</w:t>
      </w:r>
    </w:p>
    <w:p>
      <w:pPr>
        <w:pStyle w:val="BodyText"/>
      </w:pPr>
      <w:r>
        <w:t xml:space="preserve">JCTC author guidelines: https://researcher-resources.acs.org/publish/author_guidelines?coden=jctcce</w:t>
      </w:r>
    </w:p>
    <w:p>
      <w:pPr>
        <w:pStyle w:val="BodyText"/>
      </w:pPr>
      <w:r>
        <w:t xml:space="preserve">Official ACS Word template: https://pubsapp.acs.org/paragonplus/submission/templates/acs_template_msw2010_ol_pc.dotx</w:t>
      </w:r>
    </w:p>
    <w:p>
      <w:pPr>
        <w:pStyle w:val="BodyText"/>
      </w:pPr>
      <w:r>
        <w:t xml:space="preserve">Code mapping checked for this outline: ISCF=5 conventional XMVB-style L-BFGS; ISCF=7 TNHVP; ISCF=8 block-LBFGS; ISCF=9 NEO. Historical theory notes are not treated as proof of current implementation behavior. No new molecular calculations were performed.</w:t>
      </w:r>
    </w:p>
    <w:p>
      <w:pPr>
        <w:pStyle w:val="BodyText"/>
      </w:pPr>
      <w:r>
        <w:t xml:space="preserve">Editorial decisions: (i) freeze the primary method and exact response policy; (ii) resolve endpoint validation for difficult OEO cases; (iii) freeze the benchmark version and matched inputs; (iv) select figures only after complete data are available; (v) agree authorship, funding, data deposition, and final novelty claims.</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Optimization of Nonorthogonal Valence-Bond Wave Functions</dc:title>
  <dc:creator>XMVB-CPP manuscript working group</dc:creator>
  <cp:keywords/>
  <dcterms:created xsi:type="dcterms:W3CDTF">2026-10-07T08:37:41Z</dcterms:created>
  <dcterms:modified xsi:type="dcterms:W3CDTF">2026-10-07T08:37:41Z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Internal review draft: 7 October 2026</vt:lpwstr>
  </property>
</Properties>
</file>