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the</w:t>
      </w:r>
      <w:r>
        <w:t xml:space="preserve"> </w:t>
      </w:r>
      <m:oMath>
        <m:r>
          <m:t>I</m:t>
        </m:r>
      </m:oMath>
      <w:r>
        <w:t xml:space="preserve">th spin-adapted VB structure,</w:t>
      </w:r>
      <w:r>
        <w:t xml:space="preserve"> </w:t>
      </w:r>
      <m:oMath>
        <m:r>
          <m:rPr>
            <m:sty m:val="bi"/>
          </m:rPr>
          <m:t>C</m:t>
        </m:r>
      </m:oMath>
      <w:r>
        <w:t xml:space="preserve"> </w:t>
      </w:r>
      <w:r>
        <w:t xml:space="preserve">is the vector of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(2)</m:t>
          </m:r>
        </m:oMath>
      </m:oMathPara>
    </w:p>
    <w:p>
      <w:pPr>
        <w:pStyle w:val="FirstParagraph"/>
      </w:pPr>
      <w:r>
        <w:t xml:space="preserve">where</w:t>
      </w:r>
      <w:r>
        <w:t xml:space="preserve"> </w:t>
      </w:r>
      <m:oMath>
        <m:r>
          <m:rPr>
            <m:sty m:val="bi"/>
          </m:rPr>
          <m:t>H</m:t>
        </m:r>
      </m:oMath>
      <w:r>
        <w:t xml:space="preserve"> </w:t>
      </w:r>
      <w:r>
        <w:t xml:space="preserve">and</w:t>
      </w:r>
      <w:r>
        <w:t xml:space="preserve"> </w:t>
      </w:r>
      <m:oMath>
        <m:r>
          <m:rPr>
            <m:sty m:val="bi"/>
          </m:rPr>
          <m:t>M</m:t>
        </m:r>
      </m:oMath>
      <w:r>
        <w:t xml:space="preserve"> </w:t>
      </w:r>
      <w:r>
        <w:t xml:space="preserve">are the electronic Hamiltonian and overlap matrices in the VB structure basis, respectively, and</w:t>
      </w:r>
      <w:r>
        <w:t xml:space="preserve"> </w:t>
      </w:r>
      <m:oMath>
        <m:sSub>
          <m:e>
            <m:r>
              <m:t>E</m:t>
            </m:r>
          </m:e>
          <m:sub>
            <m:r>
              <m:t>n</m:t>
            </m:r>
          </m:sub>
        </m:sSub>
      </m:oMath>
      <w:r>
        <w:t xml:space="preserve"> </w:t>
      </w:r>
      <w:r>
        <w:t xml:space="preserve">is the electronic energy of state</w:t>
      </w:r>
      <w:r>
        <w:t xml:space="preserve"> </w:t>
      </w:r>
      <m:oMath>
        <m:r>
          <m:t>n</m:t>
        </m:r>
      </m:oMath>
      <w:r>
        <w:t xml:space="preserve">. The</w:t>
      </w:r>
      <w:r>
        <w:t xml:space="preserve"> </w:t>
      </w:r>
      <m:oMath>
        <m:r>
          <m:t>I</m:t>
        </m:r>
      </m:oMath>
      <w:r>
        <w:t xml:space="preserve">th component of</w:t>
      </w:r>
      <w:r>
        <w:t xml:space="preserve"> </w:t>
      </w:r>
      <m:oMath>
        <m:sSub>
          <m:e>
            <m:r>
              <m:rPr>
                <m:sty m:val="bi"/>
              </m:rPr>
              <m:t>C</m:t>
            </m:r>
          </m:e>
          <m:sub>
            <m:r>
              <m:t>n</m:t>
            </m:r>
          </m:sub>
        </m:sSub>
      </m:oMath>
      <w:r>
        <w:t xml:space="preserve">,</w:t>
      </w:r>
      <w:r>
        <w:t xml:space="preserve"> </w:t>
      </w:r>
      <m:oMath>
        <m:sSub>
          <m:e>
            <m:r>
              <m:t>C</m:t>
            </m:r>
          </m:e>
          <m:sub>
            <m:r>
              <m:t>I</m:t>
            </m:r>
            <m:r>
              <m:t>n</m:t>
            </m:r>
          </m:sub>
        </m:sSub>
      </m:oMath>
      <w:r>
        <w:t xml:space="preserve">, is the coefficient of the</w:t>
      </w:r>
      <w:r>
        <w:t xml:space="preserve"> </w:t>
      </w:r>
      <m:oMath>
        <m:r>
          <m:t>I</m:t>
        </m:r>
      </m:oMath>
      <w:r>
        <w:t xml:space="preserve">th VB structure in state</w:t>
      </w:r>
      <w:r>
        <w:t xml:space="preserve"> </w:t>
      </w:r>
      <m:oMath>
        <m:r>
          <m:t>n</m:t>
        </m:r>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Orbital optimization minimizes</w:t>
      </w:r>
      <w:r>
        <w:t xml:space="preserve"> </w:t>
      </w:r>
      <m:oMath>
        <m:r>
          <m:rPr>
            <m:scr m:val="script"/>
            <m:sty m:val="p"/>
          </m:rPr>
          <m:t>E</m:t>
        </m:r>
        <m:r>
          <m:rPr>
            <m:sty m:val="p"/>
          </m:rPr>
          <m:t>(</m:t>
        </m:r>
        <m:r>
          <m:rPr>
            <m:sty m:val="bi"/>
          </m:rPr>
          <m:t>x</m:t>
        </m:r>
        <m:r>
          <m:rPr>
            <m:sty m:val="p"/>
          </m:rPr>
          <m:t>)</m:t>
        </m:r>
      </m:oMath>
      <w:r>
        <w:t xml:space="preserve"> </w:t>
      </w:r>
      <w:r>
        <w:t xml:space="preserve">with the structure coefficients optimized at each orbital point.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w:t>
      </w:r>
    </w:p>
    <w:bookmarkEnd w:id="31"/>
    <w:bookmarkStart w:id="32" w:name="nonredundant-orbital-coordinates"/>
    <w:p>
      <w:pPr>
        <w:pStyle w:val="Heading2"/>
      </w:pPr>
      <w:r>
        <w:rPr>
          <w:rStyle w:val="SectionNumber"/>
        </w:rPr>
        <w:t xml:space="preserve">2.2</w:t>
      </w:r>
      <w:r>
        <w:tab/>
      </w:r>
      <w:r>
        <w:t xml:space="preserve">Nonredundant Orbital Coordinates</w:t>
      </w:r>
    </w:p>
    <w:p>
      <w:pPr>
        <w:pStyle w:val="FirstParagraph"/>
      </w:pPr>
      <w:r>
        <w:t xml:space="preserve">A normalized VB wave function does not have a unique orbital-coefficient representation. Rescaling an orbital leaves its normalized form unchanged, and certain orbital mixings can be compensated by changes of the structure coefficients. These redundant degrees of freedom can make the second-order equations singular or poorly conditioned. We construct nonredundant coordinates by identifying the redundant variations compatible with the orbital localization constraints and retaining a complement to them.</w:t>
      </w:r>
    </w:p>
    <w:p>
      <w:pPr>
        <w:pStyle w:val="BodyText"/>
      </w:pPr>
      <w:r>
        <w:t xml:space="preserve">The</w:t>
      </w:r>
      <w:r>
        <w:t xml:space="preserve"> </w:t>
      </w:r>
      <m:oMath>
        <m:r>
          <m:t>i</m:t>
        </m:r>
      </m:oMath>
      <w:r>
        <w:t xml:space="preserve">th orbital is expressed as a linear combination of atomic orbitals,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r>
            <m:rPr>
              <m:nor/>
              <m:sty m:val="p"/>
            </m:rPr>
            <m:t>(4)</m:t>
          </m:r>
        </m:oMath>
      </m:oMathPara>
    </w:p>
    <w:p>
      <w:pPr>
        <w:pStyle w:val="FirstParagraph"/>
      </w:pPr>
      <w:r>
        <w:t xml:space="preserve">where</w:t>
      </w:r>
      <w:r>
        <w:t xml:space="preserve"> </w:t>
      </w:r>
      <m:oMath>
        <m:sSub>
          <m:e>
            <m:r>
              <m:t>χ</m:t>
            </m:r>
          </m:e>
          <m:sub>
            <m:r>
              <m:t>μ</m:t>
            </m:r>
          </m:sub>
        </m:sSub>
      </m:oMath>
      <w:r>
        <w:t xml:space="preserve"> </w:t>
      </w:r>
      <w:r>
        <w:t xml:space="preserve">is an AO basis function and</w:t>
      </w:r>
      <w:r>
        <w:t xml:space="preserve"> </w:t>
      </w:r>
      <m:oMath>
        <m:sSub>
          <m:e>
            <m:r>
              <m:t>b</m:t>
            </m:r>
          </m:e>
          <m:sub>
            <m:r>
              <m:t>μ</m:t>
            </m:r>
            <m:r>
              <m:t>i</m:t>
            </m:r>
          </m:sub>
        </m:sSub>
      </m:oMath>
      <w:r>
        <w:t xml:space="preserve"> </w:t>
      </w:r>
      <w:r>
        <w:t xml:space="preserve">is its coefficient in orbital</w:t>
      </w:r>
      <w:r>
        <w:t xml:space="preserve"> </w:t>
      </w:r>
      <m:oMath>
        <m:r>
          <m:t>i</m:t>
        </m:r>
      </m:oMath>
      <w:r>
        <w:t xml:space="preserve">. Hybrid atomic orbitals (HAOs) are strictly localized on a prescribed atom or group of atoms; coefficients outside that region remain zero. Overlap-enhanced orbitals (OEOs) can expand over the entire AO basis without this localization constraint. Let</w:t>
      </w:r>
      <w:r>
        <w:t xml:space="preserve"> </w:t>
      </w:r>
      <m:oMath>
        <m:sSub>
          <m:e>
            <m:r>
              <m:rPr>
                <m:scr m:val="script"/>
                <m:sty m:val="p"/>
              </m:rPr>
              <m:t>A</m:t>
            </m:r>
          </m:e>
          <m:sub>
            <m:r>
              <m:t>i</m:t>
            </m:r>
          </m:sub>
        </m:sSub>
      </m:oMath>
      <w:r>
        <w:t xml:space="preserve"> </w:t>
      </w:r>
      <w:r>
        <w:t xml:space="preserve">denote the set of AO indices allowed for orbital</w:t>
      </w:r>
      <w:r>
        <w:t xml:space="preserve"> </w:t>
      </w:r>
      <m:oMath>
        <m:r>
          <m:t>i</m:t>
        </m:r>
      </m:oMath>
      <w:r>
        <w:t xml:space="preserve">, and let</w:t>
      </w:r>
      <w:r>
        <w:t xml:space="preserve"> </w:t>
      </w:r>
      <m:oMath>
        <m:sSub>
          <m:e>
            <m:r>
              <m:rPr>
                <m:sty m:val="bi"/>
              </m:rPr>
              <m:t>x</m:t>
            </m:r>
          </m:e>
          <m:sub>
            <m:r>
              <m:t>i</m:t>
            </m:r>
          </m:sub>
        </m:sSub>
        <m:r>
          <m:rPr>
            <m:sty m:val="p"/>
          </m:rPr>
          <m:t>=</m:t>
        </m:r>
        <m:r>
          <m:rPr>
            <m:sty m:val="p"/>
          </m:rPr>
          <m:t>(</m:t>
        </m:r>
        <m:sSub>
          <m:e>
            <m:r>
              <m:t>b</m:t>
            </m:r>
          </m:e>
          <m:sub>
            <m:r>
              <m:t>μ</m:t>
            </m:r>
            <m:r>
              <m:t>i</m:t>
            </m:r>
          </m:sub>
        </m:sSub>
        <m:sSub>
          <m:e>
            <m:r>
              <m:rPr>
                <m:sty m:val="p"/>
              </m:rPr>
              <m:t>)</m:t>
            </m:r>
          </m:e>
          <m:sub>
            <m:r>
              <m:t>μ</m:t>
            </m:r>
            <m:r>
              <m:rPr>
                <m:sty m:val="p"/>
              </m:rPr>
              <m:t>∈</m:t>
            </m:r>
            <m:sSub>
              <m:e>
                <m:r>
                  <m:rPr>
                    <m:scr m:val="script"/>
                    <m:sty m:val="p"/>
                  </m:rPr>
                  <m:t>A</m:t>
                </m:r>
              </m:e>
              <m:sub>
                <m:r>
                  <m:t>i</m:t>
                </m:r>
              </m:sub>
            </m:sSub>
          </m:sub>
        </m:sSub>
      </m:oMath>
      <w:r>
        <w:t xml:space="preserve"> </w:t>
      </w:r>
      <w:r>
        <w:t xml:space="preserve">collect its variable coefficients. The full parameter vector</w:t>
      </w:r>
      <w:r>
        <w:t xml:space="preserve"> </w:t>
      </w:r>
      <m:oMath>
        <m:r>
          <m:rPr>
            <m:sty m:val="bi"/>
          </m:rPr>
          <m:t>x</m:t>
        </m:r>
      </m:oMath>
      <w:r>
        <w:t xml:space="preserve"> </w:t>
      </w:r>
      <w:r>
        <w:t xml:space="preserve">is formed by concatenating these vectors.</w:t>
      </w:r>
    </w:p>
    <w:p>
      <w:pPr>
        <w:pStyle w:val="BodyText"/>
      </w:pPr>
      <w:r>
        <w:t xml:space="preserve">Orbital scaling,</w:t>
      </w:r>
      <w:r>
        <w:t xml:space="preserve"> </w:t>
      </w:r>
      <m:oMath>
        <m:r>
          <m:t>δ</m:t>
        </m:r>
        <m:sSub>
          <m:e>
            <m:r>
              <m:t>ϕ</m:t>
            </m:r>
          </m:e>
          <m:sub>
            <m:r>
              <m:t>i</m:t>
            </m:r>
          </m:sub>
        </m:sSub>
        <m:r>
          <m:rPr>
            <m:sty m:val="p"/>
          </m:rPr>
          <m:t>=</m:t>
        </m:r>
        <m:r>
          <m:t>ϵ</m:t>
        </m:r>
        <m:sSub>
          <m:e>
            <m:r>
              <m:t>ϕ</m:t>
            </m:r>
          </m:e>
          <m:sub>
            <m:r>
              <m:t>i</m:t>
            </m:r>
          </m:sub>
        </m:sSub>
      </m:oMath>
      <w:r>
        <w:t xml:space="preserve">, is the simplest redundancy, where</w:t>
      </w:r>
      <w:r>
        <w:t xml:space="preserve"> </w:t>
      </w:r>
      <m:oMath>
        <m:r>
          <m:t>ϵ</m:t>
        </m:r>
      </m:oMath>
      <w:r>
        <w:t xml:space="preserve"> </w:t>
      </w:r>
      <w:r>
        <w:t xml:space="preserve">is an infinitesimal scalar. Further redundancies arise from changes of basis within the doubly occupied inactive space and from adding inactive components to active orbitals. For a complete active-space expansion with OEOs, changes of basis within the active space can also be compensated by the structure coefficients. This active-space redundancy is not assumed for a selected VB expansion, because mixing active orbitals generally changes the chosen structure space.</w:t>
      </w:r>
    </w:p>
    <w:p>
      <w:pPr>
        <w:pStyle w:val="BodyText"/>
      </w:pPr>
      <w:r>
        <w:t xml:space="preserve">More generally, an allowed orbital variation</w:t>
      </w:r>
      <w:r>
        <w:t xml:space="preserve"> </w:t>
      </w:r>
      <m:oMath>
        <m:r>
          <m:t>δ</m:t>
        </m:r>
        <m:r>
          <m:rPr>
            <m:sty m:val="bi"/>
          </m:rPr>
          <m:t>x</m:t>
        </m:r>
      </m:oMath>
      <w:r>
        <w:t xml:space="preserve"> </w:t>
      </w:r>
      <w:r>
        <w:t xml:space="preserve">is redundant if a structure-coefficient variation</w:t>
      </w:r>
      <w:r>
        <w:t xml:space="preserve"> </w:t>
      </w:r>
      <m:oMath>
        <m:r>
          <m:t>δ</m:t>
        </m:r>
        <m:r>
          <m:rPr>
            <m:sty m:val="bi"/>
          </m:rPr>
          <m:t>C</m:t>
        </m:r>
      </m:oMath>
      <w:r>
        <w:t xml:space="preserve"> </w:t>
      </w:r>
      <w:r>
        <w:t xml:space="preserve">exists such that</w:t>
      </w:r>
    </w:p>
    <w:p>
      <w:pPr>
        <w:pStyle w:val="BodyText"/>
      </w:pPr>
      <m:oMathPara>
        <m:oMathParaPr>
          <m:jc m:val="center"/>
        </m:oMathParaPr>
        <m:oMath>
          <m:sSub>
            <m:e>
              <m:r>
                <m:t>D</m:t>
              </m:r>
            </m:e>
            <m:sub>
              <m:r>
                <m:rPr>
                  <m:sty m:val="bi"/>
                </m:rPr>
                <m:t>x</m:t>
              </m:r>
            </m:sub>
          </m:sSub>
          <m:r>
            <m:rPr>
              <m:sty m:val="p"/>
            </m:rPr>
            <m:t>|</m:t>
          </m:r>
          <m:r>
            <m:rPr>
              <m:sty m:val="p"/>
            </m:rPr>
            <m:t>Ψ</m:t>
          </m:r>
          <m:r>
            <m:rPr>
              <m:sty m:val="p"/>
            </m:rPr>
            <m:t>⟩</m:t>
          </m:r>
          <m:r>
            <m:rPr>
              <m:sty m:val="p"/>
            </m:rPr>
            <m:t>[</m:t>
          </m:r>
          <m:r>
            <m:t>δ</m:t>
          </m:r>
          <m:r>
            <m:rPr>
              <m:sty m:val="bi"/>
            </m:rPr>
            <m:t>x</m:t>
          </m:r>
          <m:r>
            <m:rPr>
              <m:sty m:val="p"/>
            </m:rPr>
            <m:t>]</m:t>
          </m:r>
          <m:r>
            <m:rPr>
              <m:sty m:val="p"/>
            </m:rPr>
            <m:t>+</m:t>
          </m:r>
          <m:nary>
            <m:naryPr>
              <m:chr m:val="∑"/>
              <m:limLoc m:val="undOvr"/>
              <m:subHide m:val="off"/>
              <m:supHide m:val="on"/>
            </m:naryPr>
            <m:sub>
              <m:r>
                <m:t>I</m:t>
              </m:r>
            </m:sub>
            <m:sup>
              <m:r>
                <m:t>​</m:t>
              </m:r>
            </m:sup>
            <m:e>
              <m:r>
                <m:t>δ</m:t>
              </m:r>
            </m:e>
          </m:nary>
          <m:sSub>
            <m:e>
              <m:r>
                <m:t>C</m:t>
              </m:r>
            </m:e>
            <m:sub>
              <m:r>
                <m:t>I</m:t>
              </m:r>
            </m:sub>
          </m:sSub>
          <m:r>
            <m:rPr>
              <m:sty m:val="p"/>
            </m:rPr>
            <m:t>|</m:t>
          </m:r>
          <m:sSub>
            <m:e>
              <m:r>
                <m:rPr>
                  <m:sty m:val="p"/>
                </m:rPr>
                <m:t>Φ</m:t>
              </m:r>
            </m:e>
            <m:sub>
              <m:r>
                <m:t>I</m:t>
              </m:r>
            </m:sub>
          </m:sSub>
          <m:r>
            <m:rPr>
              <m:sty m:val="p"/>
            </m:rPr>
            <m:t>⟩</m:t>
          </m:r>
          <m:r>
            <m:rPr>
              <m:sty m:val="p"/>
            </m:rPr>
            <m:t>=</m:t>
          </m:r>
          <m:r>
            <m:t>γ</m:t>
          </m:r>
          <m:r>
            <m:rPr>
              <m:sty m:val="p"/>
            </m:rPr>
            <m:t>|</m:t>
          </m:r>
          <m:r>
            <m:rPr>
              <m:sty m:val="p"/>
            </m:rPr>
            <m:t>Ψ</m:t>
          </m:r>
          <m:r>
            <m:rPr>
              <m:sty m:val="p"/>
            </m:rPr>
            <m:t>⟩</m:t>
          </m:r>
          <m:r>
            <m:rPr>
              <m:sty m:val="p"/>
            </m:rPr>
            <m:t>,</m:t>
          </m:r>
          <m:r>
            <m:t>  </m:t>
          </m:r>
          <m:r>
            <m:rPr>
              <m:nor/>
              <m:sty m:val="p"/>
            </m:rPr>
            <m:t>(5)</m:t>
          </m:r>
        </m:oMath>
      </m:oMathPara>
    </w:p>
    <w:p>
      <w:pPr>
        <w:pStyle w:val="FirstParagraph"/>
      </w:pPr>
      <w:r>
        <w:t xml:space="preserve">where</w:t>
      </w:r>
      <w:r>
        <w:t xml:space="preserve"> </w:t>
      </w:r>
      <m:oMath>
        <m:sSub>
          <m:e>
            <m:r>
              <m:t>D</m:t>
            </m:r>
          </m:e>
          <m:sub>
            <m:r>
              <m:rPr>
                <m:sty m:val="bi"/>
              </m:rPr>
              <m:t>x</m:t>
            </m:r>
          </m:sub>
        </m:sSub>
      </m:oMath>
      <w:r>
        <w:t xml:space="preserve"> </w:t>
      </w:r>
      <w:r>
        <w:t xml:space="preserve">denotes a directional derivative at fixed structure coefficients,</w:t>
      </w:r>
      <w:r>
        <w:t xml:space="preserve"> </w:t>
      </w:r>
      <m:oMath>
        <m:r>
          <m:t>δ</m:t>
        </m:r>
        <m:sSub>
          <m:e>
            <m:r>
              <m:t>C</m:t>
            </m:r>
          </m:e>
          <m:sub>
            <m:r>
              <m:t>I</m:t>
            </m:r>
          </m:sub>
        </m:sSub>
      </m:oMath>
      <w:r>
        <w:t xml:space="preserve"> </w:t>
      </w:r>
      <w:r>
        <w:t xml:space="preserve">is the</w:t>
      </w:r>
      <w:r>
        <w:t xml:space="preserve"> </w:t>
      </w:r>
      <m:oMath>
        <m:r>
          <m:t>I</m:t>
        </m:r>
      </m:oMath>
      <w:r>
        <w:t xml:space="preserve">th component of</w:t>
      </w:r>
      <w:r>
        <w:t xml:space="preserve"> </w:t>
      </w:r>
      <m:oMath>
        <m:r>
          <m:t>δ</m:t>
        </m:r>
        <m:r>
          <m:rPr>
            <m:sty m:val="bi"/>
          </m:rPr>
          <m:t>C</m:t>
        </m:r>
      </m:oMath>
      <w:r>
        <w:t xml:space="preserve">, and the scalar</w:t>
      </w:r>
      <w:r>
        <w:t xml:space="preserve"> </w:t>
      </w:r>
      <m:oMath>
        <m:r>
          <m:t>γ</m:t>
        </m:r>
      </m:oMath>
      <w:r>
        <w:t xml:space="preserve"> </w:t>
      </w:r>
      <w:r>
        <w:t xml:space="preserve">allows an overall normalization change. The normalized physical state is unchanged to first order. The construction below removes the orbital-representation redundancies described above; it does not classify directions by a small energy curvature.</w:t>
      </w:r>
    </w:p>
    <w:p>
      <w:pPr>
        <w:pStyle w:val="BodyText"/>
      </w:pPr>
      <w:r>
        <w:t xml:space="preserve">To construct these directions, let</w:t>
      </w:r>
      <w:r>
        <w:t xml:space="preserve"> </w:t>
      </w:r>
      <m:oMath>
        <m:r>
          <m:rPr>
            <m:sty m:val="bi"/>
          </m:rPr>
          <m:t>D</m:t>
        </m:r>
      </m:oMath>
      <w:r>
        <w:t xml:space="preserve"> </w:t>
      </w:r>
      <w:r>
        <w:t xml:space="preserve">contain the AO coefficients of the inactive orbitals. An AO-metric-orthonormal basis of their span and the associated projector are</w:t>
      </w:r>
    </w:p>
    <w:p>
      <w:pPr>
        <w:pStyle w:val="BodyText"/>
      </w:pPr>
      <m:oMathPara>
        <m:oMathParaPr>
          <m:jc m:val="center"/>
        </m:oMathParaPr>
        <m:oMath>
          <m:acc>
            <m:accPr>
              <m:chr m:val="̃"/>
            </m:accPr>
            <m:e>
              <m:r>
                <m:rPr>
                  <m:sty m:val="bi"/>
                </m:rPr>
                <m:t>D</m:t>
              </m:r>
            </m:e>
          </m:acc>
          <m:r>
            <m:rPr>
              <m:sty m:val="p"/>
            </m:rPr>
            <m:t>=</m:t>
          </m:r>
          <m:r>
            <m:rPr>
              <m:sty m:val="bi"/>
            </m:rPr>
            <m:t>D</m:t>
          </m:r>
          <m:r>
            <m:rPr>
              <m:sty m:val="p"/>
            </m:rPr>
            <m:t>(</m:t>
          </m:r>
          <m:sSup>
            <m:e>
              <m:r>
                <m:rPr>
                  <m:sty m:val="bi"/>
                </m:rPr>
                <m:t>D</m:t>
              </m:r>
            </m:e>
            <m:sup>
              <m:r>
                <m:t>T</m:t>
              </m:r>
            </m:sup>
          </m:sSup>
          <m:r>
            <m:rPr>
              <m:sty m:val="bi"/>
            </m:rPr>
            <m:t>S</m:t>
          </m:r>
          <m:r>
            <m:rPr>
              <m:sty m:val="bi"/>
            </m:rPr>
            <m:t>D</m:t>
          </m:r>
          <m:sSup>
            <m:e>
              <m:r>
                <m:rPr>
                  <m:sty m:val="p"/>
                </m:rPr>
                <m:t>)</m:t>
              </m:r>
            </m:e>
            <m:sup>
              <m:r>
                <m:rPr>
                  <m:sty m:val="p"/>
                </m:rPr>
                <m:t>−</m:t>
              </m:r>
              <m:r>
                <m:t>1</m:t>
              </m:r>
              <m:r>
                <m:rPr>
                  <m:sty m:val="p"/>
                </m:rPr>
                <m:t>/</m:t>
              </m:r>
              <m:r>
                <m:t>2</m:t>
              </m:r>
            </m:sup>
          </m:sSup>
          <m:r>
            <m:rPr>
              <m:sty m:val="p"/>
            </m:rPr>
            <m:t>,</m:t>
          </m:r>
          <m:r>
            <m:t>  </m:t>
          </m:r>
          <m:sSub>
            <m:e>
              <m:r>
                <m:rPr>
                  <m:sty m:val="bi"/>
                </m:rPr>
                <m:t>P</m:t>
              </m:r>
            </m:e>
            <m:sub>
              <m:r>
                <m:t>d</m:t>
              </m:r>
            </m:sub>
          </m:sSub>
          <m:r>
            <m:rPr>
              <m:sty m:val="p"/>
            </m:rPr>
            <m:t>=</m:t>
          </m:r>
          <m:acc>
            <m:accPr>
              <m:chr m:val="̃"/>
            </m:accPr>
            <m:e>
              <m:r>
                <m:rPr>
                  <m:sty m:val="bi"/>
                </m:rPr>
                <m:t>D</m:t>
              </m:r>
            </m:e>
          </m:acc>
          <m:sSup>
            <m:e>
              <m:acc>
                <m:accPr>
                  <m:chr m:val="̃"/>
                </m:accPr>
                <m:e>
                  <m:r>
                    <m:rPr>
                      <m:sty m:val="bi"/>
                    </m:rPr>
                    <m:t>D</m:t>
                  </m:r>
                </m:e>
              </m:acc>
            </m:e>
            <m:sup>
              <m:r>
                <m:t> </m:t>
              </m:r>
              <m:r>
                <m:t>T</m:t>
              </m:r>
            </m:sup>
          </m:sSup>
          <m:r>
            <m:rPr>
              <m:sty m:val="bi"/>
            </m:rPr>
            <m:t>S</m:t>
          </m:r>
          <m:r>
            <m:rPr>
              <m:sty m:val="p"/>
            </m:rPr>
            <m:t>,</m:t>
          </m:r>
          <m:r>
            <m:t>  </m:t>
          </m:r>
          <m:r>
            <m:rPr>
              <m:nor/>
              <m:sty m:val="p"/>
            </m:rPr>
            <m:t>(6)</m:t>
          </m:r>
        </m:oMath>
      </m:oMathPara>
    </w:p>
    <w:p>
      <w:pPr>
        <w:pStyle w:val="FirstParagraph"/>
      </w:pPr>
      <w:r>
        <w:t xml:space="preserve">where</w:t>
      </w:r>
      <w:r>
        <w:t xml:space="preserve"> </w:t>
      </w:r>
      <m:oMath>
        <m:r>
          <m:rPr>
            <m:sty m:val="bi"/>
          </m:rPr>
          <m:t>S</m:t>
        </m:r>
      </m:oMath>
      <w:r>
        <w:t xml:space="preserve"> </w:t>
      </w:r>
      <w:r>
        <w:t xml:space="preserve">is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and</w:t>
      </w:r>
      <w:r>
        <w:t xml:space="preserve"> </w:t>
      </w:r>
      <m:oMath>
        <m:sSub>
          <m:e>
            <m:r>
              <m:rPr>
                <m:sty m:val="bi"/>
              </m:rPr>
              <m:t>P</m:t>
            </m:r>
          </m:e>
          <m:sub>
            <m:r>
              <m:t>d</m:t>
            </m:r>
          </m:sub>
        </m:sSub>
      </m:oMath>
      <w:r>
        <w:t xml:space="preserve"> </w:t>
      </w:r>
      <w:r>
        <w:t xml:space="preserve">projects onto the inactive span in this metric. If there are no inactive orbitals,</w:t>
      </w:r>
      <w:r>
        <w:t xml:space="preserve"> </w:t>
      </w:r>
      <m:oMath>
        <m:sSub>
          <m:e>
            <m:r>
              <m:rPr>
                <m:sty m:val="bi"/>
              </m:rPr>
              <m:t>P</m:t>
            </m:r>
          </m:e>
          <m:sub>
            <m:r>
              <m:t>d</m:t>
            </m:r>
          </m:sub>
        </m:sSub>
        <m:r>
          <m:rPr>
            <m:sty m:val="p"/>
          </m:rPr>
          <m:t>=</m:t>
        </m:r>
        <m:r>
          <m:rPr>
            <m:sty m:val="b"/>
          </m:rPr>
          <m:t>0</m:t>
        </m:r>
      </m:oMath>
      <w:r>
        <w:t xml:space="preserve"> </w:t>
      </w:r>
      <w:r>
        <w:t xml:space="preserve">and</w:t>
      </w:r>
      <w:r>
        <w:t xml:space="preserve"> </w:t>
      </w:r>
      <m:oMath>
        <m:acc>
          <m:accPr>
            <m:chr m:val="̃"/>
          </m:accPr>
          <m:e>
            <m:r>
              <m:rPr>
                <m:sty m:val="bi"/>
              </m:rPr>
              <m:t>D</m:t>
            </m:r>
          </m:e>
        </m:acc>
      </m:oMath>
      <w:r>
        <w:t xml:space="preserve"> </w:t>
      </w:r>
      <w:r>
        <w:t xml:space="preserve">has no columns. Let</w:t>
      </w:r>
      <w:r>
        <w:t xml:space="preserve"> </w:t>
      </w:r>
      <m:oMath>
        <m:r>
          <m:rPr>
            <m:sty m:val="bi"/>
          </m:rPr>
          <m:t>A</m:t>
        </m:r>
      </m:oMath>
      <w:r>
        <w:t xml:space="preserve"> </w:t>
      </w:r>
      <w:r>
        <w:t xml:space="preserve">contain the AO coefficients of the current active orbitals and define</w:t>
      </w:r>
    </w:p>
    <w:p>
      <w:pPr>
        <w:pStyle w:val="BodyText"/>
      </w:pPr>
      <m:oMathPara>
        <m:oMathParaPr>
          <m:jc m:val="center"/>
        </m:oMathParaPr>
        <m:oMath>
          <m:sSub>
            <m:e>
              <m:r>
                <m:rPr>
                  <m:sty m:val="bi"/>
                </m:rPr>
                <m:t>A</m:t>
              </m:r>
            </m:e>
            <m:sub>
              <m:r>
                <m:rPr>
                  <m:sty m:val="p"/>
                </m:rPr>
                <m:t>⟂</m:t>
              </m:r>
            </m:sub>
          </m:sSub>
          <m:r>
            <m:rPr>
              <m:sty m:val="p"/>
            </m:rPr>
            <m:t>=</m:t>
          </m:r>
          <m:r>
            <m:rPr>
              <m:sty m:val="p"/>
            </m:rPr>
            <m:t>(</m:t>
          </m:r>
          <m:r>
            <m:rPr>
              <m:sty m:val="bi"/>
            </m:rPr>
            <m:t>I</m:t>
          </m:r>
          <m:r>
            <m:rPr>
              <m:sty m:val="p"/>
            </m:rPr>
            <m:t>−</m:t>
          </m:r>
          <m:sSub>
            <m:e>
              <m:r>
                <m:rPr>
                  <m:sty m:val="bi"/>
                </m:rPr>
                <m:t>P</m:t>
              </m:r>
            </m:e>
            <m:sub>
              <m:r>
                <m:t>d</m:t>
              </m:r>
            </m:sub>
          </m:sSub>
          <m:r>
            <m:rPr>
              <m:sty m:val="p"/>
            </m:rPr>
            <m:t>)</m:t>
          </m:r>
          <m:r>
            <m:rPr>
              <m:sty m:val="bi"/>
            </m:rPr>
            <m:t>A</m:t>
          </m:r>
          <m:r>
            <m:rPr>
              <m:sty m:val="p"/>
            </m:rPr>
            <m:t>,</m:t>
          </m:r>
          <m:r>
            <m:t>  </m:t>
          </m:r>
          <m:sSub>
            <m:e>
              <m:acc>
                <m:accPr>
                  <m:chr m:val="̃"/>
                </m:accPr>
                <m:e>
                  <m:r>
                    <m:rPr>
                      <m:sty m:val="bi"/>
                    </m:rPr>
                    <m:t>a</m:t>
                  </m:r>
                </m:e>
              </m:acc>
            </m:e>
            <m:sub>
              <m:r>
                <m:t>i</m:t>
              </m:r>
            </m:sub>
          </m:sSub>
          <m:r>
            <m:rPr>
              <m:sty m:val="p"/>
            </m:rPr>
            <m:t>=</m:t>
          </m:r>
          <m:f>
            <m:fPr>
              <m:type m:val="bar"/>
            </m:fPr>
            <m:num>
              <m:r>
                <m:rPr>
                  <m:sty m:val="p"/>
                </m:rPr>
                <m:t>(</m:t>
              </m:r>
              <m:sSub>
                <m:e>
                  <m:r>
                    <m:rPr>
                      <m:sty m:val="bi"/>
                    </m:rPr>
                    <m:t>A</m:t>
                  </m:r>
                </m:e>
                <m:sub>
                  <m:r>
                    <m:rPr>
                      <m:sty m:val="p"/>
                    </m:rPr>
                    <m:t>⟂</m:t>
                  </m:r>
                </m:sub>
              </m:sSub>
              <m:sSub>
                <m:e>
                  <m:r>
                    <m:rPr>
                      <m:sty m:val="p"/>
                    </m:rPr>
                    <m:t>)</m:t>
                  </m:r>
                </m:e>
                <m:sub>
                  <m:r>
                    <m:t>i</m:t>
                  </m:r>
                </m:sub>
              </m:sSub>
            </m:num>
            <m:den>
              <m:rad>
                <m:radPr>
                  <m:degHide m:val="on"/>
                </m:radPr>
                <m:deg/>
                <m:e>
                  <m:r>
                    <m:rPr>
                      <m:sty m:val="p"/>
                    </m:rPr>
                    <m:t>(</m:t>
                  </m:r>
                  <m:sSub>
                    <m:e>
                      <m:r>
                        <m:rPr>
                          <m:sty m:val="bi"/>
                        </m:rPr>
                        <m:t>A</m:t>
                      </m:r>
                    </m:e>
                    <m:sub>
                      <m:r>
                        <m:rPr>
                          <m:sty m:val="p"/>
                        </m:rPr>
                        <m:t>⟂</m:t>
                      </m:r>
                    </m:sub>
                  </m:sSub>
                  <m:sSubSup>
                    <m:e>
                      <m:r>
                        <m:rPr>
                          <m:sty m:val="p"/>
                        </m:rPr>
                        <m:t>)</m:t>
                      </m:r>
                    </m:e>
                    <m:sub>
                      <m:r>
                        <m:t>i</m:t>
                      </m:r>
                    </m:sub>
                    <m:sup>
                      <m:r>
                        <m:t>T</m:t>
                      </m:r>
                    </m:sup>
                  </m:sSubSup>
                  <m:r>
                    <m:rPr>
                      <m:sty m:val="bi"/>
                    </m:rPr>
                    <m:t>S</m:t>
                  </m:r>
                  <m:r>
                    <m:rPr>
                      <m:sty m:val="p"/>
                    </m:rPr>
                    <m:t>(</m:t>
                  </m:r>
                  <m:sSub>
                    <m:e>
                      <m:r>
                        <m:rPr>
                          <m:sty m:val="bi"/>
                        </m:rPr>
                        <m:t>A</m:t>
                      </m:r>
                    </m:e>
                    <m:sub>
                      <m:r>
                        <m:rPr>
                          <m:sty m:val="p"/>
                        </m:rPr>
                        <m:t>⟂</m:t>
                      </m:r>
                    </m:sub>
                  </m:sSub>
                  <m:sSub>
                    <m:e>
                      <m:r>
                        <m:rPr>
                          <m:sty m:val="p"/>
                        </m:rPr>
                        <m:t>)</m:t>
                      </m:r>
                    </m:e>
                    <m:sub>
                      <m:r>
                        <m:t>i</m:t>
                      </m:r>
                    </m:sub>
                  </m:sSub>
                </m:e>
              </m:rad>
            </m:den>
          </m:f>
          <m:r>
            <m:rPr>
              <m:sty m:val="p"/>
            </m:rPr>
            <m:t>,</m:t>
          </m:r>
          <m:r>
            <m:t>  </m:t>
          </m:r>
          <m:acc>
            <m:accPr>
              <m:chr m:val="̃"/>
            </m:accPr>
            <m:e>
              <m:r>
                <m:rPr>
                  <m:sty m:val="bi"/>
                </m:rPr>
                <m:t>A</m:t>
              </m:r>
            </m:e>
          </m:acc>
          <m:r>
            <m:rPr>
              <m:sty m:val="p"/>
            </m:rPr>
            <m:t>=</m:t>
          </m:r>
          <m:sSub>
            <m:e>
              <m:r>
                <m:rPr>
                  <m:sty m:val="bi"/>
                </m:rPr>
                <m:t>A</m:t>
              </m:r>
            </m:e>
            <m:sub>
              <m:r>
                <m:rPr>
                  <m:sty m:val="p"/>
                </m:rPr>
                <m:t>⟂</m:t>
              </m:r>
            </m:sub>
          </m:sSub>
          <m:r>
            <m:rPr>
              <m:sty m:val="p"/>
            </m:rPr>
            <m:t>(</m:t>
          </m:r>
          <m:sSubSup>
            <m:e>
              <m:r>
                <m:rPr>
                  <m:sty m:val="bi"/>
                </m:rPr>
                <m:t>A</m:t>
              </m:r>
            </m:e>
            <m:sub>
              <m:r>
                <m:rPr>
                  <m:sty m:val="p"/>
                </m:rPr>
                <m:t>⟂</m:t>
              </m:r>
            </m:sub>
            <m:sup>
              <m:r>
                <m:t>T</m:t>
              </m:r>
            </m:sup>
          </m:sSubSup>
          <m:r>
            <m:rPr>
              <m:sty m:val="bi"/>
            </m:rPr>
            <m:t>S</m:t>
          </m:r>
          <m:sSub>
            <m:e>
              <m:r>
                <m:rPr>
                  <m:sty m:val="bi"/>
                </m:rPr>
                <m:t>A</m:t>
              </m:r>
            </m:e>
            <m:sub>
              <m:r>
                <m:rPr>
                  <m:sty m:val="p"/>
                </m:rPr>
                <m:t>⟂</m:t>
              </m:r>
            </m:sub>
          </m:sSub>
          <m:sSup>
            <m:e>
              <m:r>
                <m:rPr>
                  <m:sty m:val="p"/>
                </m:rPr>
                <m:t>)</m:t>
              </m:r>
            </m:e>
            <m:sup>
              <m:r>
                <m:rPr>
                  <m:sty m:val="p"/>
                </m:rPr>
                <m:t>−</m:t>
              </m:r>
              <m:r>
                <m:t>1</m:t>
              </m:r>
              <m:r>
                <m:rPr>
                  <m:sty m:val="p"/>
                </m:rPr>
                <m:t>/</m:t>
              </m:r>
              <m:r>
                <m:t>2</m:t>
              </m:r>
            </m:sup>
          </m:sSup>
          <m:r>
            <m:rPr>
              <m:sty m:val="p"/>
            </m:rPr>
            <m:t>,</m:t>
          </m:r>
          <m:r>
            <m:t>  </m:t>
          </m:r>
          <m:r>
            <m:rPr>
              <m:nor/>
              <m:sty m:val="p"/>
            </m:rPr>
            <m:t>(7)</m:t>
          </m:r>
        </m:oMath>
      </m:oMathPara>
    </w:p>
    <w:p>
      <w:pPr>
        <w:pStyle w:val="FirstParagraph"/>
      </w:pPr>
      <w:r>
        <w:t xml:space="preserve">where</w:t>
      </w:r>
      <w:r>
        <w:t xml:space="preserve"> </w:t>
      </w:r>
      <m:oMath>
        <m:r>
          <m:rPr>
            <m:sty m:val="p"/>
          </m:rPr>
          <m:t>(</m:t>
        </m:r>
        <m:sSub>
          <m:e>
            <m:r>
              <m:rPr>
                <m:sty m:val="bi"/>
              </m:rPr>
              <m:t>A</m:t>
            </m:r>
          </m:e>
          <m:sub>
            <m:r>
              <m:rPr>
                <m:sty m:val="p"/>
              </m:rPr>
              <m:t>⟂</m:t>
            </m:r>
          </m:sub>
        </m:sSub>
        <m:sSub>
          <m:e>
            <m:r>
              <m:rPr>
                <m:sty m:val="p"/>
              </m:rPr>
              <m:t>)</m:t>
            </m:r>
          </m:e>
          <m:sub>
            <m:r>
              <m:t>i</m:t>
            </m:r>
          </m:sub>
        </m:sSub>
      </m:oMath>
      <w:r>
        <w:t xml:space="preserve"> </w:t>
      </w:r>
      <w:r>
        <w:t xml:space="preserve">is the column corresponding to active orbital</w:t>
      </w:r>
      <w:r>
        <w:t xml:space="preserve"> </w:t>
      </w:r>
      <m:oMath>
        <m:r>
          <m:t>i</m:t>
        </m:r>
      </m:oMath>
      <w:r>
        <w:t xml:space="preserve">,</w:t>
      </w:r>
      <w:r>
        <w:t xml:space="preserve"> </w:t>
      </w:r>
      <m:oMath>
        <m:sSub>
          <m:e>
            <m:acc>
              <m:accPr>
                <m:chr m:val="̃"/>
              </m:accPr>
              <m:e>
                <m:r>
                  <m:rPr>
                    <m:sty m:val="bi"/>
                  </m:rPr>
                  <m:t>a</m:t>
                </m:r>
              </m:e>
            </m:acc>
          </m:e>
          <m:sub>
            <m:r>
              <m:t>i</m:t>
            </m:r>
          </m:sub>
        </m:sSub>
      </m:oMath>
      <w:r>
        <w:t xml:space="preserve"> </w:t>
      </w:r>
      <w:r>
        <w:t xml:space="preserve">is its normalized component outside the inactive span, and</w:t>
      </w:r>
      <w:r>
        <w:t xml:space="preserve"> </w:t>
      </w:r>
      <m:oMath>
        <m:r>
          <m:rPr>
            <m:sty m:val="bi"/>
          </m:rPr>
          <m:t>I</m:t>
        </m:r>
      </m:oMath>
      <w:r>
        <w:t xml:space="preserve"> </w:t>
      </w:r>
      <w:r>
        <w:t xml:space="preserve">is the identity matrix. The full basis</w:t>
      </w:r>
      <w:r>
        <w:t xml:space="preserve"> </w:t>
      </w:r>
      <m:oMath>
        <m:acc>
          <m:accPr>
            <m:chr m:val="̃"/>
          </m:accPr>
          <m:e>
            <m:r>
              <m:rPr>
                <m:sty m:val="bi"/>
              </m:rPr>
              <m:t>A</m:t>
            </m:r>
          </m:e>
        </m:acc>
      </m:oMath>
      <w:r>
        <w:t xml:space="preserve"> </w:t>
      </w:r>
      <w:r>
        <w:t xml:space="preserve">is needed only when the complete OEO active-space redundancy is used. These orthonormal bases condition the construction of redundant directions; they do not impose mutual orthogonality on the optimized VB orbitals.</w:t>
      </w:r>
    </w:p>
    <w:p>
      <w:pPr>
        <w:pStyle w:val="BodyText"/>
      </w:pPr>
      <w:r>
        <w:t xml:space="preserve">The candidate redundant directions for orbital</w:t>
      </w:r>
      <w:r>
        <w:t xml:space="preserve"> </w:t>
      </w:r>
      <m:oMath>
        <m:r>
          <m:t>i</m:t>
        </m:r>
      </m:oMath>
      <w:r>
        <w:t xml:space="preserve"> </w:t>
      </w:r>
      <w:r>
        <w:t xml:space="preserve">are the columns of</w:t>
      </w:r>
    </w:p>
    <w:p>
      <w:pPr>
        <w:pStyle w:val="BodyText"/>
      </w:pPr>
      <m:oMathPara>
        <m:oMathParaPr>
          <m:jc m:val="center"/>
        </m:oMathParaPr>
        <m:oMath>
          <m:sSub>
            <m:e>
              <m:r>
                <m:rPr>
                  <m:sty m:val="bi"/>
                </m:rPr>
                <m:t>G</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acc>
                      <m:accPr>
                        <m:chr m:val="̃"/>
                      </m:accPr>
                      <m:e>
                        <m:r>
                          <m:rPr>
                            <m:sty m:val="bi"/>
                          </m:rPr>
                          <m:t>D</m:t>
                        </m:r>
                      </m:e>
                    </m:acc>
                    <m:r>
                      <m:rPr>
                        <m:sty m:val="p"/>
                      </m:rPr>
                      <m:t>,</m:t>
                    </m:r>
                  </m:e>
                  <m:e>
                    <m:r>
                      <m:t>i</m:t>
                    </m:r>
                    <m:r>
                      <m:rPr>
                        <m:nor/>
                        <m:sty m:val="p"/>
                      </m:rPr>
                      <m:t> inactive</m:t>
                    </m:r>
                    <m:r>
                      <m:rPr>
                        <m:sty m:val="p"/>
                      </m:rPr>
                      <m:t>,</m:t>
                    </m:r>
                  </m:e>
                </m:mr>
                <m:mr>
                  <m:e>
                    <m:r>
                      <m:rPr>
                        <m:sty m:val="p"/>
                      </m:rPr>
                      <m:t>(</m:t>
                    </m:r>
                    <m:acc>
                      <m:accPr>
                        <m:chr m:val="̃"/>
                      </m:accPr>
                      <m:e>
                        <m:r>
                          <m:rPr>
                            <m:sty m:val="bi"/>
                          </m:rPr>
                          <m:t>D</m:t>
                        </m:r>
                      </m:e>
                    </m:acc>
                    <m:r>
                      <m:rPr>
                        <m:sty m:val="p"/>
                      </m:rPr>
                      <m:t>,</m:t>
                    </m:r>
                    <m:sSub>
                      <m:e>
                        <m:acc>
                          <m:accPr>
                            <m:chr m:val="̃"/>
                          </m:accPr>
                          <m:e>
                            <m:r>
                              <m:rPr>
                                <m:sty m:val="bi"/>
                              </m:rPr>
                              <m:t>a</m:t>
                            </m:r>
                          </m:e>
                        </m:acc>
                      </m:e>
                      <m:sub>
                        <m:r>
                          <m:t>i</m:t>
                        </m:r>
                      </m:sub>
                    </m:sSub>
                    <m:r>
                      <m:rPr>
                        <m:sty m:val="p"/>
                      </m:rPr>
                      <m:t>)</m:t>
                    </m:r>
                    <m:r>
                      <m:rPr>
                        <m:sty m:val="p"/>
                      </m:rPr>
                      <m:t>,</m:t>
                    </m:r>
                  </m:e>
                  <m:e>
                    <m:r>
                      <m:t>i</m:t>
                    </m:r>
                    <m:r>
                      <m:rPr>
                        <m:nor/>
                        <m:sty m:val="p"/>
                      </m:rPr>
                      <m:t> active, without the complete OEO gauge</m:t>
                    </m:r>
                    <m:r>
                      <m:rPr>
                        <m:sty m:val="p"/>
                      </m:rPr>
                      <m:t>,</m:t>
                    </m:r>
                  </m:e>
                </m:mr>
                <m:mr>
                  <m:e>
                    <m:r>
                      <m:rPr>
                        <m:sty m:val="p"/>
                      </m:rPr>
                      <m:t>(</m:t>
                    </m:r>
                    <m:acc>
                      <m:accPr>
                        <m:chr m:val="̃"/>
                      </m:accPr>
                      <m:e>
                        <m:r>
                          <m:rPr>
                            <m:sty m:val="bi"/>
                          </m:rPr>
                          <m:t>D</m:t>
                        </m:r>
                      </m:e>
                    </m:acc>
                    <m:r>
                      <m:rPr>
                        <m:sty m:val="p"/>
                      </m:rPr>
                      <m:t>,</m:t>
                    </m:r>
                    <m:acc>
                      <m:accPr>
                        <m:chr m:val="̃"/>
                      </m:accPr>
                      <m:e>
                        <m:r>
                          <m:rPr>
                            <m:sty m:val="bi"/>
                          </m:rPr>
                          <m:t>A</m:t>
                        </m:r>
                      </m:e>
                    </m:acc>
                    <m:r>
                      <m:rPr>
                        <m:sty m:val="p"/>
                      </m:rPr>
                      <m:t>)</m:t>
                    </m:r>
                    <m:r>
                      <m:rPr>
                        <m:sty m:val="p"/>
                      </m:rPr>
                      <m:t>,</m:t>
                    </m:r>
                  </m:e>
                  <m:e>
                    <m:r>
                      <m:t>i</m:t>
                    </m:r>
                    <m:r>
                      <m:rPr>
                        <m:nor/>
                        <m:sty m:val="p"/>
                      </m:rPr>
                      <m:t> active, with the complete OEO gauge</m:t>
                    </m:r>
                    <m:r>
                      <m:rPr>
                        <m:sty m:val="p"/>
                      </m:rPr>
                      <m:t>.</m:t>
                    </m:r>
                  </m:e>
                </m:mr>
              </m:m>
            </m:e>
          </m:d>
          <m:r>
            <m:t>  </m:t>
          </m:r>
          <m:r>
            <m:rPr>
              <m:nor/>
              <m:sty m:val="p"/>
            </m:rPr>
            <m:t>(8)</m:t>
          </m:r>
        </m:oMath>
      </m:oMathPara>
    </w:p>
    <w:p>
      <w:pPr>
        <w:pStyle w:val="FirstParagraph"/>
      </w:pPr>
      <w:r>
        <w:t xml:space="preserve">For an inactive orbital, its scaling direction lies in the inactive span. For an active orbital, the inactive span together with its own projected direction contains its scaling direction. The complete OEO case additionally includes mixing with the other active orbitals.</w:t>
      </w:r>
    </w:p>
    <w:p>
      <w:pPr>
        <w:pStyle w:val="BodyText"/>
      </w:pPr>
      <w:r>
        <w:t xml:space="preserve">Not every direction in</w:t>
      </w:r>
      <w:r>
        <w:t xml:space="preserve"> </w:t>
      </w:r>
      <m:oMath>
        <m:r>
          <m:rPr>
            <m:sty m:val="p"/>
          </m:rPr>
          <m:t>range</m:t>
        </m:r>
        <m:r>
          <m:rPr>
            <m:sty m:val="p"/>
          </m:rPr>
          <m:t>(</m:t>
        </m:r>
        <m:sSub>
          <m:e>
            <m:r>
              <m:rPr>
                <m:sty m:val="bi"/>
              </m:rPr>
              <m:t>G</m:t>
            </m:r>
          </m:e>
          <m:sub>
            <m:r>
              <m:t>i</m:t>
            </m:r>
          </m:sub>
        </m:sSub>
        <m:r>
          <m:rPr>
            <m:sty m:val="p"/>
          </m:rPr>
          <m:t>)</m:t>
        </m:r>
      </m:oMath>
      <w:r>
        <w:t xml:space="preserve"> </w:t>
      </w:r>
      <w:r>
        <w:t xml:space="preserve">respects strict localization. Let</w:t>
      </w:r>
      <w:r>
        <w:t xml:space="preserve"> </w:t>
      </w:r>
      <m:oMath>
        <m:sSub>
          <m:e>
            <m:r>
              <m:rPr>
                <m:sty m:val="bi"/>
              </m:rPr>
              <m:t>F</m:t>
            </m:r>
          </m:e>
          <m:sub>
            <m:r>
              <m:t>i</m:t>
            </m:r>
          </m:sub>
        </m:sSub>
      </m:oMath>
      <w:r>
        <w:t xml:space="preserve"> </w:t>
      </w:r>
      <w:r>
        <w:t xml:space="preserve">extract the AO components outside</w:t>
      </w:r>
      <w:r>
        <w:t xml:space="preserve"> </w:t>
      </w:r>
      <m:oMath>
        <m:sSub>
          <m:e>
            <m:r>
              <m:rPr>
                <m:scr m:val="script"/>
                <m:sty m:val="p"/>
              </m:rPr>
              <m:t>A</m:t>
            </m:r>
          </m:e>
          <m:sub>
            <m:r>
              <m:t>i</m:t>
            </m:r>
          </m:sub>
        </m:sSub>
      </m:oMath>
      <w:r>
        <w:t xml:space="preserve">. A redundant variation</w:t>
      </w:r>
      <w:r>
        <w:t xml:space="preserve"> </w:t>
      </w:r>
      <m:oMath>
        <m:sSub>
          <m:e>
            <m:r>
              <m:rPr>
                <m:sty m:val="bi"/>
              </m:rPr>
              <m:t>G</m:t>
            </m:r>
          </m:e>
          <m:sub>
            <m:r>
              <m:t>i</m:t>
            </m:r>
          </m:sub>
        </m:sSub>
        <m:r>
          <m:rPr>
            <m:sty m:val="bi"/>
          </m:rPr>
          <m:t>t</m:t>
        </m:r>
      </m:oMath>
      <w:r>
        <w:t xml:space="preserve"> </w:t>
      </w:r>
      <w:r>
        <w:t xml:space="preserve">is allowed only if</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(9)</m:t>
          </m:r>
        </m:oMath>
      </m:oMathPara>
    </w:p>
    <w:p>
      <w:pPr>
        <w:pStyle w:val="FirstParagraph"/>
      </w:pPr>
      <w:r>
        <w:t xml:space="preserve">Geometrically, the removable directions are the intersection of the redundant space and the allowed orbital-variation space. A redundant vector cannot simply be truncated to the localization region: its truncated part need not remain redundant. Equation (9) instead identifies combinations whose components outside that region cancel.</w:t>
      </w:r>
    </w:p>
    <w:p>
      <w:pPr>
        <w:pStyle w:val="BodyText"/>
      </w:pPr>
      <w:r>
        <w:t xml:space="preserve">Let</w:t>
      </w:r>
      <w:r>
        <w:t xml:space="preserve"> </w:t>
      </w:r>
      <m:oMath>
        <m:sSub>
          <m:e>
            <m:r>
              <m:rPr>
                <m:sty m:val="bi"/>
              </m:rPr>
              <m:t>N</m:t>
            </m:r>
          </m:e>
          <m:sub>
            <m:r>
              <m:t>i</m:t>
            </m:r>
          </m:sub>
        </m:sSub>
      </m:oMath>
      <w:r>
        <w:t xml:space="preserve"> </w:t>
      </w:r>
      <w:r>
        <w:t xml:space="preserve">have orthonormal columns spanning the null space of</w:t>
      </w:r>
      <w:r>
        <w:t xml:space="preserve"> </w:t>
      </w:r>
      <m:oMath>
        <m:sSub>
          <m:e>
            <m:r>
              <m:rPr>
                <m:sty m:val="bi"/>
              </m:rPr>
              <m:t>F</m:t>
            </m:r>
          </m:e>
          <m:sub>
            <m:r>
              <m:t>i</m:t>
            </m:r>
          </m:sub>
        </m:sSub>
        <m:sSub>
          <m:e>
            <m:r>
              <m:rPr>
                <m:sty m:val="bi"/>
              </m:rPr>
              <m:t>G</m:t>
            </m:r>
          </m:e>
          <m:sub>
            <m:r>
              <m:t>i</m:t>
            </m:r>
          </m:sub>
        </m:sSub>
      </m:oMath>
      <w:r>
        <w:t xml:space="preserve">. The admissible redundant directions, expressed in the allowed coefficients, are</w:t>
      </w:r>
    </w:p>
    <w:p>
      <w:pPr>
        <w:pStyle w:val="BodyText"/>
      </w:pPr>
      <m:oMathPara>
        <m:oMathParaPr>
          <m:jc m:val="center"/>
        </m:oMathParaPr>
        <m:oMath>
          <m:r>
            <m:rPr>
              <m:sty m:val="p"/>
            </m:rPr>
            <m:t>range</m:t>
          </m:r>
          <m:r>
            <m:rPr>
              <m:sty m:val="p"/>
            </m:rPr>
            <m:t>(</m:t>
          </m:r>
          <m:sSub>
            <m:e>
              <m:r>
                <m:rPr>
                  <m:sty m:val="bi"/>
                </m:rPr>
                <m:t>N</m:t>
              </m:r>
            </m:e>
            <m:sub>
              <m:r>
                <m:t>i</m:t>
              </m:r>
            </m:sub>
          </m:sSub>
          <m:r>
            <m:rPr>
              <m:sty m:val="p"/>
            </m:rPr>
            <m:t>)</m:t>
          </m:r>
          <m:r>
            <m:rPr>
              <m:sty m:val="p"/>
            </m:rPr>
            <m:t>=</m:t>
          </m:r>
          <m:r>
            <m:rPr>
              <m:sty m:val="p"/>
            </m:rPr>
            <m:t>ker</m:t>
          </m:r>
          <m:r>
            <m:rPr>
              <m:sty m:val="p"/>
            </m:rPr>
            <m:t>(</m:t>
          </m:r>
          <m:sSub>
            <m:e>
              <m:r>
                <m:rPr>
                  <m:sty m:val="bi"/>
                </m:rPr>
                <m:t>F</m:t>
              </m:r>
            </m:e>
            <m:sub>
              <m:r>
                <m:t>i</m:t>
              </m:r>
            </m:sub>
          </m:sSub>
          <m:sSub>
            <m:e>
              <m:r>
                <m:rPr>
                  <m:sty m:val="bi"/>
                </m:rPr>
                <m:t>G</m:t>
              </m:r>
            </m:e>
            <m:sub>
              <m:r>
                <m:t>i</m:t>
              </m:r>
            </m:sub>
          </m:sSub>
          <m:r>
            <m:rPr>
              <m:sty m:val="p"/>
            </m:rPr>
            <m:t>)</m:t>
          </m:r>
          <m:r>
            <m:rPr>
              <m:sty m:val="p"/>
            </m:rPr>
            <m:t>,</m:t>
          </m:r>
          <m:r>
            <m:t>  </m:t>
          </m:r>
          <m:sSub>
            <m:e>
              <m:r>
                <m:rPr>
                  <m:sty m:val="bi"/>
                </m:rPr>
                <m:t>K</m:t>
              </m:r>
            </m:e>
            <m:sub>
              <m:r>
                <m:t>i</m:t>
              </m:r>
            </m:sub>
          </m:sSub>
          <m:r>
            <m:rPr>
              <m:sty m:val="p"/>
            </m:rPr>
            <m:t>=</m:t>
          </m:r>
          <m:r>
            <m:rPr>
              <m:sty m:val="p"/>
            </m:rPr>
            <m:t>(</m:t>
          </m:r>
          <m:sSub>
            <m:e>
              <m:r>
                <m:rPr>
                  <m:sty m:val="bi"/>
                </m:rPr>
                <m:t>G</m:t>
              </m:r>
            </m:e>
            <m:sub>
              <m:r>
                <m:t>i</m:t>
              </m:r>
            </m:sub>
          </m:sSub>
          <m:sSub>
            <m:e>
              <m:r>
                <m:rPr>
                  <m:sty m:val="bi"/>
                </m:rPr>
                <m:t>N</m:t>
              </m:r>
            </m:e>
            <m:sub>
              <m:r>
                <m:t>i</m:t>
              </m:r>
            </m:sub>
          </m:sSub>
          <m:sSub>
            <m:e>
              <m:r>
                <m:rPr>
                  <m:sty m:val="p"/>
                </m:rPr>
                <m:t>)</m:t>
              </m:r>
            </m:e>
            <m:sub>
              <m:sSub>
                <m:e>
                  <m:r>
                    <m:rPr>
                      <m:scr m:val="script"/>
                      <m:sty m:val="p"/>
                    </m:rPr>
                    <m:t>A</m:t>
                  </m:r>
                </m:e>
                <m:sub>
                  <m:r>
                    <m:t>i</m:t>
                  </m:r>
                </m:sub>
              </m:sSub>
            </m:sub>
          </m:sSub>
          <m:r>
            <m:rPr>
              <m:sty m:val="p"/>
            </m:rPr>
            <m:t>,</m:t>
          </m:r>
          <m:r>
            <m:t>  </m:t>
          </m:r>
          <m:r>
            <m:rPr>
              <m:nor/>
              <m:sty m:val="p"/>
            </m:rPr>
            <m:t>(10)</m:t>
          </m:r>
        </m:oMath>
      </m:oMathPara>
    </w:p>
    <w:p>
      <w:pPr>
        <w:pStyle w:val="FirstParagraph"/>
      </w:pPr>
      <w:r>
        <w:t xml:space="preserve">where the subscript</w:t>
      </w:r>
      <w:r>
        <w:t xml:space="preserve"> </w:t>
      </w:r>
      <m:oMath>
        <m:sSub>
          <m:e>
            <m:r>
              <m:rPr>
                <m:scr m:val="script"/>
                <m:sty m:val="p"/>
              </m:rPr>
              <m:t>A</m:t>
            </m:r>
          </m:e>
          <m:sub>
            <m:r>
              <m:t>i</m:t>
            </m:r>
          </m:sub>
        </m:sSub>
      </m:oMath>
      <w:r>
        <w:t xml:space="preserve"> </w:t>
      </w:r>
      <w:r>
        <w:t xml:space="preserve">means retaining the rows indexed by the allowed AOs. For an OEO with all coefficients variable, there are no excluded rows and</w:t>
      </w:r>
      <w:r>
        <w:t xml:space="preserve"> </w:t>
      </w:r>
      <m:oMath>
        <m:sSub>
          <m:e>
            <m:r>
              <m:rPr>
                <m:sty m:val="bi"/>
              </m:rPr>
              <m:t>N</m:t>
            </m:r>
          </m:e>
          <m:sub>
            <m:r>
              <m:t>i</m:t>
            </m:r>
          </m:sub>
        </m:sSub>
      </m:oMath>
      <w:r>
        <w:t xml:space="preserve"> </w:t>
      </w:r>
      <w:r>
        <w:t xml:space="preserve">can be chosen as the identity. We then construct an orthonormal complement</w:t>
      </w:r>
      <w:r>
        <w:t xml:space="preserve"> </w:t>
      </w:r>
      <m:oMath>
        <m:sSub>
          <m:e>
            <m:r>
              <m:rPr>
                <m:sty m:val="bi"/>
              </m:rPr>
              <m:t>Q</m:t>
            </m:r>
          </m:e>
          <m:sub>
            <m:r>
              <m:t>i</m:t>
            </m:r>
          </m:sub>
        </m:sSub>
      </m:oMath>
      <w:r>
        <w:t xml:space="preserve"> </w:t>
      </w:r>
      <w:r>
        <w:t xml:space="preserve">satisfying</w:t>
      </w:r>
    </w:p>
    <w:p>
      <w:pPr>
        <w:pStyle w:val="BodyText"/>
      </w:pPr>
      <m:oMathPara>
        <m:oMathParaPr>
          <m:jc m:val="center"/>
        </m:oMathParaPr>
        <m:oMath>
          <m:r>
            <m:rPr>
              <m:sty m:val="p"/>
            </m:rPr>
            <m:t>range</m:t>
          </m:r>
          <m:r>
            <m:rPr>
              <m:sty m:val="p"/>
            </m:rPr>
            <m:t>(</m:t>
          </m:r>
          <m:sSub>
            <m:e>
              <m:r>
                <m:rPr>
                  <m:sty m:val="bi"/>
                </m:rPr>
                <m:t>Q</m:t>
              </m:r>
            </m:e>
            <m:sub>
              <m:r>
                <m:t>i</m:t>
              </m:r>
            </m:sub>
          </m:sSub>
          <m:r>
            <m:rPr>
              <m:sty m:val="p"/>
            </m:rPr>
            <m:t>)</m:t>
          </m:r>
          <m:r>
            <m:rPr>
              <m:sty m:val="p"/>
            </m:rPr>
            <m:t>=</m:t>
          </m:r>
          <m:r>
            <m:rPr>
              <m:sty m:val="p"/>
            </m:rPr>
            <m:t>ker</m:t>
          </m:r>
          <m:r>
            <m:rPr>
              <m:sty m:val="p"/>
            </m:rPr>
            <m:t>(</m:t>
          </m:r>
          <m:sSubSup>
            <m:e>
              <m:r>
                <m:rPr>
                  <m:sty m:val="bi"/>
                </m:rPr>
                <m:t>K</m:t>
              </m:r>
            </m:e>
            <m:sub>
              <m:r>
                <m:t>i</m:t>
              </m:r>
            </m:sub>
            <m:sup>
              <m:r>
                <m:t>T</m:t>
              </m:r>
            </m:sup>
          </m:sSubSup>
          <m:r>
            <m:rPr>
              <m:sty m:val="p"/>
            </m:rPr>
            <m:t>)</m:t>
          </m:r>
          <m:r>
            <m:rPr>
              <m:sty m:val="p"/>
            </m:rPr>
            <m:t>,</m:t>
          </m:r>
          <m:r>
            <m:t>  </m:t>
          </m:r>
          <m:sSubSup>
            <m:e>
              <m:r>
                <m:rPr>
                  <m:sty m:val="bi"/>
                </m:rPr>
                <m:t>Q</m:t>
              </m:r>
            </m:e>
            <m:sub>
              <m:r>
                <m:t>i</m:t>
              </m:r>
            </m:sub>
            <m:sup>
              <m:r>
                <m:t>T</m:t>
              </m:r>
            </m:sup>
          </m:sSubSup>
          <m:sSub>
            <m:e>
              <m:r>
                <m:rPr>
                  <m:sty m:val="bi"/>
                </m:rPr>
                <m:t>Q</m:t>
              </m:r>
            </m:e>
            <m:sub>
              <m:r>
                <m:t>i</m:t>
              </m:r>
            </m:sub>
          </m:sSub>
          <m:r>
            <m:rPr>
              <m:sty m:val="p"/>
            </m:rPr>
            <m:t>=</m:t>
          </m:r>
          <m:r>
            <m:rPr>
              <m:sty m:val="bi"/>
            </m:rPr>
            <m:t>I</m:t>
          </m:r>
          <m:r>
            <m:rPr>
              <m:sty m:val="p"/>
            </m:rPr>
            <m:t>,</m:t>
          </m:r>
          <m:r>
            <m:t>  </m:t>
          </m:r>
          <m:sSub>
            <m:e>
              <m:r>
                <m:t>r</m:t>
              </m:r>
            </m:e>
            <m:sub>
              <m:r>
                <m:t>i</m:t>
              </m:r>
            </m:sub>
          </m:sSub>
          <m:r>
            <m:rPr>
              <m:sty m:val="p"/>
            </m:rPr>
            <m:t>=</m:t>
          </m:r>
          <m:r>
            <m:rPr>
              <m:sty m:val="p"/>
            </m:rPr>
            <m:t>|</m:t>
          </m:r>
          <m:sSub>
            <m:e>
              <m:r>
                <m:rPr>
                  <m:scr m:val="script"/>
                  <m:sty m:val="p"/>
                </m:rPr>
                <m:t>A</m:t>
              </m:r>
            </m:e>
            <m:sub>
              <m:r>
                <m:t>i</m:t>
              </m:r>
            </m:sub>
          </m:sSub>
          <m:r>
            <m:rPr>
              <m:sty m:val="p"/>
            </m:rPr>
            <m:t>|</m:t>
          </m:r>
          <m:r>
            <m:rPr>
              <m:sty m:val="p"/>
            </m:rPr>
            <m:t>−</m:t>
          </m:r>
          <m:r>
            <m:rPr>
              <m:sty m:val="p"/>
            </m:rPr>
            <m:t>rank</m:t>
          </m:r>
          <m:r>
            <m:rPr>
              <m:sty m:val="p"/>
            </m:rPr>
            <m:t>(</m:t>
          </m:r>
          <m:sSub>
            <m:e>
              <m:r>
                <m:rPr>
                  <m:sty m:val="bi"/>
                </m:rPr>
                <m:t>K</m:t>
              </m:r>
            </m:e>
            <m:sub>
              <m:r>
                <m:t>i</m:t>
              </m:r>
            </m:sub>
          </m:sSub>
          <m:r>
            <m:rPr>
              <m:sty m:val="p"/>
            </m:rPr>
            <m:t>)</m:t>
          </m:r>
          <m:r>
            <m:rPr>
              <m:sty m:val="p"/>
            </m:rPr>
            <m:t>,</m:t>
          </m:r>
          <m:r>
            <m:t>  </m:t>
          </m:r>
          <m:r>
            <m:rPr>
              <m:nor/>
              <m:sty m:val="p"/>
            </m:rPr>
            <m:t>(11)</m:t>
          </m:r>
        </m:oMath>
      </m:oMathPara>
    </w:p>
    <w:p>
      <w:pPr>
        <w:pStyle w:val="FirstParagraph"/>
      </w:pPr>
      <w:r>
        <w:t xml:space="preserve">where</w:t>
      </w:r>
      <w:r>
        <w:t xml:space="preserve"> </w:t>
      </w:r>
      <m:oMath>
        <m:sSub>
          <m:e>
            <m:r>
              <m:t>r</m:t>
            </m:r>
          </m:e>
          <m:sub>
            <m:r>
              <m:t>i</m:t>
            </m:r>
          </m:sub>
        </m:sSub>
      </m:oMath>
      <w:r>
        <w:t xml:space="preserve"> </w:t>
      </w:r>
      <w:r>
        <w:t xml:space="preserve">is the number of retained coordinates for orbital</w:t>
      </w:r>
      <w:r>
        <w:t xml:space="preserve"> </w:t>
      </w:r>
      <m:oMath>
        <m:r>
          <m:t>i</m:t>
        </m:r>
      </m:oMath>
      <w:r>
        <w:t xml:space="preserve">. Thus, any allowed coefficient variation admits a decomposition</w:t>
      </w:r>
    </w:p>
    <w:p>
      <w:pPr>
        <w:pStyle w:val="BodyText"/>
      </w:pPr>
      <m:oMathPara>
        <m:oMathParaPr>
          <m:jc m:val="center"/>
        </m:oMathParaPr>
        <m:oMath>
          <m:r>
            <m:t>δ</m:t>
          </m:r>
          <m:sSub>
            <m:e>
              <m:r>
                <m:rPr>
                  <m:sty m:val="bi"/>
                </m:rPr>
                <m:t>x</m:t>
              </m:r>
            </m:e>
            <m:sub>
              <m:r>
                <m:t>i</m:t>
              </m:r>
            </m:sub>
          </m:sSub>
          <m:r>
            <m:rPr>
              <m:sty m:val="p"/>
            </m:rPr>
            <m:t>=</m:t>
          </m:r>
          <m:sSub>
            <m:e>
              <m:r>
                <m:rPr>
                  <m:sty m:val="bi"/>
                </m:rPr>
                <m:t>K</m:t>
              </m:r>
            </m:e>
            <m:sub>
              <m:r>
                <m:t>i</m:t>
              </m:r>
            </m:sub>
          </m:sSub>
          <m:sSub>
            <m:e>
              <m:r>
                <m:rPr>
                  <m:sty m:val="bi"/>
                </m:rPr>
                <m:t>α</m:t>
              </m:r>
            </m:e>
            <m:sub>
              <m:r>
                <m:t>i</m:t>
              </m:r>
            </m:sub>
          </m:sSub>
          <m:r>
            <m:rPr>
              <m:sty m:val="p"/>
            </m:rPr>
            <m:t>+</m:t>
          </m:r>
          <m:sSub>
            <m:e>
              <m:r>
                <m:rPr>
                  <m:sty m:val="bi"/>
                </m:rPr>
                <m:t>Q</m:t>
              </m:r>
            </m:e>
            <m:sub>
              <m:r>
                <m:t>i</m:t>
              </m:r>
            </m:sub>
          </m:sSub>
          <m:sSub>
            <m:e>
              <m:r>
                <m:rPr>
                  <m:sty m:val="bi"/>
                </m:rPr>
                <m:t>z</m:t>
              </m:r>
            </m:e>
            <m:sub>
              <m:r>
                <m:t>i</m:t>
              </m:r>
            </m:sub>
          </m:sSub>
          <m:r>
            <m:rPr>
              <m:sty m:val="p"/>
            </m:rPr>
            <m:t>,</m:t>
          </m:r>
          <m:r>
            <m:t>  </m:t>
          </m:r>
          <m:r>
            <m:rPr>
              <m:nor/>
              <m:sty m:val="p"/>
            </m:rPr>
            <m:t>(12)</m:t>
          </m:r>
        </m:oMath>
      </m:oMathPara>
    </w:p>
    <w:p>
      <w:pPr>
        <w:pStyle w:val="FirstParagraph"/>
      </w:pPr>
      <w:r>
        <w:t xml:space="preserve">where</w:t>
      </w:r>
      <w:r>
        <w:t xml:space="preserve"> </w:t>
      </w:r>
      <m:oMath>
        <m:sSub>
          <m:e>
            <m:r>
              <m:rPr>
                <m:sty m:val="bi"/>
              </m:rPr>
              <m:t>α</m:t>
            </m:r>
          </m:e>
          <m:sub>
            <m:r>
              <m:t>i</m:t>
            </m:r>
          </m:sub>
        </m:sSub>
      </m:oMath>
      <w:r>
        <w:t xml:space="preserve"> </w:t>
      </w:r>
      <w:r>
        <w:t xml:space="preserve">gives the redundant component and</w:t>
      </w:r>
      <w:r>
        <w:t xml:space="preserve"> </w:t>
      </w:r>
      <m:oMath>
        <m:sSub>
          <m:e>
            <m:r>
              <m:rPr>
                <m:sty m:val="bi"/>
              </m:rPr>
              <m:t>z</m:t>
            </m:r>
          </m:e>
          <m:sub>
            <m:r>
              <m:t>i</m:t>
            </m:r>
          </m:sub>
        </m:sSub>
      </m:oMath>
      <w:r>
        <w:t xml:space="preserve"> </w:t>
      </w:r>
      <w:r>
        <w:t xml:space="preserve">parametrizes the complement before metric conditioning. Singular value decompositions determine both null spaces. For a matrix</w:t>
      </w:r>
      <w:r>
        <w:t xml:space="preserve"> </w:t>
      </w:r>
      <m:oMath>
        <m:r>
          <m:rPr>
            <m:sty m:val="bi"/>
          </m:rPr>
          <m:t>L</m:t>
        </m:r>
      </m:oMath>
      <w:r>
        <w:t xml:space="preserve">, singular values exceeding</w:t>
      </w:r>
      <w:r>
        <w:t xml:space="preserve"> </w:t>
      </w:r>
      <m:oMath>
        <m:sSub>
          <m:e>
            <m:r>
              <m:t>ϵ</m:t>
            </m:r>
          </m:e>
          <m:sub>
            <m:r>
              <m:rPr>
                <m:sty m:val="p"/>
              </m:rPr>
              <m:t>m</m:t>
            </m:r>
            <m:r>
              <m:rPr>
                <m:sty m:val="p"/>
              </m:rPr>
              <m:t>a</m:t>
            </m:r>
            <m:r>
              <m:rPr>
                <m:sty m:val="p"/>
              </m:rPr>
              <m:t>c</m:t>
            </m:r>
            <m:r>
              <m:rPr>
                <m:sty m:val="p"/>
              </m:rPr>
              <m:t>h</m:t>
            </m:r>
          </m:sub>
        </m:sSub>
        <m:r>
          <m:rPr>
            <m:sty m:val="p"/>
          </m:rPr>
          <m:t>max</m:t>
        </m:r>
        <m:r>
          <m:rPr>
            <m:sty m:val="p"/>
          </m:rPr>
          <m:t>(</m:t>
        </m:r>
        <m:r>
          <m:rPr>
            <m:sty m:val="p"/>
          </m:rPr>
          <m:t>rows</m:t>
        </m:r>
        <m:r>
          <m:rPr>
            <m:sty m:val="bi"/>
          </m:rPr>
          <m:t>L</m:t>
        </m:r>
        <m:r>
          <m:rPr>
            <m:sty m:val="p"/>
          </m:rPr>
          <m:t>,</m:t>
        </m:r>
        <m:r>
          <m:rPr>
            <m:sty m:val="p"/>
          </m:rPr>
          <m:t>cols</m:t>
        </m:r>
        <m:r>
          <m:rPr>
            <m:sty m:val="bi"/>
          </m:rPr>
          <m:t>L</m:t>
        </m:r>
        <m:r>
          <m:rPr>
            <m:sty m:val="p"/>
          </m:rPr>
          <m:t>)</m:t>
        </m:r>
        <m:sSub>
          <m:e>
            <m:r>
              <m:t>σ</m:t>
            </m:r>
          </m:e>
          <m:sub>
            <m:r>
              <m:rPr>
                <m:sty m:val="p"/>
              </m:rPr>
              <m:t>max</m:t>
            </m:r>
          </m:sub>
        </m:sSub>
        <m:r>
          <m:rPr>
            <m:sty m:val="p"/>
          </m:rPr>
          <m:t>(</m:t>
        </m:r>
        <m:r>
          <m:rPr>
            <m:sty m:val="bi"/>
          </m:rPr>
          <m:t>L</m:t>
        </m:r>
        <m:r>
          <m:rPr>
            <m:sty m:val="p"/>
          </m:rPr>
          <m:t>)</m:t>
        </m:r>
      </m:oMath>
      <w:r>
        <w:t xml:space="preserve"> </w:t>
      </w:r>
      <w:r>
        <w:t xml:space="preserve">are counted toward its numerical rank, where</w:t>
      </w:r>
      <w:r>
        <w:t xml:space="preserve"> </w:t>
      </w:r>
      <m:oMath>
        <m:sSub>
          <m:e>
            <m:r>
              <m:t>ϵ</m:t>
            </m:r>
          </m:e>
          <m:sub>
            <m:r>
              <m:rPr>
                <m:sty m:val="p"/>
              </m:rPr>
              <m:t>m</m:t>
            </m:r>
            <m:r>
              <m:rPr>
                <m:sty m:val="p"/>
              </m:rPr>
              <m:t>a</m:t>
            </m:r>
            <m:r>
              <m:rPr>
                <m:sty m:val="p"/>
              </m:rPr>
              <m:t>c</m:t>
            </m:r>
            <m:r>
              <m:rPr>
                <m:sty m:val="p"/>
              </m:rPr>
              <m:t>h</m:t>
            </m:r>
          </m:sub>
        </m:sSub>
      </m:oMath>
      <w:r>
        <w:t xml:space="preserve"> </w:t>
      </w:r>
      <w:r>
        <w:t xml:space="preserve">is machine precision. The complement is Euclidean in the coefficient coordinates; it is a choice of representatives, not an orthogonality condition on the physical orbitals.</w:t>
      </w:r>
    </w:p>
    <w:p>
      <w:pPr>
        <w:pStyle w:val="BodyText"/>
      </w:pPr>
      <w:r>
        <w:t xml:space="preserve">The complement is subsequently conditioned using the change of the normalized orbital. Let</w:t>
      </w:r>
      <w:r>
        <w:t xml:space="preserve"> </w:t>
      </w:r>
      <m:oMath>
        <m:sSub>
          <m:e>
            <m:r>
              <m:rPr>
                <m:sty m:val="bi"/>
              </m:rPr>
              <m:t>S</m:t>
            </m:r>
          </m:e>
          <m:sub>
            <m:r>
              <m:t>i</m:t>
            </m:r>
          </m:sub>
        </m:sSub>
      </m:oMath>
      <w:r>
        <w:t xml:space="preserve"> </w:t>
      </w:r>
      <w:r>
        <w:t xml:space="preserve">be the AO overlap matrix restricted to</w:t>
      </w:r>
      <w:r>
        <w:t xml:space="preserve"> </w:t>
      </w:r>
      <m:oMath>
        <m:sSub>
          <m:e>
            <m:r>
              <m:rPr>
                <m:scr m:val="script"/>
                <m:sty m:val="p"/>
              </m:rPr>
              <m:t>A</m:t>
            </m:r>
          </m:e>
          <m:sub>
            <m:r>
              <m:t>i</m:t>
            </m:r>
          </m:sub>
        </m:sSub>
      </m:oMath>
      <w:r>
        <w:t xml:space="preserve">. The normalized coefficients and their Jacobian are</w:t>
      </w:r>
    </w:p>
    <w:p>
      <w:pPr>
        <w:pStyle w:val="BodyText"/>
      </w:pPr>
      <m:oMathPara>
        <m:oMathParaPr>
          <m:jc m:val="center"/>
        </m:oMathParaPr>
        <m:oMath>
          <m:eqArr>
            <m:e>
              <m:sSub>
                <m:e>
                  <m:r>
                    <m:t>ρ</m:t>
                  </m:r>
                </m:e>
                <m:sub>
                  <m:r>
                    <m:t>i</m:t>
                  </m:r>
                </m:sub>
              </m:sSub>
              <m:r>
                <m:t>&amp;</m:t>
              </m:r>
              <m:r>
                <m:rPr>
                  <m:sty m:val="p"/>
                </m:rPr>
                <m:t>=</m:t>
              </m:r>
              <m:r>
                <m:rPr>
                  <m:sty m:val="p"/>
                </m:rPr>
                <m:t>(</m:t>
              </m:r>
              <m:sSubSup>
                <m:e>
                  <m:r>
                    <m:rPr>
                      <m:sty m:val="bi"/>
                    </m:rPr>
                    <m:t>x</m:t>
                  </m:r>
                </m:e>
                <m:sub>
                  <m:r>
                    <m:t>i</m:t>
                  </m:r>
                </m:sub>
                <m:sup>
                  <m:r>
                    <m:t>T</m:t>
                  </m:r>
                </m:sup>
              </m:sSubSup>
              <m:sSub>
                <m:e>
                  <m:r>
                    <m:rPr>
                      <m:sty m:val="bi"/>
                    </m:rPr>
                    <m:t>S</m:t>
                  </m:r>
                </m:e>
                <m:sub>
                  <m:r>
                    <m:t>i</m:t>
                  </m:r>
                </m:sub>
              </m:sSub>
              <m:sSub>
                <m:e>
                  <m:r>
                    <m:rPr>
                      <m:sty m:val="bi"/>
                    </m:rPr>
                    <m:t>x</m:t>
                  </m:r>
                </m:e>
                <m:sub>
                  <m:r>
                    <m:t>i</m:t>
                  </m:r>
                </m:sub>
              </m:sSub>
              <m:sSup>
                <m:e>
                  <m:r>
                    <m:rPr>
                      <m:sty m:val="p"/>
                    </m:rPr>
                    <m:t>)</m:t>
                  </m:r>
                </m:e>
                <m:sup>
                  <m:r>
                    <m:t>1</m:t>
                  </m:r>
                  <m:r>
                    <m:rPr>
                      <m:sty m:val="p"/>
                    </m:rPr>
                    <m:t>/</m:t>
                  </m:r>
                  <m:r>
                    <m:t>2</m:t>
                  </m:r>
                </m:sup>
              </m:sSup>
              <m:r>
                <m:rPr>
                  <m:sty m:val="p"/>
                </m:rPr>
                <m:t>,</m:t>
              </m:r>
              <m:r>
                <m:t>&amp;</m:t>
              </m:r>
              <m:sSub>
                <m:e>
                  <m:bar>
                    <m:barPr>
                      <m:pos m:val="top"/>
                    </m:barPr>
                    <m:e>
                      <m:r>
                        <m:rPr>
                          <m:sty m:val="bi"/>
                        </m:rPr>
                        <m:t>x</m:t>
                      </m:r>
                    </m:e>
                  </m:bar>
                </m:e>
                <m:sub>
                  <m:r>
                    <m:t>i</m:t>
                  </m:r>
                </m:sub>
              </m:sSub>
              <m:r>
                <m:t>&amp;</m:t>
              </m:r>
              <m:r>
                <m:rPr>
                  <m:sty m:val="p"/>
                </m:rPr>
                <m:t>=</m:t>
              </m:r>
              <m:sSub>
                <m:e>
                  <m:r>
                    <m:rPr>
                      <m:sty m:val="bi"/>
                    </m:rPr>
                    <m:t>x</m:t>
                  </m:r>
                </m:e>
                <m:sub>
                  <m:r>
                    <m:t>i</m:t>
                  </m:r>
                </m:sub>
              </m:sSub>
              <m:r>
                <m:rPr>
                  <m:sty m:val="p"/>
                </m:rPr>
                <m:t>/</m:t>
              </m:r>
              <m:sSub>
                <m:e>
                  <m:r>
                    <m:t>ρ</m:t>
                  </m:r>
                </m:e>
                <m:sub>
                  <m:r>
                    <m:t>i</m:t>
                  </m:r>
                </m:sub>
              </m:sSub>
              <m:r>
                <m:rPr>
                  <m:sty m:val="p"/>
                </m:rPr>
                <m:t>,</m:t>
              </m:r>
            </m:e>
            <m:e>
              <m:sSub>
                <m:e>
                  <m:r>
                    <m:rPr>
                      <m:sty m:val="bi"/>
                    </m:rPr>
                    <m:t>J</m:t>
                  </m:r>
                </m:e>
                <m:sub>
                  <m:r>
                    <m:t>i</m:t>
                  </m:r>
                </m:sub>
              </m:sSub>
              <m:r>
                <m:t>&amp;</m:t>
              </m:r>
              <m:r>
                <m:rPr>
                  <m:sty m:val="p"/>
                </m:rPr>
                <m:t>=</m:t>
              </m:r>
              <m:f>
                <m:fPr>
                  <m:type m:val="bar"/>
                </m:fPr>
                <m:num>
                  <m:r>
                    <m:rPr>
                      <m:sty m:val="bi"/>
                    </m:rPr>
                    <m:t>I</m:t>
                  </m:r>
                  <m:r>
                    <m:rPr>
                      <m:sty m:val="p"/>
                    </m:rPr>
                    <m:t>−</m:t>
                  </m:r>
                  <m:sSub>
                    <m:e>
                      <m:bar>
                        <m:barPr>
                          <m:pos m:val="top"/>
                        </m:barPr>
                        <m:e>
                          <m:r>
                            <m:rPr>
                              <m:sty m:val="bi"/>
                            </m:rPr>
                            <m:t>x</m:t>
                          </m:r>
                        </m:e>
                      </m:bar>
                    </m:e>
                    <m:sub>
                      <m:r>
                        <m:t>i</m:t>
                      </m:r>
                    </m:sub>
                  </m:sSub>
                  <m:sSubSup>
                    <m:e>
                      <m:bar>
                        <m:barPr>
                          <m:pos m:val="top"/>
                        </m:barPr>
                        <m:e>
                          <m:r>
                            <m:rPr>
                              <m:sty m:val="bi"/>
                            </m:rPr>
                            <m:t>x</m:t>
                          </m:r>
                        </m:e>
                      </m:bar>
                    </m:e>
                    <m:sub>
                      <m:r>
                        <m:t>i</m:t>
                      </m:r>
                    </m:sub>
                    <m:sup>
                      <m:r>
                        <m:t>T</m:t>
                      </m:r>
                    </m:sup>
                  </m:sSubSup>
                  <m:sSub>
                    <m:e>
                      <m:r>
                        <m:rPr>
                          <m:sty m:val="bi"/>
                        </m:rPr>
                        <m:t>S</m:t>
                      </m:r>
                    </m:e>
                    <m:sub>
                      <m:r>
                        <m:t>i</m:t>
                      </m:r>
                    </m:sub>
                  </m:sSub>
                </m:num>
                <m:den>
                  <m:sSub>
                    <m:e>
                      <m:r>
                        <m:t>ρ</m:t>
                      </m:r>
                    </m:e>
                    <m:sub>
                      <m:r>
                        <m:t>i</m:t>
                      </m:r>
                    </m:sub>
                  </m:sSub>
                </m:den>
              </m:f>
              <m:r>
                <m:rPr>
                  <m:sty m:val="p"/>
                </m:rPr>
                <m:t>,</m:t>
              </m:r>
              <m:r>
                <m:t>&amp;</m:t>
              </m:r>
              <m:r>
                <m:t>δ</m:t>
              </m:r>
              <m:sSub>
                <m:e>
                  <m:bar>
                    <m:barPr>
                      <m:pos m:val="top"/>
                    </m:barPr>
                    <m:e>
                      <m:r>
                        <m:rPr>
                          <m:sty m:val="bi"/>
                        </m:rPr>
                        <m:t>x</m:t>
                      </m:r>
                    </m:e>
                  </m:bar>
                </m:e>
                <m:sub>
                  <m:r>
                    <m:t>i</m:t>
                  </m:r>
                </m:sub>
              </m:sSub>
              <m:r>
                <m:t>&amp;</m:t>
              </m:r>
              <m:r>
                <m:rPr>
                  <m:sty m:val="p"/>
                </m:rPr>
                <m:t>=</m:t>
              </m:r>
              <m:sSub>
                <m:e>
                  <m:r>
                    <m:rPr>
                      <m:sty m:val="bi"/>
                    </m:rPr>
                    <m:t>J</m:t>
                  </m:r>
                </m:e>
                <m:sub>
                  <m:r>
                    <m:t>i</m:t>
                  </m:r>
                </m:sub>
              </m:sSub>
              <m:r>
                <m:t>δ</m:t>
              </m:r>
              <m:sSub>
                <m:e>
                  <m:r>
                    <m:rPr>
                      <m:sty m:val="bi"/>
                    </m:rPr>
                    <m:t>x</m:t>
                  </m:r>
                </m:e>
                <m:sub>
                  <m:r>
                    <m:t>i</m:t>
                  </m:r>
                </m:sub>
              </m:sSub>
              <m:r>
                <m:rPr>
                  <m:sty m:val="p"/>
                </m:rPr>
                <m:t>,</m:t>
              </m:r>
            </m:e>
          </m:eqArr>
          <m:r>
            <m:t>  </m:t>
          </m:r>
          <m:r>
            <m:rPr>
              <m:nor/>
              <m:sty m:val="p"/>
            </m:rPr>
            <m:t>(13)</m:t>
          </m:r>
        </m:oMath>
      </m:oMathPara>
    </w:p>
    <w:p>
      <w:pPr>
        <w:pStyle w:val="FirstParagraph"/>
      </w:pPr>
      <w:r>
        <w:t xml:space="preserve">where</w:t>
      </w:r>
      <w:r>
        <w:t xml:space="preserve"> </w:t>
      </w:r>
      <m:oMath>
        <m:sSub>
          <m:e>
            <m:r>
              <m:t>ρ</m:t>
            </m:r>
          </m:e>
          <m:sub>
            <m:r>
              <m:t>i</m:t>
            </m:r>
          </m:sub>
        </m:sSub>
      </m:oMath>
      <w:r>
        <w:t xml:space="preserve"> </w:t>
      </w:r>
      <w:r>
        <w:t xml:space="preserve">is the orbital norm and</w:t>
      </w:r>
      <w:r>
        <w:t xml:space="preserve"> </w:t>
      </w:r>
      <m:oMath>
        <m:sSub>
          <m:e>
            <m:r>
              <m:rPr>
                <m:sty m:val="bi"/>
              </m:rPr>
              <m:t>J</m:t>
            </m:r>
          </m:e>
          <m:sub>
            <m:r>
              <m:t>i</m:t>
            </m:r>
          </m:sub>
        </m:sSub>
      </m:oMath>
      <w:r>
        <w:t xml:space="preserve"> </w:t>
      </w:r>
      <w:r>
        <w:t xml:space="preserve">is the derivative of normalization. In particular,</w:t>
      </w:r>
      <w:r>
        <w:t xml:space="preserve"> </w:t>
      </w:r>
      <m:oMath>
        <m:sSub>
          <m:e>
            <m:r>
              <m:rPr>
                <m:sty m:val="bi"/>
              </m:rPr>
              <m:t>J</m:t>
            </m:r>
          </m:e>
          <m:sub>
            <m:r>
              <m:t>i</m:t>
            </m:r>
          </m:sub>
        </m:sSub>
        <m:sSub>
          <m:e>
            <m:r>
              <m:rPr>
                <m:sty m:val="bi"/>
              </m:rPr>
              <m:t>x</m:t>
            </m:r>
          </m:e>
          <m:sub>
            <m:r>
              <m:t>i</m:t>
            </m:r>
          </m:sub>
        </m:sSub>
        <m:r>
          <m:rPr>
            <m:sty m:val="p"/>
          </m:rPr>
          <m:t>=</m:t>
        </m:r>
        <m:r>
          <m:rPr>
            <m:sty m:val="b"/>
          </m:rPr>
          <m:t>0</m:t>
        </m:r>
      </m:oMath>
      <w:r>
        <w:t xml:space="preserve">, which explicitly removes a radial scaling variation. On the complement, define</w:t>
      </w:r>
    </w:p>
    <w:p>
      <w:pPr>
        <w:pStyle w:val="BodyText"/>
      </w:pPr>
      <m:oMathPara>
        <m:oMathParaPr>
          <m:jc m:val="center"/>
        </m:oMathParaPr>
        <m:oMath>
          <m:sSub>
            <m:e>
              <m:r>
                <m:rPr>
                  <m:sty m:val="bi"/>
                </m:rPr>
                <m:t>B</m:t>
              </m:r>
            </m:e>
            <m:sub>
              <m:r>
                <m:t>i</m:t>
              </m:r>
            </m:sub>
          </m:sSub>
          <m:r>
            <m:rPr>
              <m:sty m:val="p"/>
            </m:rPr>
            <m:t>=</m:t>
          </m:r>
          <m:sSubSup>
            <m:e>
              <m:r>
                <m:rPr>
                  <m:sty m:val="bi"/>
                </m:rPr>
                <m:t>Q</m:t>
              </m:r>
            </m:e>
            <m:sub>
              <m:r>
                <m:t>i</m:t>
              </m:r>
            </m:sub>
            <m:sup>
              <m:r>
                <m:t>T</m:t>
              </m:r>
            </m:sup>
          </m:sSubSup>
          <m:sSubSup>
            <m:e>
              <m:r>
                <m:rPr>
                  <m:sty m:val="bi"/>
                </m:rPr>
                <m:t>J</m:t>
              </m:r>
            </m:e>
            <m:sub>
              <m:r>
                <m:t>i</m:t>
              </m:r>
            </m:sub>
            <m:sup>
              <m:r>
                <m:t>T</m:t>
              </m:r>
            </m:sup>
          </m:sSubSup>
          <m:sSub>
            <m:e>
              <m:r>
                <m:rPr>
                  <m:sty m:val="bi"/>
                </m:rPr>
                <m:t>S</m:t>
              </m:r>
            </m:e>
            <m:sub>
              <m:r>
                <m:t>i</m:t>
              </m:r>
            </m:sub>
          </m:sSub>
          <m:sSub>
            <m:e>
              <m:r>
                <m:rPr>
                  <m:sty m:val="bi"/>
                </m:rPr>
                <m:t>J</m:t>
              </m:r>
            </m:e>
            <m:sub>
              <m:r>
                <m:t>i</m:t>
              </m:r>
            </m:sub>
          </m:sSub>
          <m:sSub>
            <m:e>
              <m:r>
                <m:rPr>
                  <m:sty m:val="bi"/>
                </m:rPr>
                <m:t>Q</m:t>
              </m:r>
            </m:e>
            <m:sub>
              <m:r>
                <m:t>i</m:t>
              </m:r>
            </m:sub>
          </m:sSub>
          <m:r>
            <m:rPr>
              <m:sty m:val="p"/>
            </m:rPr>
            <m:t>,</m:t>
          </m:r>
          <m:r>
            <m:t>  </m:t>
          </m:r>
          <m:sSub>
            <m:e>
              <m:acc>
                <m:accPr>
                  <m:chr m:val="̂"/>
                </m:accPr>
                <m:e>
                  <m:r>
                    <m:rPr>
                      <m:sty m:val="bi"/>
                    </m:rPr>
                    <m:t>U</m:t>
                  </m:r>
                </m:e>
              </m:acc>
            </m:e>
            <m:sub>
              <m:r>
                <m:t>i</m:t>
              </m:r>
            </m:sub>
          </m:sSub>
          <m:r>
            <m:rPr>
              <m:sty m:val="p"/>
            </m:rPr>
            <m:t>=</m:t>
          </m:r>
          <m:sSub>
            <m:e>
              <m:r>
                <m:rPr>
                  <m:sty m:val="bi"/>
                </m:rPr>
                <m:t>Q</m:t>
              </m:r>
            </m:e>
            <m:sub>
              <m:r>
                <m:t>i</m:t>
              </m:r>
            </m:sub>
          </m:sSub>
          <m:sSubSup>
            <m:e>
              <m:r>
                <m:rPr>
                  <m:sty m:val="bi"/>
                </m:rPr>
                <m:t>B</m:t>
              </m:r>
            </m:e>
            <m:sub>
              <m:r>
                <m:t>i</m:t>
              </m:r>
            </m:sub>
            <m:sup>
              <m:r>
                <m:rPr>
                  <m:sty m:val="p"/>
                </m:rPr>
                <m:t>−</m:t>
              </m:r>
              <m:r>
                <m:t>1</m:t>
              </m:r>
              <m:r>
                <m:rPr>
                  <m:sty m:val="p"/>
                </m:rPr>
                <m:t>/</m:t>
              </m:r>
              <m:r>
                <m:t>2</m:t>
              </m:r>
            </m:sup>
          </m:sSubSup>
          <m:r>
            <m:rPr>
              <m:sty m:val="p"/>
            </m:rPr>
            <m:t>.</m:t>
          </m:r>
          <m:r>
            <m:t>  </m:t>
          </m:r>
          <m:r>
            <m:rPr>
              <m:nor/>
              <m:sty m:val="p"/>
            </m:rPr>
            <m:t>(14)</m:t>
          </m:r>
        </m:oMath>
      </m:oMathPara>
    </w:p>
    <w:p>
      <w:pPr>
        <w:pStyle w:val="FirstParagraph"/>
      </w:pPr>
      <w:r>
        <w:t xml:space="preserve">Here</w:t>
      </w:r>
      <w:r>
        <w:t xml:space="preserve"> </w:t>
      </w:r>
      <m:oMath>
        <m:sSub>
          <m:e>
            <m:r>
              <m:rPr>
                <m:sty m:val="bi"/>
              </m:rPr>
              <m:t>B</m:t>
            </m:r>
          </m:e>
          <m:sub>
            <m:r>
              <m:t>i</m:t>
            </m:r>
          </m:sub>
        </m:sSub>
      </m:oMath>
      <w:r>
        <w:t xml:space="preserve"> </w:t>
      </w:r>
      <w:r>
        <w:t xml:space="preserve">measures the AO-metric lengths of normalized orbital variations. Its inverse square root rescales those variations to unit metric. The inactive and active Gram matrices used above, and</w:t>
      </w:r>
      <w:r>
        <w:t xml:space="preserve"> </w:t>
      </w:r>
      <m:oMath>
        <m:sSub>
          <m:e>
            <m:r>
              <m:rPr>
                <m:sty m:val="bi"/>
              </m:rPr>
              <m:t>B</m:t>
            </m:r>
          </m:e>
          <m:sub>
            <m:r>
              <m:t>i</m:t>
            </m:r>
          </m:sub>
        </m:sSub>
      </m:oMath>
      <w:r>
        <w:t xml:space="preserve">, must be numerically positive definite on their retained spaces; rank-deficient cases are rejected.</w:t>
      </w:r>
    </w:p>
    <w:p>
      <w:pPr>
        <w:pStyle w:val="BodyText"/>
      </w:pPr>
      <w:r>
        <w:t xml:space="preserve">For HAO and selected-structure calculations, when orbital scaling is an admissible variation, the final representative is chosen tangent to the normalization sphere:</w:t>
      </w:r>
    </w:p>
    <w:p>
      <w:pPr>
        <w:pStyle w:val="BodyText"/>
      </w:pPr>
      <m:oMathPara>
        <m:oMathParaPr>
          <m:jc m:val="center"/>
        </m:oMathParaPr>
        <m:oMath>
          <m:sSub>
            <m:e>
              <m:r>
                <m:rPr>
                  <m:sty m:val="bi"/>
                </m:rPr>
                <m:t>U</m:t>
              </m:r>
            </m:e>
            <m:sub>
              <m:r>
                <m:t>i</m:t>
              </m:r>
            </m:sub>
          </m:sSub>
          <m:r>
            <m:rPr>
              <m:sty m:val="p"/>
            </m:rPr>
            <m:t>=</m:t>
          </m:r>
          <m:sSub>
            <m:e>
              <m:r>
                <m:t>ρ</m:t>
              </m:r>
            </m:e>
            <m:sub>
              <m:r>
                <m:t>i</m:t>
              </m:r>
            </m:sub>
          </m:sSub>
          <m:sSub>
            <m:e>
              <m:r>
                <m:rPr>
                  <m:sty m:val="bi"/>
                </m:rPr>
                <m:t>J</m:t>
              </m:r>
            </m:e>
            <m:sub>
              <m:r>
                <m:t>i</m:t>
              </m:r>
            </m:sub>
          </m:sSub>
          <m:sSub>
            <m:e>
              <m:acc>
                <m:accPr>
                  <m:chr m:val="̂"/>
                </m:accPr>
                <m:e>
                  <m:r>
                    <m:rPr>
                      <m:sty m:val="bi"/>
                    </m:rPr>
                    <m:t>U</m:t>
                  </m:r>
                </m:e>
              </m:acc>
            </m:e>
            <m:sub>
              <m:r>
                <m:t>i</m:t>
              </m:r>
            </m:sub>
          </m:sSub>
          <m:r>
            <m:rPr>
              <m:sty m:val="p"/>
            </m:rPr>
            <m:t>,</m:t>
          </m:r>
          <m:r>
            <m:t>  </m:t>
          </m:r>
          <m:sSubSup>
            <m:e>
              <m:r>
                <m:rPr>
                  <m:sty m:val="bi"/>
                </m:rPr>
                <m:t>x</m:t>
              </m:r>
            </m:e>
            <m:sub>
              <m:r>
                <m:t>i</m:t>
              </m:r>
            </m:sub>
            <m:sup>
              <m:r>
                <m:t>T</m:t>
              </m:r>
            </m:sup>
          </m:sSubSup>
          <m:sSub>
            <m:e>
              <m:r>
                <m:rPr>
                  <m:sty m:val="bi"/>
                </m:rPr>
                <m:t>S</m:t>
              </m:r>
            </m:e>
            <m:sub>
              <m:r>
                <m:t>i</m:t>
              </m:r>
            </m:sub>
          </m:sSub>
          <m:sSub>
            <m:e>
              <m:r>
                <m:rPr>
                  <m:sty m:val="bi"/>
                </m:rPr>
                <m:t>U</m:t>
              </m:r>
            </m:e>
            <m:sub>
              <m:r>
                <m:t>i</m:t>
              </m:r>
            </m:sub>
          </m:sSub>
          <m:r>
            <m:rPr>
              <m:sty m:val="p"/>
            </m:rPr>
            <m:t>=</m:t>
          </m:r>
          <m:r>
            <m:rPr>
              <m:sty m:val="b"/>
            </m:rPr>
            <m:t>0</m:t>
          </m:r>
          <m:r>
            <m:rPr>
              <m:sty m:val="p"/>
            </m:rPr>
            <m:t>.</m:t>
          </m:r>
          <m:r>
            <m:t>  </m:t>
          </m:r>
          <m:r>
            <m:rPr>
              <m:nor/>
              <m:sty m:val="p"/>
            </m:rPr>
            <m:t>(15)</m:t>
          </m:r>
        </m:oMath>
      </m:oMathPara>
    </w:p>
    <w:p>
      <w:pPr>
        <w:pStyle w:val="FirstParagraph"/>
      </w:pPr>
      <w:r>
        <w:t xml:space="preserve">This changes</w:t>
      </w:r>
      <w:r>
        <w:t xml:space="preserve"> </w:t>
      </w:r>
      <m:oMath>
        <m:sSub>
          <m:e>
            <m:acc>
              <m:accPr>
                <m:chr m:val="̂"/>
              </m:accPr>
              <m:e>
                <m:r>
                  <m:rPr>
                    <m:sty m:val="bi"/>
                  </m:rPr>
                  <m:t>U</m:t>
                </m:r>
              </m:e>
            </m:acc>
          </m:e>
          <m:sub>
            <m:r>
              <m:t>i</m:t>
            </m:r>
          </m:sub>
        </m:sSub>
      </m:oMath>
      <w:r>
        <w:t xml:space="preserve"> </w:t>
      </w:r>
      <w:r>
        <w:t xml:space="preserve">only by a radial, redundant component. For a complete OEO active-space expansion, the implementation instead retains</w:t>
      </w:r>
      <w:r>
        <w:t xml:space="preserve"> </w:t>
      </w:r>
      <m:oMath>
        <m:sSub>
          <m:e>
            <m:r>
              <m:rPr>
                <m:sty m:val="bi"/>
              </m:rPr>
              <m:t>U</m:t>
            </m:r>
          </m:e>
          <m:sub>
            <m:r>
              <m:t>i</m:t>
            </m:r>
          </m:sub>
        </m:sSub>
        <m:r>
          <m:rPr>
            <m:sty m:val="p"/>
          </m:rPr>
          <m:t>=</m:t>
        </m:r>
        <m:sSub>
          <m:e>
            <m:acc>
              <m:accPr>
                <m:chr m:val="̂"/>
              </m:accPr>
              <m:e>
                <m:r>
                  <m:rPr>
                    <m:sty m:val="bi"/>
                  </m:rPr>
                  <m:t>U</m:t>
                </m:r>
              </m:e>
            </m:acc>
          </m:e>
          <m:sub>
            <m:r>
              <m:t>i</m:t>
            </m:r>
          </m:sub>
        </m:sSub>
      </m:oMath>
      <w:r>
        <w:t xml:space="preserve">, preserving the representative of the coupled inactive and active basis redundancies. The same choice is made when fixed coefficients prevent an admissible radial adjustment. In either case,</w:t>
      </w:r>
    </w:p>
    <w:p>
      <w:pPr>
        <w:pStyle w:val="BodyText"/>
      </w:pPr>
      <m:oMathPara>
        <m:oMathParaPr>
          <m:jc m:val="center"/>
        </m:oMathParaPr>
        <m:oMath>
          <m:r>
            <m:rPr>
              <m:sty m:val="p"/>
            </m:rPr>
            <m:t>(</m:t>
          </m:r>
          <m:sSub>
            <m:e>
              <m:r>
                <m:rPr>
                  <m:sty m:val="bi"/>
                </m:rPr>
                <m:t>J</m:t>
              </m:r>
            </m:e>
            <m:sub>
              <m:r>
                <m:t>i</m:t>
              </m:r>
            </m:sub>
          </m:sSub>
          <m:sSub>
            <m:e>
              <m:r>
                <m:rPr>
                  <m:sty m:val="bi"/>
                </m:rPr>
                <m:t>U</m:t>
              </m:r>
            </m:e>
            <m:sub>
              <m:r>
                <m:t>i</m:t>
              </m:r>
            </m:sub>
          </m:sSub>
          <m:sSup>
            <m:e>
              <m:r>
                <m:rPr>
                  <m:sty m:val="p"/>
                </m:rPr>
                <m:t>)</m:t>
              </m:r>
            </m:e>
            <m:sup>
              <m:r>
                <m:t>T</m:t>
              </m:r>
            </m:sup>
          </m:sSup>
          <m:sSub>
            <m:e>
              <m:r>
                <m:rPr>
                  <m:sty m:val="bi"/>
                </m:rPr>
                <m:t>S</m:t>
              </m:r>
            </m:e>
            <m:sub>
              <m:r>
                <m:t>i</m:t>
              </m:r>
            </m:sub>
          </m:sSub>
          <m:r>
            <m:rPr>
              <m:sty m:val="p"/>
            </m:rPr>
            <m:t>(</m:t>
          </m:r>
          <m:sSub>
            <m:e>
              <m:r>
                <m:rPr>
                  <m:sty m:val="bi"/>
                </m:rPr>
                <m:t>J</m:t>
              </m:r>
            </m:e>
            <m:sub>
              <m:r>
                <m:t>i</m:t>
              </m:r>
            </m:sub>
          </m:sSub>
          <m:sSub>
            <m:e>
              <m:r>
                <m:rPr>
                  <m:sty m:val="bi"/>
                </m:rPr>
                <m:t>U</m:t>
              </m:r>
            </m:e>
            <m:sub>
              <m:r>
                <m:t>i</m:t>
              </m:r>
            </m:sub>
          </m:sSub>
          <m:r>
            <m:rPr>
              <m:sty m:val="p"/>
            </m:rPr>
            <m:t>)</m:t>
          </m:r>
          <m:r>
            <m:rPr>
              <m:sty m:val="p"/>
            </m:rPr>
            <m:t>=</m:t>
          </m:r>
          <m:r>
            <m:rPr>
              <m:sty m:val="bi"/>
            </m:rPr>
            <m:t>I</m:t>
          </m:r>
          <m:r>
            <m:rPr>
              <m:sty m:val="p"/>
            </m:rPr>
            <m:t>.</m:t>
          </m:r>
          <m:r>
            <m:t>  </m:t>
          </m:r>
          <m:r>
            <m:rPr>
              <m:nor/>
              <m:sty m:val="p"/>
            </m:rPr>
            <m:t>(16)</m:t>
          </m:r>
        </m:oMath>
      </m:oMathPara>
    </w:p>
    <w:p>
      <w:pPr>
        <w:pStyle w:val="FirstParagraph"/>
      </w:pPr>
      <w:r>
        <w:t xml:space="preserve">This is local normalization-metric conditioning, not a replacement for the full physical trust-region metric introduced below.</w:t>
      </w:r>
    </w:p>
    <w:p>
      <w:pPr>
        <w:pStyle w:val="BodyText"/>
      </w:pPr>
      <w:r>
        <w:t xml:space="preserve">The formulas above assume that all coefficients in each localization region are variable. If some stored coefficients are fixed, the construction of</w:t>
      </w:r>
      <w:r>
        <w:t xml:space="preserve"> </w:t>
      </w:r>
      <m:oMath>
        <m:sSub>
          <m:e>
            <m:r>
              <m:rPr>
                <m:sty m:val="bi"/>
              </m:rPr>
              <m:t>F</m:t>
            </m:r>
          </m:e>
          <m:sub>
            <m:r>
              <m:t>i</m:t>
            </m:r>
          </m:sub>
        </m:sSub>
      </m:oMath>
      <w:r>
        <w:t xml:space="preserve"> </w:t>
      </w:r>
      <w:r>
        <w:t xml:space="preserve">treats their variations as forbidden, while orbital norms and normalization derivatives include their current values. The complement is extended by zero rows on those fixed coefficients before applying</w:t>
      </w:r>
      <w:r>
        <w:t xml:space="preserve"> </w:t>
      </w:r>
      <m:oMath>
        <m:sSub>
          <m:e>
            <m:r>
              <m:rPr>
                <m:sty m:val="bi"/>
              </m:rPr>
              <m:t>J</m:t>
            </m:r>
          </m:e>
          <m:sub>
            <m:r>
              <m:t>i</m:t>
            </m:r>
          </m:sub>
        </m:sSub>
      </m:oMath>
      <w:r>
        <w:t xml:space="preserve">; only its variable rows are retained in the final map. This preserves the same construction without allowing fixed coefficients to move.</w:t>
      </w:r>
    </w:p>
    <w:p>
      <w:pPr>
        <w:pStyle w:val="BodyText"/>
      </w:pPr>
      <w:r>
        <w:t xml:space="preserve">Collecting the orbital maps gives the global nonredundant update,</w:t>
      </w:r>
    </w:p>
    <w:p>
      <w:pPr>
        <w:pStyle w:val="BodyText"/>
      </w:pPr>
      <m:oMathPara>
        <m:oMathParaPr>
          <m:jc m:val="center"/>
        </m:oMathParaPr>
        <m:oMath>
          <m:eqArr>
            <m:e>
              <m:sSub>
                <m:e>
                  <m:r>
                    <m:rPr>
                      <m:sty m:val="bi"/>
                    </m:rPr>
                    <m:t>U</m:t>
                  </m:r>
                </m:e>
                <m:sub>
                  <m:r>
                    <m:t>k</m:t>
                  </m:r>
                </m:sub>
              </m:sSub>
              <m:r>
                <m:t>&amp;</m:t>
              </m:r>
              <m:r>
                <m:rPr>
                  <m:sty m:val="p"/>
                </m:rPr>
                <m:t>=</m:t>
              </m:r>
              <m:r>
                <m:rPr>
                  <m:sty m:val="p"/>
                </m:rPr>
                <m:t>diag</m:t>
              </m:r>
              <m:r>
                <m:rPr>
                  <m:sty m:val="p"/>
                </m:rPr>
                <m:t>(</m:t>
              </m:r>
              <m:sSub>
                <m:e>
                  <m:r>
                    <m:rPr>
                      <m:sty m:val="bi"/>
                    </m:rPr>
                    <m:t>U</m:t>
                  </m:r>
                </m:e>
                <m:sub>
                  <m:r>
                    <m:t>1</m:t>
                  </m:r>
                </m:sub>
              </m:sSub>
              <m:r>
                <m:rPr>
                  <m:sty m:val="p"/>
                </m:rPr>
                <m:t>,</m:t>
              </m:r>
              <m:sSub>
                <m:e>
                  <m:r>
                    <m:rPr>
                      <m:sty m:val="bi"/>
                    </m:rPr>
                    <m:t>U</m:t>
                  </m:r>
                </m:e>
                <m:sub>
                  <m:r>
                    <m:t>2</m:t>
                  </m:r>
                </m:sub>
              </m:sSub>
              <m:r>
                <m:rPr>
                  <m:sty m:val="p"/>
                </m:rPr>
                <m:t>,</m:t>
              </m:r>
              <m:r>
                <m:rPr>
                  <m:sty m:val="p"/>
                </m:rPr>
                <m:t>…</m:t>
              </m:r>
              <m:r>
                <m:rPr>
                  <m:sty m:val="p"/>
                </m:rPr>
                <m:t>)</m:t>
              </m:r>
              <m:r>
                <m:rPr>
                  <m:sty m:val="p"/>
                </m:rPr>
                <m:t>,</m:t>
              </m:r>
              <m:r>
                <m:t>&amp;</m:t>
              </m:r>
              <m:r>
                <m:rPr>
                  <m:sty m:val="bi"/>
                </m:rPr>
                <m:t>p</m:t>
              </m:r>
              <m:r>
                <m:t>&amp;</m:t>
              </m:r>
              <m:r>
                <m:rPr>
                  <m:sty m:val="p"/>
                </m:rPr>
                <m:t>=</m:t>
              </m:r>
              <m:r>
                <m:rPr>
                  <m:sty m:val="p"/>
                </m:rPr>
                <m:t>(</m:t>
              </m:r>
              <m:sSubSup>
                <m:e>
                  <m:r>
                    <m:rPr>
                      <m:sty m:val="bi"/>
                    </m:rPr>
                    <m:t>p</m:t>
                  </m:r>
                </m:e>
                <m:sub>
                  <m:r>
                    <m:t>1</m:t>
                  </m:r>
                </m:sub>
                <m:sup>
                  <m:r>
                    <m:t>T</m:t>
                  </m:r>
                </m:sup>
              </m:sSubSup>
              <m:r>
                <m:rPr>
                  <m:sty m:val="p"/>
                </m:rPr>
                <m:t>,</m:t>
              </m:r>
              <m:sSubSup>
                <m:e>
                  <m:r>
                    <m:rPr>
                      <m:sty m:val="bi"/>
                    </m:rPr>
                    <m:t>p</m:t>
                  </m:r>
                </m:e>
                <m:sub>
                  <m:r>
                    <m:t>2</m:t>
                  </m:r>
                </m:sub>
                <m:sup>
                  <m:r>
                    <m:t>T</m:t>
                  </m:r>
                </m:sup>
              </m:sSubSup>
              <m:r>
                <m:rPr>
                  <m:sty m:val="p"/>
                </m:rPr>
                <m:t>,</m:t>
              </m:r>
              <m:r>
                <m:rPr>
                  <m:sty m:val="p"/>
                </m:rPr>
                <m:t>…</m:t>
              </m:r>
              <m:sSup>
                <m:e>
                  <m:r>
                    <m:rPr>
                      <m:sty m:val="p"/>
                    </m:rPr>
                    <m:t>)</m:t>
                  </m:r>
                </m:e>
                <m:sup>
                  <m:r>
                    <m:t>T</m:t>
                  </m:r>
                </m:sup>
              </m:sSup>
              <m:r>
                <m:rPr>
                  <m:sty m:val="p"/>
                </m:rPr>
                <m:t>,</m:t>
              </m:r>
            </m:e>
            <m:e>
              <m:r>
                <m:rPr>
                  <m:sty m:val="bi"/>
                </m:rPr>
                <m:t>x</m:t>
              </m:r>
              <m:r>
                <m:rPr>
                  <m:sty m:val="p"/>
                </m:rPr>
                <m:t>(</m:t>
              </m:r>
              <m:r>
                <m:rPr>
                  <m:sty m:val="bi"/>
                </m:rPr>
                <m:t>p</m:t>
              </m:r>
              <m:r>
                <m:rPr>
                  <m:sty m:val="p"/>
                </m:rPr>
                <m:t>)</m:t>
              </m:r>
              <m:r>
                <m:t>&amp;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&amp;</m:t>
              </m:r>
              <m:r>
                <m:rPr>
                  <m:sty m:val="bi"/>
                </m:rPr>
                <m:t>θ</m:t>
              </m:r>
              <m:r>
                <m:rPr>
                  <m:sty m:val="p"/>
                </m:rPr>
                <m:t>(</m:t>
              </m:r>
              <m:r>
                <m:rPr>
                  <m:sty m:val="bi"/>
                </m:rPr>
                <m:t>p</m:t>
              </m:r>
              <m:r>
                <m:rPr>
                  <m:sty m:val="p"/>
                </m:rPr>
                <m:t>)</m:t>
              </m:r>
              <m:r>
                <m:t>&amp;</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e>
          </m:eqArr>
          <m:r>
            <m:t>  </m:t>
          </m:r>
          <m:r>
            <m:rPr>
              <m:nor/>
              <m:sty m:val="p"/>
            </m:rPr>
            <m:t>(17)</m:t>
          </m:r>
        </m:oMath>
      </m:oMathPara>
    </w:p>
    <w:p>
      <w:pPr>
        <w:pStyle w:val="FirstParagraph"/>
      </w:pPr>
      <w:r>
        <w:t xml:space="preserve">where</w:t>
      </w:r>
      <w:r>
        <w:t xml:space="preserve"> </w:t>
      </w:r>
      <m:oMath>
        <m:sSub>
          <m:e>
            <m:r>
              <m:rPr>
                <m:sty m:val="bi"/>
              </m:rPr>
              <m:t>x</m:t>
            </m:r>
          </m:e>
          <m:sub>
            <m:r>
              <m:t>k</m:t>
            </m:r>
          </m:sub>
        </m:sSub>
      </m:oMath>
      <w:r>
        <w:t xml:space="preserve"> </w:t>
      </w:r>
      <w:r>
        <w:t xml:space="preserve">is the vector of variable AO coefficients at accepted iteration</w:t>
      </w:r>
      <w:r>
        <w:t xml:space="preserve"> </w:t>
      </w:r>
      <m:oMath>
        <m:r>
          <m:t>k</m:t>
        </m:r>
      </m:oMath>
      <w:r>
        <w:t xml:space="preserve"> </w:t>
      </w:r>
      <w:r>
        <w:t xml:space="preserve">and</w:t>
      </w:r>
      <w:r>
        <w:t xml:space="preserve"> </w:t>
      </w:r>
      <m:oMath>
        <m:sSub>
          <m:e>
            <m:r>
              <m:rPr>
                <m:sty m:val="bi"/>
              </m:rPr>
              <m:t>p</m:t>
            </m:r>
          </m:e>
          <m:sub>
            <m:r>
              <m:t>i</m:t>
            </m:r>
          </m:sub>
        </m:sSub>
      </m:oMath>
      <w:r>
        <w:t xml:space="preserve"> </w:t>
      </w:r>
      <w:r>
        <w:t xml:space="preserve">contains the</w:t>
      </w:r>
      <w:r>
        <w:t xml:space="preserve"> </w:t>
      </w:r>
      <m:oMath>
        <m:sSub>
          <m:e>
            <m:r>
              <m:t>r</m:t>
            </m:r>
          </m:e>
          <m:sub>
            <m:r>
              <m:t>i</m:t>
            </m:r>
          </m:sub>
        </m:sSub>
      </m:oMath>
      <w:r>
        <w:t xml:space="preserve"> </w:t>
      </w:r>
      <w:r>
        <w:t xml:space="preserve">metric-conditioned coordinates of orbital</w:t>
      </w:r>
      <w:r>
        <w:t xml:space="preserve"> </w:t>
      </w:r>
      <m:oMath>
        <m:r>
          <m:t>i</m:t>
        </m:r>
      </m:oMath>
      <w:r>
        <w:t xml:space="preserve">, giving a total dimension</w:t>
      </w:r>
      <w:r>
        <w:t xml:space="preserve"> </w:t>
      </w:r>
      <m:oMath>
        <m:nary>
          <m:naryPr>
            <m:chr m:val="∑"/>
            <m:limLoc m:val="undOvr"/>
            <m:subHide m:val="off"/>
            <m:supHide m:val="on"/>
          </m:naryPr>
          <m:sub>
            <m:r>
              <m:t>i</m:t>
            </m:r>
          </m:sub>
          <m:sup>
            <m:r>
              <m:t>​</m:t>
            </m:r>
          </m:sup>
          <m:e>
            <m:sSub>
              <m:e>
                <m:r>
                  <m:t>r</m:t>
                </m:r>
              </m:e>
              <m:sub>
                <m:r>
                  <m:t>i</m:t>
                </m:r>
              </m:sub>
            </m:sSub>
          </m:e>
        </m:nary>
      </m:oMath>
      <w:r>
        <w:t xml:space="preserve">. The map</w:t>
      </w:r>
      <w:r>
        <w:t xml:space="preserve"> </w:t>
      </w:r>
      <m:oMath>
        <m:r>
          <m:rPr>
            <m:scr m:val="script"/>
            <m:sty m:val="p"/>
          </m:rPr>
          <m:t>P</m:t>
        </m:r>
      </m:oMath>
      <w:r>
        <w:t xml:space="preserve"> </w:t>
      </w:r>
      <w:r>
        <w:t xml:space="preserve">normalizes the orbitals and applies the inactive-space projection and admissible representative choices used in evaluating the wave function;</w:t>
      </w:r>
      <w:r>
        <w:t xml:space="preserve"> </w:t>
      </w:r>
      <m:oMath>
        <m:r>
          <m:rPr>
            <m:sty m:val="bi"/>
          </m:rPr>
          <m:t>θ</m:t>
        </m:r>
      </m:oMath>
      <w:r>
        <w:t xml:space="preserve"> </w:t>
      </w:r>
      <w:r>
        <w:t xml:space="preserve">denotes the resulting orbital coefficients. The map</w:t>
      </w:r>
      <w:r>
        <w:t xml:space="preserve"> </w:t>
      </w:r>
      <m:oMath>
        <m:sSub>
          <m:e>
            <m:r>
              <m:rPr>
                <m:sty m:val="bi"/>
              </m:rPr>
              <m:t>U</m:t>
            </m:r>
          </m:e>
          <m:sub>
            <m:r>
              <m:t>k</m:t>
            </m:r>
          </m:sub>
        </m:sSub>
      </m:oMath>
      <w:r>
        <w:t xml:space="preserve"> </w:t>
      </w:r>
      <w:r>
        <w:t xml:space="preserve">is fixed while solving the local optimization problem and rebuilt after an accepted step.</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(18)</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(17).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(19)</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sSub>
          <m:e>
            <m:r>
              <m:rPr>
                <m:sty m:val="bi"/>
              </m:rPr>
              <m:t>C</m:t>
            </m:r>
          </m:e>
          <m:sub>
            <m:r>
              <m:rPr>
                <m:sty m:val="p"/>
              </m:rPr>
              <m:t>s</m:t>
            </m:r>
            <m:r>
              <m:rPr>
                <m:sty m:val="p"/>
              </m:rPr>
              <m:t>e</m:t>
            </m:r>
            <m:r>
              <m:rPr>
                <m:sty m:val="p"/>
              </m:rPr>
              <m:t>l</m:t>
            </m:r>
          </m:sub>
        </m:sSub>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bSup>
          <m:e>
            <m:r>
              <m:rPr>
                <m:sty m:val="bi"/>
              </m:rPr>
              <m:t>C</m:t>
            </m:r>
          </m:e>
          <m:sub>
            <m:r>
              <m:rPr>
                <m:sty m:val="p"/>
              </m:rPr>
              <m:t>s</m:t>
            </m:r>
            <m:r>
              <m:rPr>
                <m:sty m:val="p"/>
              </m:rPr>
              <m:t>e</m:t>
            </m:r>
            <m:r>
              <m:rPr>
                <m:sty m:val="p"/>
              </m:rPr>
              <m:t>l</m:t>
            </m:r>
          </m:sub>
          <m:sup>
            <m:r>
              <m:t>T</m:t>
            </m:r>
          </m:sup>
        </m:sSubSup>
        <m:r>
          <m:rPr>
            <m:sty m:val="bi"/>
          </m:rPr>
          <m:t>M</m:t>
        </m:r>
        <m:sSub>
          <m:e>
            <m:r>
              <m:rPr>
                <m:sty m:val="bi"/>
              </m:rPr>
              <m:t>C</m:t>
            </m:r>
          </m:e>
          <m:sub>
            <m:r>
              <m:rPr>
                <m:sty m:val="p"/>
              </m:rPr>
              <m:t>s</m:t>
            </m:r>
            <m:r>
              <m:rPr>
                <m:sty m:val="p"/>
              </m:rPr>
              <m:t>e</m:t>
            </m:r>
            <m:r>
              <m:rPr>
                <m:sty m:val="p"/>
              </m:rPr>
              <m:t>l</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rPr>
                  <m:sty m:val="p"/>
                </m:rPr>
                <m:t>s</m:t>
              </m:r>
              <m:r>
                <m:rPr>
                  <m:sty m:val="p"/>
                </m:rPr>
                <m:t>e</m:t>
              </m:r>
              <m:r>
                <m:rPr>
                  <m:sty m:val="p"/>
                </m:rPr>
                <m:t>l</m:t>
              </m:r>
              <m:r>
                <m:rPr>
                  <m:sty m:val="p"/>
                </m:rPr>
                <m:t>,</m:t>
              </m:r>
              <m:r>
                <m:t>g</m:t>
              </m:r>
            </m:sub>
          </m:sSub>
          <m:r>
            <m:rPr>
              <m:sty m:val="p"/>
            </m:rPr>
            <m:t>=</m:t>
          </m:r>
          <m:r>
            <m:rPr>
              <m:sty m:val="p"/>
            </m:rPr>
            <m:t>−</m:t>
          </m:r>
          <m:f>
            <m:fPr>
              <m:type m:val="lin"/>
            </m:fPr>
            <m:num>
              <m:r>
                <m:t>1</m:t>
              </m:r>
            </m:num>
            <m:den>
              <m:r>
                <m:t>2</m:t>
              </m:r>
            </m:den>
          </m:f>
          <m:sSub>
            <m:e>
              <m:r>
                <m:rPr>
                  <m:sty m:val="bi"/>
                </m:rPr>
                <m:t>C</m:t>
              </m:r>
            </m:e>
            <m:sub>
              <m:r>
                <m:rPr>
                  <m:sty m:val="p"/>
                </m:rPr>
                <m:t>s</m:t>
              </m:r>
              <m:r>
                <m:rPr>
                  <m:sty m:val="p"/>
                </m:rPr>
                <m:t>e</m:t>
              </m:r>
              <m:r>
                <m:rPr>
                  <m:sty m:val="p"/>
                </m:rPr>
                <m:t>l</m:t>
              </m:r>
            </m:sub>
          </m:sSub>
          <m:r>
            <m:rPr>
              <m:sty m:val="p"/>
            </m:rPr>
            <m:t>(</m:t>
          </m:r>
          <m:sSubSup>
            <m:e>
              <m:r>
                <m:rPr>
                  <m:sty m:val="bi"/>
                </m:rPr>
                <m:t>C</m:t>
              </m:r>
            </m:e>
            <m:sub>
              <m:r>
                <m:rPr>
                  <m:sty m:val="p"/>
                </m:rPr>
                <m:t>s</m:t>
              </m:r>
              <m:r>
                <m:rPr>
                  <m:sty m:val="p"/>
                </m:rPr>
                <m:t>e</m:t>
              </m:r>
              <m:r>
                <m:rPr>
                  <m:sty m:val="p"/>
                </m:rPr>
                <m:t>l</m:t>
              </m:r>
            </m:sub>
            <m:sup>
              <m:r>
                <m:t>T</m:t>
              </m:r>
            </m:sup>
          </m:sSubSup>
          <m:acc>
            <m:accPr>
              <m:chr m:val="̇"/>
            </m:accPr>
            <m:e>
              <m:r>
                <m:rPr>
                  <m:sty m:val="bi"/>
                </m:rPr>
                <m:t>M</m:t>
              </m:r>
            </m:e>
          </m:acc>
          <m:sSub>
            <m:e>
              <m:r>
                <m:rPr>
                  <m:sty m:val="bi"/>
                </m:rPr>
                <m:t>C</m:t>
              </m:r>
            </m:e>
            <m:sub>
              <m:r>
                <m:rPr>
                  <m:sty m:val="p"/>
                </m:rPr>
                <m:t>s</m:t>
              </m:r>
              <m:r>
                <m:rPr>
                  <m:sty m:val="p"/>
                </m:rPr>
                <m:t>e</m:t>
              </m:r>
              <m:r>
                <m:rPr>
                  <m:sty m:val="p"/>
                </m:rPr>
                <m:t>l</m:t>
              </m:r>
            </m:sub>
          </m:sSub>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(20)</m:t>
          </m:r>
        </m:oMath>
      </m:oMathPara>
    </w:p>
    <w:p>
      <w:pPr>
        <w:pStyle w:val="FirstParagraph"/>
      </w:pPr>
      <w:r>
        <w:t xml:space="preserve">Here</w:t>
      </w:r>
      <w:r>
        <w:t xml:space="preserve"> </w:t>
      </w:r>
      <m:oMath>
        <m:sSub>
          <m:e>
            <m:acc>
              <m:accPr>
                <m:chr m:val="̇"/>
              </m:accPr>
              <m:e>
                <m:r>
                  <m:rPr>
                    <m:sty m:val="bi"/>
                  </m:rPr>
                  <m:t>C</m:t>
                </m:r>
              </m:e>
            </m:acc>
          </m:e>
          <m:sub>
            <m:r>
              <m:rPr>
                <m:sty m:val="p"/>
              </m:rPr>
              <m:t>s</m:t>
            </m:r>
            <m:r>
              <m:rPr>
                <m:sty m:val="p"/>
              </m:rPr>
              <m:t>e</m:t>
            </m:r>
            <m:r>
              <m:rPr>
                <m:sty m:val="p"/>
              </m:rPr>
              <m:t>l</m:t>
            </m:r>
            <m:r>
              <m:rPr>
                <m:sty m:val="p"/>
              </m:rPr>
              <m:t>,</m:t>
            </m:r>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C</m:t>
            </m:r>
          </m:e>
          <m:sub>
            <m:r>
              <m:rPr>
                <m:sty m:val="p"/>
              </m:rPr>
              <m:t>s</m:t>
            </m:r>
            <m:r>
              <m:rPr>
                <m:sty m:val="p"/>
              </m:rPr>
              <m:t>e</m:t>
            </m:r>
            <m:r>
              <m:rPr>
                <m:sty m:val="p"/>
              </m:rPr>
              <m:t>l</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(21)</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(21)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(22)</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(23)</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(18) in the coordinates of eq (17).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(24)</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(24);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(25)</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p>
      <w:pPr>
        <w:pStyle w:val="BodyText"/>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(26)</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(27)</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(24),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(28)</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(29)</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(27).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(28) and (29)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(30)</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(31)</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(20).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(32)</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(17),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(33)</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(33).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2026-10-07T12:57:44Z</dcterms:created>
  <dcterms:modified xsi:type="dcterms:W3CDTF">2026-10-07T12:57:44Z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