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for state</w:t>
      </w:r>
      <w:r>
        <w:t xml:space="preserve"> </w:t>
      </w:r>
      <m:oMath>
        <m:r>
          <m:t>n</m:t>
        </m:r>
      </m:oMath>
      <w:r>
        <w:t xml:space="preserve"> </w:t>
      </w:r>
      <w:r>
        <w:t xml:space="preserve">is written as</w:t>
      </w:r>
    </w:p>
    <w:p>
      <w:pPr>
        <w:pStyle w:val="BodyText"/>
      </w:pPr>
      <m:oMathPara>
        <m:oMathParaPr>
          <m:jc m:val="center"/>
        </m:oMathParaPr>
        <m:oMath>
          <m:r>
            <m:rPr>
              <m:sty m:val="p"/>
            </m:rPr>
            <m:t>|</m:t>
          </m:r>
          <m:sSub>
            <m:e>
              <m:r>
                <m:rPr>
                  <m:sty m:val="p"/>
                </m:rPr>
                <m:t>Ψ</m:t>
              </m:r>
            </m:e>
            <m:sub>
              <m:r>
                <m:t>n</m:t>
              </m:r>
            </m:sub>
          </m:sSub>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r>
                    <m:t>n</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a spin-adapted VB structure and</w:t>
      </w:r>
      <w:r>
        <w:t xml:space="preserve"> </w:t>
      </w:r>
      <m:oMath>
        <m:sSub>
          <m:e>
            <m:r>
              <m:t>C</m:t>
            </m:r>
          </m:e>
          <m:sub>
            <m:r>
              <m:t>I</m:t>
            </m:r>
            <m:r>
              <m:t>n</m:t>
            </m:r>
          </m:sub>
        </m:sSub>
      </m:oMath>
      <w:r>
        <w:t xml:space="preserve"> </w:t>
      </w:r>
      <w:r>
        <w:t xml:space="preserve">is its expansion coefficient. The sum runs over the chosen structures, and</w:t>
      </w:r>
      <w:r>
        <w:t xml:space="preserve"> </w:t>
      </w:r>
      <m:oMath>
        <m:r>
          <m:rPr>
            <m:sty m:val="bi"/>
          </m:rPr>
          <m:t>x</m:t>
        </m:r>
      </m:oMath>
      <w:r>
        <w:t xml:space="preserve"> </w:t>
      </w:r>
      <w:r>
        <w:t xml:space="preserve">collects the allowed atomic orbital (AO) coefficients. The Hamiltonian and overlap matrix elements are</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The AO overlap matrix is denoted by</w:t>
      </w:r>
      <w:r>
        <w:t xml:space="preserve"> </w:t>
      </w:r>
      <m:oMath>
        <m:r>
          <m:rPr>
            <m:sty m:val="bi"/>
          </m:rPr>
          <m:t>S</m:t>
        </m:r>
      </m:oMath>
      <w:r>
        <w:t xml:space="preserve">,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is an AO basis function. Nuclear repulsion is constant at a fixed geometry and is omitted below.</w:t>
      </w:r>
    </w:p>
    <w:p>
      <w:pPr>
        <w:pStyle w:val="BodyText"/>
      </w:pPr>
      <w:r>
        <w:t xml:space="preserve">For fixed orbitals, the structure coefficients are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is the energy of state</w:t>
      </w:r>
      <w:r>
        <w:t xml:space="preserve"> </w:t>
      </w:r>
      <m:oMath>
        <m:r>
          <m:t>n</m:t>
        </m:r>
      </m:oMath>
      <w:r>
        <w:t xml:space="preserve"> </w:t>
      </w:r>
      <w:r>
        <w:t xml:space="preserve">and</w:t>
      </w:r>
      <w:r>
        <w:t xml:space="preserve"> </w:t>
      </w:r>
      <m:oMath>
        <m:sSub>
          <m:e>
            <m:r>
              <m:rPr>
                <m:sty m:val="bi"/>
              </m:rPr>
              <m:t>c</m:t>
            </m:r>
          </m:e>
          <m:sub>
            <m:r>
              <m:t>n</m:t>
            </m:r>
          </m:sub>
        </m:sSub>
      </m:oMath>
      <w:r>
        <w:t xml:space="preserve"> </w:t>
      </w:r>
      <w:r>
        <w:t xml:space="preserve">contains the coefficients</w:t>
      </w:r>
      <w:r>
        <w:t xml:space="preserve"> </w:t>
      </w:r>
      <m:oMath>
        <m:sSub>
          <m:e>
            <m:r>
              <m:t>C</m:t>
            </m:r>
          </m:e>
          <m:sub>
            <m:r>
              <m:t>I</m:t>
            </m:r>
            <m:r>
              <m:t>n</m:t>
            </m:r>
          </m:sub>
        </m:sSub>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(4)</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 Orbital optimization minimizes this structure-relaxed energy with respect to</w:t>
      </w:r>
      <w:r>
        <w:t xml:space="preserve"> </w:t>
      </w:r>
      <m:oMath>
        <m:r>
          <m:rPr>
            <m:sty m:val="bi"/>
          </m:rPr>
          <m:t>x</m:t>
        </m:r>
      </m:oMath>
      <w:r>
        <w:t xml:space="preser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(10)</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(11)</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r>
          <m:rPr>
            <m:sty m:val="bi"/>
          </m:rPr>
          <m:t>C</m:t>
        </m:r>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p>
          <m:e>
            <m:r>
              <m:rPr>
                <m:sty m:val="bi"/>
              </m:rPr>
              <m:t>C</m:t>
            </m:r>
          </m:e>
          <m:sup>
            <m:r>
              <m:t>T</m:t>
            </m:r>
          </m:sup>
        </m:sSup>
        <m:r>
          <m:rPr>
            <m:sty m:val="bi"/>
          </m:rPr>
          <m:t>M</m:t>
        </m:r>
        <m:r>
          <m:rPr>
            <m:sty m:val="bi"/>
          </m:rPr>
          <m:t>C</m:t>
        </m:r>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t>g</m:t>
              </m:r>
            </m:sub>
          </m:sSub>
          <m:r>
            <m:rPr>
              <m:sty m:val="p"/>
            </m:rPr>
            <m:t>=</m:t>
          </m:r>
          <m:r>
            <m:rPr>
              <m:sty m:val="p"/>
            </m:rPr>
            <m:t>−</m:t>
          </m:r>
          <m:f>
            <m:fPr>
              <m:type m:val="lin"/>
            </m:fPr>
            <m:num>
              <m:r>
                <m:t>1</m:t>
              </m:r>
            </m:num>
            <m:den>
              <m:r>
                <m:t>2</m:t>
              </m:r>
            </m:den>
          </m:f>
          <m:r>
            <m:rPr>
              <m:sty m:val="bi"/>
            </m:rPr>
            <m:t>C</m:t>
          </m:r>
          <m:r>
            <m:rPr>
              <m:sty m:val="p"/>
            </m:rPr>
            <m:t>(</m:t>
          </m:r>
          <m:sSup>
            <m:e>
              <m:r>
                <m:rPr>
                  <m:sty m:val="bi"/>
                </m:rPr>
                <m:t>C</m:t>
              </m:r>
            </m:e>
            <m:sup>
              <m:r>
                <m:t>T</m:t>
              </m:r>
            </m:sup>
          </m:sSup>
          <m:acc>
            <m:accPr>
              <m:chr m:val="̇"/>
            </m:accPr>
            <m:e>
              <m:r>
                <m:rPr>
                  <m:sty m:val="bi"/>
                </m:rPr>
                <m:t>M</m:t>
              </m:r>
            </m:e>
          </m:acc>
          <m:r>
            <m:rPr>
              <m:sty m:val="bi"/>
            </m:rPr>
            <m:t>C</m:t>
          </m:r>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(12)</m:t>
          </m:r>
        </m:oMath>
      </m:oMathPara>
    </w:p>
    <w:p>
      <w:pPr>
        <w:pStyle w:val="FirstParagraph"/>
      </w:pPr>
      <w:r>
        <w:t xml:space="preserve">Here</w:t>
      </w:r>
      <w:r>
        <w:t xml:space="preserve"> </w:t>
      </w:r>
      <m:oMath>
        <m:sSub>
          <m:e>
            <m:acc>
              <m:accPr>
                <m:chr m:val="̇"/>
              </m:accPr>
              <m:e>
                <m:r>
                  <m:rPr>
                    <m:sty m:val="bi"/>
                  </m:rPr>
                  <m:t>C</m:t>
                </m:r>
              </m:e>
            </m:acc>
          </m:e>
          <m:sub>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p>
          <m:e>
            <m:r>
              <m:rPr>
                <m:sty m:val="bi"/>
              </m:rPr>
              <m:t>C</m:t>
            </m:r>
          </m:e>
          <m:sup>
            <m:r>
              <m:t>T</m:t>
            </m:r>
          </m:sup>
        </m:s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(13)</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(13)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(14)</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(15)</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(10)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(16)</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(16);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(17)</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(18)</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(16),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(19)</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(20)</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(18).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(19) and (20)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(21)</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(22)</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(12).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(23)</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(24)</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(24).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2026-10-07T10:48:20Z</dcterms:created>
  <dcterms:modified xsi:type="dcterms:W3CDTF">2026-10-07T10:48:20Z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