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0.svg" ContentType="image/svg+xml"/>
  <Override PartName="/word/media/image37.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1EB15CF0" w:rsidR="00A02BAC" w:rsidRDefault="007A2306">
      <w:r>
        <w:rPr>
          <w:rFonts w:hint="eastAsia"/>
          <w:noProof/>
        </w:rPr>
        <mc:AlternateContent>
          <mc:Choice Requires="wps">
            <w:drawing>
              <wp:anchor distT="0" distB="0" distL="114300" distR="114300" simplePos="0" relativeHeight="251660288" behindDoc="0" locked="0" layoutInCell="1" allowOverlap="1" wp14:anchorId="1547170A" wp14:editId="7632CB56">
                <wp:simplePos x="0" y="0"/>
                <wp:positionH relativeFrom="column">
                  <wp:posOffset>5031105</wp:posOffset>
                </wp:positionH>
                <wp:positionV relativeFrom="paragraph">
                  <wp:posOffset>-1026795</wp:posOffset>
                </wp:positionV>
                <wp:extent cx="1247775" cy="395288"/>
                <wp:effectExtent l="0" t="0" r="9525" b="5080"/>
                <wp:wrapNone/>
                <wp:docPr id="927849733" name="矩形 1"/>
                <wp:cNvGraphicFramePr/>
                <a:graphic xmlns:a="http://schemas.openxmlformats.org/drawingml/2006/main">
                  <a:graphicData uri="http://schemas.microsoft.com/office/word/2010/wordprocessingShape">
                    <wps:wsp>
                      <wps:cNvSpPr/>
                      <wps:spPr>
                        <a:xfrm>
                          <a:off x="0" y="0"/>
                          <a:ext cx="1247775" cy="3952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406FC" id="矩形 1" o: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mc:Fallback>
        </mc:AlternateContent>
      </w:r>
      <w:r>
        <w:rPr>
          <w:rFonts w:hint="eastAsia"/>
          <w:noProof/>
        </w:rPr>
        <w:drawing>
          <wp:anchor distT="0" distB="0" distL="114300" distR="114300" simplePos="0" relativeHeight="251659264" behindDoc="0" locked="0" layoutInCell="1" allowOverlap="1" wp14:anchorId="08406B3E" wp14:editId="405C16EC">
            <wp:simplePos x="0" y="0"/>
            <wp:positionH relativeFrom="page">
              <wp:posOffset>1905</wp:posOffset>
            </wp:positionH>
            <wp:positionV relativeFrom="page">
              <wp:posOffset>-5080</wp:posOffset>
            </wp:positionV>
            <wp:extent cx="7557770" cy="10712450"/>
            <wp:effectExtent l="0" t="0" r="5080" b="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rsidP="00DA6AA7">
      <w:pPr>
        <w:pStyle w:val="af"/>
      </w:pPr>
      <w:bookmarkStart w:id="0" w:name="_Toc233668278"/>
      <w:r>
        <w:rPr>
          <w:rFonts w:hint="eastAsia"/>
        </w:rPr>
        <w:lastRenderedPageBreak/>
        <w:t>摘</w:t>
      </w:r>
      <w:r>
        <w:rPr>
          <w:rFonts w:hint="eastAsia"/>
        </w:rPr>
        <w:t xml:space="preserve">  </w:t>
      </w:r>
      <w:r>
        <w:rPr>
          <w:rFonts w:hint="eastAsia"/>
        </w:rPr>
        <w:t>要</w:t>
      </w:r>
      <w:bookmarkEnd w:id="0"/>
    </w:p>
    <w:p w14:paraId="585FC302" w14:textId="4604EE9A" w:rsidR="00A02BAC" w:rsidRDefault="009677A1">
      <w:r w:rsidRPr="009677A1">
        <w:rPr>
          <w:rFonts w:hint="eastAsia"/>
        </w:rPr>
        <w:t>随着国内</w:t>
      </w:r>
      <w:r w:rsidRPr="009677A1">
        <w:rPr>
          <w:rFonts w:hint="eastAsia"/>
        </w:rPr>
        <w:t>ESG</w:t>
      </w:r>
      <w:r w:rsidRPr="009677A1">
        <w:rPr>
          <w:rFonts w:hint="eastAsia"/>
        </w:rPr>
        <w:t>信息披露监管体系持续完善，</w:t>
      </w:r>
      <w:r w:rsidR="00C058F3" w:rsidRPr="00C058F3">
        <w:rPr>
          <w:rFonts w:hint="eastAsia"/>
        </w:rPr>
        <w:t>企业发布的</w:t>
      </w:r>
      <w:r w:rsidR="00C058F3" w:rsidRPr="00C058F3">
        <w:rPr>
          <w:rFonts w:hint="eastAsia"/>
        </w:rPr>
        <w:t>PDF</w:t>
      </w:r>
      <w:r w:rsidR="00C058F3" w:rsidRPr="00C058F3">
        <w:rPr>
          <w:rFonts w:hint="eastAsia"/>
        </w:rPr>
        <w:t>版</w:t>
      </w:r>
      <w:r w:rsidR="00C058F3" w:rsidRPr="00C058F3">
        <w:rPr>
          <w:rFonts w:hint="eastAsia"/>
        </w:rPr>
        <w:t>ESG</w:t>
      </w:r>
      <w:r w:rsidR="00C058F3" w:rsidRPr="00C058F3">
        <w:rPr>
          <w:rFonts w:hint="eastAsia"/>
        </w:rPr>
        <w:t>报告数量持续增加，但报告版式结构差异大、指标表述不统一，人工整理效率低，常规解析工具难以批量提取规范数据。本文搭建</w:t>
      </w:r>
      <w:r w:rsidR="00C058F3" w:rsidRPr="00C058F3">
        <w:rPr>
          <w:rFonts w:hint="eastAsia"/>
        </w:rPr>
        <w:t>ESG Miner</w:t>
      </w:r>
      <w:r w:rsidR="00C058F3">
        <w:rPr>
          <w:rFonts w:hint="eastAsia"/>
        </w:rPr>
        <w:t>平台</w:t>
      </w:r>
      <w:r w:rsidR="00C058F3" w:rsidRPr="00C058F3">
        <w:rPr>
          <w:rFonts w:hint="eastAsia"/>
        </w:rPr>
        <w:t>，结合</w:t>
      </w:r>
      <w:r w:rsidR="00C058F3" w:rsidRPr="00C058F3">
        <w:rPr>
          <w:rFonts w:hint="eastAsia"/>
        </w:rPr>
        <w:t>RAG</w:t>
      </w:r>
      <w:r w:rsidR="00C058F3" w:rsidRPr="00C058F3">
        <w:rPr>
          <w:rFonts w:hint="eastAsia"/>
        </w:rPr>
        <w:t>与大语言模型，完成</w:t>
      </w:r>
      <w:r w:rsidR="00C058F3" w:rsidRPr="00C058F3">
        <w:rPr>
          <w:rFonts w:hint="eastAsia"/>
        </w:rPr>
        <w:t>ESG</w:t>
      </w:r>
      <w:r w:rsidR="00C058F3" w:rsidRPr="00C058F3">
        <w:rPr>
          <w:rFonts w:hint="eastAsia"/>
        </w:rPr>
        <w:t>报告自适应解析与</w:t>
      </w:r>
      <w:r w:rsidR="00C058F3" w:rsidRPr="00C058F3">
        <w:rPr>
          <w:rFonts w:hint="eastAsia"/>
        </w:rPr>
        <w:t>60</w:t>
      </w:r>
      <w:r w:rsidR="00C058F3" w:rsidRPr="00C058F3">
        <w:rPr>
          <w:rFonts w:hint="eastAsia"/>
        </w:rPr>
        <w:t>项核心指标结构化提取</w:t>
      </w:r>
      <w:r>
        <w:rPr>
          <w:rFonts w:hint="eastAsia"/>
        </w:rPr>
        <w:t>。</w:t>
      </w:r>
    </w:p>
    <w:p w14:paraId="77DF3C62" w14:textId="5D0D13A0" w:rsidR="00A02BAC" w:rsidRDefault="00C058F3">
      <w:r w:rsidRPr="00C058F3">
        <w:rPr>
          <w:rFonts w:hint="eastAsia"/>
        </w:rPr>
        <w:t>本方案采集</w:t>
      </w:r>
      <w:r w:rsidRPr="00C058F3">
        <w:rPr>
          <w:rFonts w:hint="eastAsia"/>
        </w:rPr>
        <w:t>200</w:t>
      </w:r>
      <w:r w:rsidRPr="00C058F3">
        <w:rPr>
          <w:rFonts w:hint="eastAsia"/>
        </w:rPr>
        <w:t>份公开</w:t>
      </w:r>
      <w:r w:rsidRPr="00C058F3">
        <w:rPr>
          <w:rFonts w:hint="eastAsia"/>
        </w:rPr>
        <w:t>ESG</w:t>
      </w:r>
      <w:r w:rsidRPr="00C058F3">
        <w:rPr>
          <w:rFonts w:hint="eastAsia"/>
        </w:rPr>
        <w:t>报告作为数据集，构建环境</w:t>
      </w:r>
      <w:r w:rsidRPr="00C058F3">
        <w:rPr>
          <w:rFonts w:hint="eastAsia"/>
        </w:rPr>
        <w:t>22</w:t>
      </w:r>
      <w:r w:rsidRPr="00C058F3">
        <w:rPr>
          <w:rFonts w:hint="eastAsia"/>
        </w:rPr>
        <w:t>项、社会</w:t>
      </w:r>
      <w:r w:rsidRPr="00C058F3">
        <w:rPr>
          <w:rFonts w:hint="eastAsia"/>
        </w:rPr>
        <w:t>28</w:t>
      </w:r>
      <w:r w:rsidRPr="00C058F3">
        <w:rPr>
          <w:rFonts w:hint="eastAsia"/>
        </w:rPr>
        <w:t>项、治理</w:t>
      </w:r>
      <w:r w:rsidRPr="00C058F3">
        <w:rPr>
          <w:rFonts w:hint="eastAsia"/>
        </w:rPr>
        <w:t>10</w:t>
      </w:r>
      <w:r w:rsidRPr="00C058F3">
        <w:rPr>
          <w:rFonts w:hint="eastAsia"/>
        </w:rPr>
        <w:t>项</w:t>
      </w:r>
      <w:r w:rsidR="00515725">
        <w:rPr>
          <w:rFonts w:hint="eastAsia"/>
        </w:rPr>
        <w:t>的全域核心</w:t>
      </w:r>
      <w:r w:rsidRPr="00C058F3">
        <w:rPr>
          <w:rFonts w:hint="eastAsia"/>
        </w:rPr>
        <w:t>指标体系，划分定量、定性、混合三类指标适配</w:t>
      </w:r>
      <w:r w:rsidR="0078435D">
        <w:rPr>
          <w:rFonts w:hint="eastAsia"/>
        </w:rPr>
        <w:t>企业</w:t>
      </w:r>
      <w:r w:rsidRPr="00C058F3">
        <w:rPr>
          <w:rFonts w:hint="eastAsia"/>
        </w:rPr>
        <w:t>不同披露形式。</w:t>
      </w:r>
      <w:r w:rsidR="0078435D">
        <w:rPr>
          <w:rFonts w:hint="eastAsia"/>
        </w:rPr>
        <w:t>平台创新性引入</w:t>
      </w:r>
      <w:r w:rsidRPr="00C058F3">
        <w:rPr>
          <w:rFonts w:hint="eastAsia"/>
        </w:rPr>
        <w:t>分层</w:t>
      </w:r>
      <w:r w:rsidR="00F52493">
        <w:rPr>
          <w:rFonts w:hint="eastAsia"/>
        </w:rPr>
        <w:t>页面分流</w:t>
      </w:r>
      <w:r w:rsidR="0078435D">
        <w:rPr>
          <w:rFonts w:hint="eastAsia"/>
        </w:rPr>
        <w:t>处理机制</w:t>
      </w:r>
      <w:r w:rsidR="00F52493">
        <w:rPr>
          <w:rFonts w:hint="eastAsia"/>
        </w:rPr>
        <w:t>，</w:t>
      </w:r>
      <w:r w:rsidR="00F52493" w:rsidRPr="00F52493">
        <w:rPr>
          <w:rFonts w:hint="eastAsia"/>
        </w:rPr>
        <w:t>依据页面信息</w:t>
      </w:r>
      <w:r w:rsidR="0078435D">
        <w:rPr>
          <w:rFonts w:hint="eastAsia"/>
        </w:rPr>
        <w:t>密度</w:t>
      </w:r>
      <w:r w:rsidR="00F52493" w:rsidRPr="00F52493">
        <w:rPr>
          <w:rFonts w:hint="eastAsia"/>
        </w:rPr>
        <w:t>分值</w:t>
      </w:r>
      <w:r w:rsidR="0078435D">
        <w:rPr>
          <w:rFonts w:hint="eastAsia"/>
        </w:rPr>
        <w:t>动态</w:t>
      </w:r>
      <w:r w:rsidR="00F52493" w:rsidRPr="00F52493">
        <w:rPr>
          <w:rFonts w:hint="eastAsia"/>
        </w:rPr>
        <w:t>调度</w:t>
      </w:r>
      <w:r w:rsidR="00F52493" w:rsidRPr="00F52493">
        <w:rPr>
          <w:rFonts w:hint="eastAsia"/>
        </w:rPr>
        <w:t>PyMuPDF</w:t>
      </w:r>
      <w:r w:rsidR="0078435D">
        <w:rPr>
          <w:rFonts w:hint="eastAsia"/>
        </w:rPr>
        <w:t>轻量化解析</w:t>
      </w:r>
      <w:r w:rsidR="00F52493" w:rsidRPr="00F52493">
        <w:rPr>
          <w:rFonts w:hint="eastAsia"/>
        </w:rPr>
        <w:t>、</w:t>
      </w:r>
      <w:r w:rsidR="00F52493" w:rsidRPr="00F52493">
        <w:rPr>
          <w:rFonts w:hint="eastAsia"/>
        </w:rPr>
        <w:t>MinerU</w:t>
      </w:r>
      <w:r w:rsidR="0062214F">
        <w:rPr>
          <w:rFonts w:hint="eastAsia"/>
        </w:rPr>
        <w:t>高精度版面还原、</w:t>
      </w:r>
      <w:r w:rsidR="00F52493" w:rsidRPr="00F52493">
        <w:rPr>
          <w:rFonts w:hint="eastAsia"/>
        </w:rPr>
        <w:t>大模型</w:t>
      </w:r>
      <w:r w:rsidR="0062214F">
        <w:rPr>
          <w:rFonts w:hint="eastAsia"/>
        </w:rPr>
        <w:t>语义仲裁三类解析通道</w:t>
      </w:r>
      <w:r w:rsidR="00F52493" w:rsidRPr="00F52493">
        <w:rPr>
          <w:rFonts w:hint="eastAsia"/>
        </w:rPr>
        <w:t>，仅对高价值页面</w:t>
      </w:r>
      <w:r w:rsidR="0062214F">
        <w:rPr>
          <w:rFonts w:hint="eastAsia"/>
        </w:rPr>
        <w:t>分配</w:t>
      </w:r>
      <w:r w:rsidR="00F52493" w:rsidRPr="00F52493">
        <w:rPr>
          <w:rFonts w:hint="eastAsia"/>
        </w:rPr>
        <w:t>高</w:t>
      </w:r>
      <w:r w:rsidR="0062214F">
        <w:rPr>
          <w:rFonts w:hint="eastAsia"/>
        </w:rPr>
        <w:t>算力</w:t>
      </w:r>
      <w:r w:rsidR="00F52493" w:rsidRPr="00F52493">
        <w:rPr>
          <w:rFonts w:hint="eastAsia"/>
        </w:rPr>
        <w:t>解析资源，</w:t>
      </w:r>
      <w:r w:rsidR="0062214F">
        <w:rPr>
          <w:rFonts w:hint="eastAsia"/>
        </w:rPr>
        <w:t>有效降低整体计算</w:t>
      </w:r>
      <w:r w:rsidR="00F52493" w:rsidRPr="00F52493">
        <w:rPr>
          <w:rFonts w:hint="eastAsia"/>
        </w:rPr>
        <w:t>开销</w:t>
      </w:r>
      <w:r w:rsidR="00F52493">
        <w:rPr>
          <w:rFonts w:hint="eastAsia"/>
        </w:rPr>
        <w:t>；</w:t>
      </w:r>
      <w:r w:rsidR="00C55260">
        <w:rPr>
          <w:rFonts w:hint="eastAsia"/>
        </w:rPr>
        <w:t>依托自适应滑动窗口文本切块</w:t>
      </w:r>
      <w:r w:rsidR="00173B44" w:rsidRPr="00173B44">
        <w:rPr>
          <w:rFonts w:hint="eastAsia"/>
        </w:rPr>
        <w:t>、</w:t>
      </w:r>
      <w:r w:rsidR="00C55260">
        <w:rPr>
          <w:rFonts w:hint="eastAsia"/>
        </w:rPr>
        <w:t>改进</w:t>
      </w:r>
      <w:r w:rsidR="00C55260">
        <w:rPr>
          <w:rFonts w:hint="eastAsia"/>
        </w:rPr>
        <w:t>BM25</w:t>
      </w:r>
      <w:r w:rsidR="00C55260">
        <w:rPr>
          <w:rFonts w:hint="eastAsia"/>
        </w:rPr>
        <w:t>与语义嵌入</w:t>
      </w:r>
      <w:r w:rsidR="00173B44" w:rsidRPr="00173B44">
        <w:rPr>
          <w:rFonts w:hint="eastAsia"/>
        </w:rPr>
        <w:t>双路检索融合</w:t>
      </w:r>
      <w:r w:rsidR="00C55260">
        <w:rPr>
          <w:rFonts w:hint="eastAsia"/>
        </w:rPr>
        <w:t>架构</w:t>
      </w:r>
      <w:r w:rsidR="00173B44" w:rsidRPr="00173B44">
        <w:rPr>
          <w:rFonts w:hint="eastAsia"/>
        </w:rPr>
        <w:t>，精准筛选有效</w:t>
      </w:r>
      <w:r w:rsidR="00C55260">
        <w:rPr>
          <w:rFonts w:hint="eastAsia"/>
        </w:rPr>
        <w:t>证据片段输入</w:t>
      </w:r>
      <w:r w:rsidR="00173B44" w:rsidRPr="00173B44">
        <w:rPr>
          <w:rFonts w:hint="eastAsia"/>
        </w:rPr>
        <w:t>大模型，有效</w:t>
      </w:r>
      <w:r w:rsidR="0066510D">
        <w:rPr>
          <w:rFonts w:hint="eastAsia"/>
        </w:rPr>
        <w:t>缓解</w:t>
      </w:r>
      <w:r w:rsidR="00173B44" w:rsidRPr="00173B44">
        <w:rPr>
          <w:rFonts w:hint="eastAsia"/>
        </w:rPr>
        <w:t>模型幻觉</w:t>
      </w:r>
      <w:r w:rsidR="0066510D">
        <w:rPr>
          <w:rFonts w:hint="eastAsia"/>
        </w:rPr>
        <w:t>问题</w:t>
      </w:r>
      <w:r w:rsidR="00173B44" w:rsidRPr="00173B44">
        <w:rPr>
          <w:rFonts w:hint="eastAsia"/>
        </w:rPr>
        <w:t>、减少冗余</w:t>
      </w:r>
      <w:r w:rsidR="00173B44" w:rsidRPr="00173B44">
        <w:rPr>
          <w:rFonts w:hint="eastAsia"/>
        </w:rPr>
        <w:t>Token</w:t>
      </w:r>
      <w:r w:rsidR="00173B44" w:rsidRPr="00173B44">
        <w:rPr>
          <w:rFonts w:hint="eastAsia"/>
        </w:rPr>
        <w:t>消耗，在提取精度与</w:t>
      </w:r>
      <w:r w:rsidR="0066510D">
        <w:rPr>
          <w:rFonts w:hint="eastAsia"/>
        </w:rPr>
        <w:t>算力</w:t>
      </w:r>
      <w:r w:rsidR="00173B44" w:rsidRPr="00173B44">
        <w:rPr>
          <w:rFonts w:hint="eastAsia"/>
        </w:rPr>
        <w:t>成本间实现</w:t>
      </w:r>
      <w:r w:rsidR="0066510D">
        <w:rPr>
          <w:rFonts w:hint="eastAsia"/>
        </w:rPr>
        <w:t>均衡优化。平台</w:t>
      </w:r>
      <w:r w:rsidR="00173B44" w:rsidRPr="00173B44">
        <w:rPr>
          <w:rFonts w:hint="eastAsia"/>
        </w:rPr>
        <w:t>配套年份对齐、证据链</w:t>
      </w:r>
      <w:r w:rsidR="00E813CE">
        <w:rPr>
          <w:rFonts w:hint="eastAsia"/>
        </w:rPr>
        <w:t>加权</w:t>
      </w:r>
      <w:r w:rsidR="00173B44" w:rsidRPr="00173B44">
        <w:rPr>
          <w:rFonts w:hint="eastAsia"/>
        </w:rPr>
        <w:t>打分、置信度</w:t>
      </w:r>
      <w:r w:rsidR="00E813CE">
        <w:rPr>
          <w:rFonts w:hint="eastAsia"/>
        </w:rPr>
        <w:t>分级</w:t>
      </w:r>
      <w:r w:rsidR="00173B44" w:rsidRPr="00173B44">
        <w:rPr>
          <w:rFonts w:hint="eastAsia"/>
        </w:rPr>
        <w:t>校验多</w:t>
      </w:r>
      <w:r w:rsidR="00E813CE">
        <w:rPr>
          <w:rFonts w:hint="eastAsia"/>
        </w:rPr>
        <w:t>层质量</w:t>
      </w:r>
      <w:r w:rsidR="00173B44" w:rsidRPr="00173B44">
        <w:rPr>
          <w:rFonts w:hint="eastAsia"/>
        </w:rPr>
        <w:t>质控</w:t>
      </w:r>
      <w:r w:rsidR="00E813CE">
        <w:rPr>
          <w:rFonts w:hint="eastAsia"/>
        </w:rPr>
        <w:t>机制</w:t>
      </w:r>
      <w:r w:rsidR="00173B44" w:rsidRPr="00173B44">
        <w:rPr>
          <w:rFonts w:hint="eastAsia"/>
        </w:rPr>
        <w:t>，并基于</w:t>
      </w:r>
      <w:r w:rsidR="00173B44" w:rsidRPr="00173B44">
        <w:rPr>
          <w:rFonts w:hint="eastAsia"/>
        </w:rPr>
        <w:t>React</w:t>
      </w:r>
      <w:r w:rsidR="00173B44" w:rsidRPr="00173B44">
        <w:rPr>
          <w:rFonts w:hint="eastAsia"/>
        </w:rPr>
        <w:t>、</w:t>
      </w:r>
      <w:r w:rsidR="00173B44" w:rsidRPr="00173B44">
        <w:rPr>
          <w:rFonts w:hint="eastAsia"/>
        </w:rPr>
        <w:t>FastAPI</w:t>
      </w:r>
      <w:r w:rsidR="00173B44" w:rsidRPr="00173B44">
        <w:rPr>
          <w:rFonts w:hint="eastAsia"/>
        </w:rPr>
        <w:t>搭建可视化平台，支持批量</w:t>
      </w:r>
      <w:r w:rsidR="00E813CE">
        <w:rPr>
          <w:rFonts w:hint="eastAsia"/>
        </w:rPr>
        <w:t>文档</w:t>
      </w:r>
      <w:r w:rsidR="00173B44" w:rsidRPr="00173B44">
        <w:rPr>
          <w:rFonts w:hint="eastAsia"/>
        </w:rPr>
        <w:t>上传、</w:t>
      </w:r>
      <w:r w:rsidR="00E813CE">
        <w:rPr>
          <w:rFonts w:hint="eastAsia"/>
        </w:rPr>
        <w:t>指标</w:t>
      </w:r>
      <w:r w:rsidR="00173B44" w:rsidRPr="00173B44">
        <w:rPr>
          <w:rFonts w:hint="eastAsia"/>
        </w:rPr>
        <w:t>人工复核、</w:t>
      </w:r>
      <w:r w:rsidR="00E813CE">
        <w:rPr>
          <w:rFonts w:hint="eastAsia"/>
        </w:rPr>
        <w:t>跨报告横向对比</w:t>
      </w:r>
      <w:r w:rsidR="003737B1">
        <w:rPr>
          <w:rFonts w:hint="eastAsia"/>
        </w:rPr>
        <w:t>、结构化</w:t>
      </w:r>
      <w:r w:rsidR="00173B44" w:rsidRPr="00173B44">
        <w:rPr>
          <w:rFonts w:hint="eastAsia"/>
        </w:rPr>
        <w:t>数据导出</w:t>
      </w:r>
      <w:r w:rsidR="003737B1">
        <w:rPr>
          <w:rFonts w:hint="eastAsia"/>
        </w:rPr>
        <w:t>全流程环节闭环</w:t>
      </w:r>
      <w:r w:rsidRPr="00C058F3">
        <w:rPr>
          <w:rFonts w:hint="eastAsia"/>
        </w:rPr>
        <w:t>。</w:t>
      </w:r>
      <w:r w:rsidR="003737B1">
        <w:rPr>
          <w:rFonts w:hint="eastAsia"/>
        </w:rPr>
        <w:t>经</w:t>
      </w:r>
      <w:r w:rsidR="000F5D1D">
        <w:rPr>
          <w:rFonts w:hint="eastAsia"/>
        </w:rPr>
        <w:t>专项性能测试，共</w:t>
      </w:r>
      <w:r w:rsidRPr="00C058F3">
        <w:rPr>
          <w:rFonts w:hint="eastAsia"/>
        </w:rPr>
        <w:t>抽检</w:t>
      </w:r>
      <w:r w:rsidRPr="00C058F3">
        <w:rPr>
          <w:rFonts w:hint="eastAsia"/>
        </w:rPr>
        <w:t>100</w:t>
      </w:r>
      <w:r w:rsidRPr="00C058F3">
        <w:rPr>
          <w:rFonts w:hint="eastAsia"/>
        </w:rPr>
        <w:t>项指标</w:t>
      </w:r>
      <w:r w:rsidR="000F5D1D">
        <w:rPr>
          <w:rFonts w:hint="eastAsia"/>
        </w:rPr>
        <w:t>样本</w:t>
      </w:r>
      <w:r w:rsidRPr="00C058F3">
        <w:rPr>
          <w:rFonts w:hint="eastAsia"/>
        </w:rPr>
        <w:t>，剔除</w:t>
      </w:r>
      <w:r w:rsidRPr="00C058F3">
        <w:rPr>
          <w:rFonts w:hint="eastAsia"/>
        </w:rPr>
        <w:t>16</w:t>
      </w:r>
      <w:r w:rsidR="000F5D1D">
        <w:rPr>
          <w:rFonts w:hint="eastAsia"/>
        </w:rPr>
        <w:t>份企业</w:t>
      </w:r>
      <w:r w:rsidRPr="00C058F3">
        <w:rPr>
          <w:rFonts w:hint="eastAsia"/>
        </w:rPr>
        <w:t>未披露</w:t>
      </w:r>
      <w:r w:rsidR="003737B1">
        <w:rPr>
          <w:rFonts w:hint="eastAsia"/>
        </w:rPr>
        <w:t>无效样本</w:t>
      </w:r>
      <w:r w:rsidRPr="00C058F3">
        <w:rPr>
          <w:rFonts w:hint="eastAsia"/>
        </w:rPr>
        <w:t>后</w:t>
      </w:r>
      <w:r w:rsidR="000F5D1D">
        <w:rPr>
          <w:rFonts w:hint="eastAsia"/>
        </w:rPr>
        <w:t>得到</w:t>
      </w:r>
      <w:r w:rsidR="000F5D1D" w:rsidRPr="00C058F3">
        <w:rPr>
          <w:rFonts w:hint="eastAsia"/>
        </w:rPr>
        <w:t>84</w:t>
      </w:r>
      <w:r w:rsidR="000F5D1D" w:rsidRPr="00C058F3">
        <w:rPr>
          <w:rFonts w:hint="eastAsia"/>
        </w:rPr>
        <w:t>条</w:t>
      </w:r>
      <w:r w:rsidRPr="00C058F3">
        <w:rPr>
          <w:rFonts w:hint="eastAsia"/>
        </w:rPr>
        <w:t>有效</w:t>
      </w:r>
      <w:r w:rsidR="003737B1">
        <w:rPr>
          <w:rFonts w:hint="eastAsia"/>
        </w:rPr>
        <w:t>测试</w:t>
      </w:r>
      <w:r w:rsidRPr="00C058F3">
        <w:rPr>
          <w:rFonts w:hint="eastAsia"/>
        </w:rPr>
        <w:t>样本，</w:t>
      </w:r>
      <w:r w:rsidR="003737B1" w:rsidRPr="003737B1">
        <w:rPr>
          <w:rFonts w:hint="eastAsia"/>
        </w:rPr>
        <w:t>模型无漏抽样本</w:t>
      </w:r>
      <w:r w:rsidR="003737B1">
        <w:rPr>
          <w:rFonts w:hint="eastAsia"/>
        </w:rPr>
        <w:t>，</w:t>
      </w:r>
      <w:r w:rsidRPr="00C058F3">
        <w:rPr>
          <w:rFonts w:hint="eastAsia"/>
        </w:rPr>
        <w:t>自动抽取</w:t>
      </w:r>
      <w:r w:rsidR="00A73920">
        <w:rPr>
          <w:rFonts w:hint="eastAsia"/>
        </w:rPr>
        <w:t>结果</w:t>
      </w:r>
      <w:r w:rsidRPr="00C058F3">
        <w:rPr>
          <w:rFonts w:hint="eastAsia"/>
        </w:rPr>
        <w:t>直接采纳准确率</w:t>
      </w:r>
      <w:r w:rsidR="00A73920">
        <w:rPr>
          <w:rFonts w:hint="eastAsia"/>
        </w:rPr>
        <w:t>达</w:t>
      </w:r>
      <w:r w:rsidRPr="00C058F3">
        <w:rPr>
          <w:rFonts w:hint="eastAsia"/>
        </w:rPr>
        <w:t>66.67%</w:t>
      </w:r>
      <w:r w:rsidRPr="00C058F3">
        <w:rPr>
          <w:rFonts w:hint="eastAsia"/>
        </w:rPr>
        <w:t>，人工复核后可用准确率</w:t>
      </w:r>
      <w:r w:rsidR="00A73920">
        <w:rPr>
          <w:rFonts w:hint="eastAsia"/>
        </w:rPr>
        <w:t>提升至</w:t>
      </w:r>
      <w:r w:rsidRPr="00C058F3">
        <w:rPr>
          <w:rFonts w:hint="eastAsia"/>
        </w:rPr>
        <w:t>80.95%</w:t>
      </w:r>
      <w:r w:rsidRPr="00C058F3">
        <w:rPr>
          <w:rFonts w:hint="eastAsia"/>
        </w:rPr>
        <w:t>，</w:t>
      </w:r>
      <w:r w:rsidR="00A73920">
        <w:rPr>
          <w:rFonts w:hint="eastAsia"/>
        </w:rPr>
        <w:t>整体抽取性能具备落地可靠性</w:t>
      </w:r>
      <w:r w:rsidRPr="00C058F3">
        <w:rPr>
          <w:rFonts w:hint="eastAsia"/>
        </w:rPr>
        <w:t>。</w:t>
      </w:r>
    </w:p>
    <w:p w14:paraId="335B5DED" w14:textId="1D936D50" w:rsidR="00A02BAC" w:rsidRDefault="00E93CBC">
      <w:r>
        <w:rPr>
          <w:rFonts w:hint="eastAsia"/>
        </w:rPr>
        <w:t>本方案设计的平台</w:t>
      </w:r>
      <w:r w:rsidRPr="00E93CBC">
        <w:rPr>
          <w:rFonts w:hint="eastAsia"/>
        </w:rPr>
        <w:t>适用于企业</w:t>
      </w:r>
      <w:r w:rsidRPr="00E93CBC">
        <w:rPr>
          <w:rFonts w:hint="eastAsia"/>
        </w:rPr>
        <w:t>ESG</w:t>
      </w:r>
      <w:r w:rsidRPr="00E93CBC">
        <w:rPr>
          <w:rFonts w:hint="eastAsia"/>
        </w:rPr>
        <w:t>管理、投资机构分析、监管审查、科研数据分析</w:t>
      </w:r>
      <w:r>
        <w:rPr>
          <w:rFonts w:hint="eastAsia"/>
        </w:rPr>
        <w:t>等</w:t>
      </w:r>
      <w:r w:rsidRPr="00E93CBC">
        <w:rPr>
          <w:rFonts w:hint="eastAsia"/>
        </w:rPr>
        <w:t>场景，将非结构化</w:t>
      </w:r>
      <w:r w:rsidRPr="00E93CBC">
        <w:rPr>
          <w:rFonts w:hint="eastAsia"/>
        </w:rPr>
        <w:t>PDF</w:t>
      </w:r>
      <w:r w:rsidRPr="00E93CBC">
        <w:rPr>
          <w:rFonts w:hint="eastAsia"/>
        </w:rPr>
        <w:t>转化为可追溯的标准化数据，减少人工成本，也为复杂文档智能解析提供可行技术路径</w:t>
      </w:r>
      <w:r>
        <w:rPr>
          <w:rFonts w:hint="eastAsia"/>
        </w:rPr>
        <w:t>。</w:t>
      </w:r>
    </w:p>
    <w:p w14:paraId="04F26F56" w14:textId="0539B951"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sidR="00816FF8">
        <w:rPr>
          <w:rFonts w:hint="eastAsia"/>
        </w:rPr>
        <w:t>；</w:t>
      </w:r>
      <w:r>
        <w:rPr>
          <w:rFonts w:hint="eastAsia"/>
        </w:rPr>
        <w:t>RAG</w:t>
      </w:r>
      <w:r w:rsidR="00816FF8">
        <w:rPr>
          <w:rFonts w:hint="eastAsia"/>
        </w:rPr>
        <w:t>；</w:t>
      </w:r>
      <w:r>
        <w:rPr>
          <w:rFonts w:hint="eastAsia"/>
        </w:rPr>
        <w:t>LLM</w:t>
      </w:r>
      <w:r w:rsidR="00816FF8">
        <w:rPr>
          <w:rFonts w:hint="eastAsia"/>
        </w:rPr>
        <w:t>；</w:t>
      </w:r>
      <w:r>
        <w:rPr>
          <w:rFonts w:hint="eastAsia"/>
        </w:rPr>
        <w:t>文档智能解析</w:t>
      </w:r>
      <w:r w:rsidR="00816FF8">
        <w:rPr>
          <w:rFonts w:hint="eastAsia"/>
        </w:rPr>
        <w:t>；</w:t>
      </w:r>
      <w:r>
        <w:rPr>
          <w:rFonts w:hint="eastAsia"/>
        </w:rPr>
        <w:t>结构化信息提取</w:t>
      </w:r>
    </w:p>
    <w:p w14:paraId="5C31ACCE" w14:textId="77777777" w:rsidR="009C07BA" w:rsidRPr="009C07BA" w:rsidRDefault="009C07BA" w:rsidP="009C07BA">
      <w:pPr>
        <w:jc w:val="center"/>
      </w:pPr>
    </w:p>
    <w:p w14:paraId="0F59D165" w14:textId="27546270" w:rsidR="008B1CCD" w:rsidRPr="00CD52D0" w:rsidRDefault="008B1CCD" w:rsidP="008B1CCD">
      <w:pPr>
        <w:pageBreakBefore/>
        <w:ind w:firstLine="562"/>
        <w:jc w:val="center"/>
        <w:rPr>
          <w:rFonts w:ascii="宋体" w:hAnsi="宋体" w:hint="eastAsia"/>
          <w:b/>
          <w:bCs/>
          <w:sz w:val="32"/>
          <w:szCs w:val="32"/>
        </w:rPr>
      </w:pPr>
      <w:r w:rsidRPr="00CD52D0">
        <w:rPr>
          <w:rFonts w:ascii="宋体" w:hAnsi="宋体" w:hint="eastAsia"/>
          <w:b/>
          <w:bCs/>
          <w:sz w:val="28"/>
          <w:szCs w:val="28"/>
        </w:rPr>
        <w:lastRenderedPageBreak/>
        <w:t xml:space="preserve">目 </w:t>
      </w:r>
      <w:r w:rsidR="00CD52D0" w:rsidRPr="00CD52D0">
        <w:rPr>
          <w:rFonts w:ascii="宋体" w:hAnsi="宋体" w:hint="eastAsia"/>
          <w:b/>
          <w:bCs/>
          <w:sz w:val="28"/>
          <w:szCs w:val="28"/>
        </w:rPr>
        <w:t xml:space="preserve"> </w:t>
      </w:r>
      <w:r w:rsidRPr="00CD52D0">
        <w:rPr>
          <w:rFonts w:ascii="宋体" w:hAnsi="宋体" w:hint="eastAsia"/>
          <w:b/>
          <w:bCs/>
          <w:sz w:val="28"/>
          <w:szCs w:val="28"/>
        </w:rPr>
        <w:t>录</w:t>
      </w:r>
    </w:p>
    <w:p w14:paraId="2406C91A" w14:textId="7C36239E" w:rsidR="00E305C3" w:rsidRDefault="008B1CCD"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sidR="00E305C3">
        <w:rPr>
          <w:rFonts w:hint="eastAsia"/>
          <w:noProof/>
        </w:rPr>
        <w:t>摘</w:t>
      </w:r>
      <w:r w:rsidR="00E305C3">
        <w:rPr>
          <w:rFonts w:hint="eastAsia"/>
          <w:noProof/>
        </w:rPr>
        <w:t xml:space="preserve">  </w:t>
      </w:r>
      <w:r w:rsidR="00E305C3">
        <w:rPr>
          <w:rFonts w:hint="eastAsia"/>
          <w:noProof/>
        </w:rPr>
        <w:t>要</w:t>
      </w:r>
      <w:r w:rsidR="00E305C3">
        <w:rPr>
          <w:rFonts w:hint="eastAsia"/>
          <w:noProof/>
        </w:rPr>
        <w:tab/>
      </w:r>
      <w:r w:rsidR="00E305C3">
        <w:rPr>
          <w:rFonts w:hint="eastAsia"/>
          <w:noProof/>
        </w:rPr>
        <w:fldChar w:fldCharType="begin"/>
      </w:r>
      <w:r w:rsidR="00E305C3">
        <w:rPr>
          <w:rFonts w:hint="eastAsia"/>
          <w:noProof/>
        </w:rPr>
        <w:instrText xml:space="preserve"> </w:instrText>
      </w:r>
      <w:r w:rsidR="00E305C3">
        <w:rPr>
          <w:noProof/>
        </w:rPr>
        <w:instrText>PAGEREF _Toc233668278 \h</w:instrText>
      </w:r>
      <w:r w:rsidR="00E305C3">
        <w:rPr>
          <w:rFonts w:hint="eastAsia"/>
          <w:noProof/>
        </w:rPr>
        <w:instrText xml:space="preserve"> </w:instrText>
      </w:r>
      <w:r w:rsidR="00E305C3">
        <w:rPr>
          <w:rFonts w:hint="eastAsia"/>
          <w:noProof/>
        </w:rPr>
      </w:r>
      <w:r w:rsidR="00E305C3">
        <w:rPr>
          <w:rFonts w:hint="eastAsia"/>
          <w:noProof/>
        </w:rPr>
        <w:fldChar w:fldCharType="separate"/>
      </w:r>
      <w:r w:rsidR="002754E9">
        <w:rPr>
          <w:noProof/>
        </w:rPr>
        <w:t>II</w:t>
      </w:r>
      <w:r w:rsidR="00E305C3">
        <w:rPr>
          <w:rFonts w:hint="eastAsia"/>
          <w:noProof/>
        </w:rPr>
        <w:fldChar w:fldCharType="end"/>
      </w:r>
    </w:p>
    <w:p w14:paraId="335DA783" w14:textId="063AC5BA"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_Toc233668279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2AF027DB" w14:textId="3F7BE5D2"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_Toc233668280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5A35B92D" w14:textId="365F60D0"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_Toc233668281 \h</w:instrText>
      </w:r>
      <w:r>
        <w:rPr>
          <w:rFonts w:hint="eastAsia"/>
          <w:noProof/>
        </w:rPr>
        <w:instrText xml:space="preserve"> </w:instrText>
      </w:r>
      <w:r>
        <w:rPr>
          <w:rFonts w:hint="eastAsia"/>
          <w:noProof/>
        </w:rPr>
      </w:r>
      <w:r>
        <w:rPr>
          <w:rFonts w:hint="eastAsia"/>
          <w:noProof/>
        </w:rPr>
        <w:fldChar w:fldCharType="separate"/>
      </w:r>
      <w:r w:rsidR="002754E9">
        <w:rPr>
          <w:noProof/>
        </w:rPr>
        <w:t>2</w:t>
      </w:r>
      <w:r>
        <w:rPr>
          <w:rFonts w:hint="eastAsia"/>
          <w:noProof/>
        </w:rPr>
        <w:fldChar w:fldCharType="end"/>
      </w:r>
    </w:p>
    <w:p w14:paraId="5A0DCB2A" w14:textId="3BC0276E"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_Toc233668282 \h</w:instrText>
      </w:r>
      <w:r>
        <w:rPr>
          <w:rFonts w:hint="eastAsia"/>
          <w:noProof/>
        </w:rPr>
        <w:instrText xml:space="preserve"> </w:instrText>
      </w:r>
      <w:r>
        <w:rPr>
          <w:rFonts w:hint="eastAsia"/>
          <w:noProof/>
        </w:rPr>
      </w:r>
      <w:r>
        <w:rPr>
          <w:rFonts w:hint="eastAsia"/>
          <w:noProof/>
        </w:rPr>
        <w:fldChar w:fldCharType="separate"/>
      </w:r>
      <w:r w:rsidR="002754E9">
        <w:rPr>
          <w:noProof/>
        </w:rPr>
        <w:t>4</w:t>
      </w:r>
      <w:r>
        <w:rPr>
          <w:rFonts w:hint="eastAsia"/>
          <w:noProof/>
        </w:rPr>
        <w:fldChar w:fldCharType="end"/>
      </w:r>
    </w:p>
    <w:p w14:paraId="5E37DF9A" w14:textId="2D747D28"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2.</w:t>
      </w:r>
      <w:r>
        <w:rPr>
          <w:rFonts w:hint="eastAsia"/>
          <w:noProof/>
        </w:rPr>
        <w:t xml:space="preserve"> ESG</w:t>
      </w:r>
      <w:r>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_Toc233668283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2089EC84" w14:textId="2F7DD9C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_Toc233668284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66434810" w14:textId="0698538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_Toc233668285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3E306BEC" w14:textId="0612B58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_Toc233668286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62A91BF7" w14:textId="7C9086E2"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2.4 </w:t>
      </w:r>
      <w:r>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_Toc233668287 \h</w:instrText>
      </w:r>
      <w:r>
        <w:rPr>
          <w:rFonts w:hint="eastAsia"/>
          <w:noProof/>
        </w:rPr>
        <w:instrText xml:space="preserve"> </w:instrText>
      </w:r>
      <w:r>
        <w:rPr>
          <w:rFonts w:hint="eastAsia"/>
          <w:noProof/>
        </w:rPr>
      </w:r>
      <w:r>
        <w:rPr>
          <w:rFonts w:hint="eastAsia"/>
          <w:noProof/>
        </w:rPr>
        <w:fldChar w:fldCharType="separate"/>
      </w:r>
      <w:r w:rsidR="002754E9">
        <w:rPr>
          <w:noProof/>
        </w:rPr>
        <w:t>11</w:t>
      </w:r>
      <w:r>
        <w:rPr>
          <w:rFonts w:hint="eastAsia"/>
          <w:noProof/>
        </w:rPr>
        <w:fldChar w:fldCharType="end"/>
      </w:r>
    </w:p>
    <w:p w14:paraId="0CA2CDC4" w14:textId="6C88667D"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3.</w:t>
      </w:r>
      <w:r>
        <w:rPr>
          <w:rFonts w:hint="eastAsia"/>
          <w:noProof/>
        </w:rPr>
        <w:t xml:space="preserve"> </w:t>
      </w:r>
      <w:r>
        <w:rPr>
          <w:rFonts w:hint="eastAsia"/>
          <w:noProof/>
        </w:rPr>
        <w:t>基于</w:t>
      </w:r>
      <w:r>
        <w:rPr>
          <w:rFonts w:hint="eastAsia"/>
          <w:noProof/>
        </w:rPr>
        <w:t>RAG</w:t>
      </w:r>
      <w:r>
        <w:rPr>
          <w:rFonts w:hint="eastAsia"/>
          <w:noProof/>
        </w:rPr>
        <w:t>与大模型的</w:t>
      </w:r>
      <w:r>
        <w:rPr>
          <w:rFonts w:hint="eastAsia"/>
          <w:noProof/>
        </w:rPr>
        <w:t>ESG</w:t>
      </w:r>
      <w:r>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_Toc233668288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5CBC956B" w14:textId="2E10122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_Toc233668289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49BD1312" w14:textId="39EA779D"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_Toc233668290 \h</w:instrText>
      </w:r>
      <w:r>
        <w:rPr>
          <w:rFonts w:hint="eastAsia"/>
          <w:noProof/>
        </w:rPr>
        <w:instrText xml:space="preserve"> </w:instrText>
      </w:r>
      <w:r>
        <w:rPr>
          <w:rFonts w:hint="eastAsia"/>
          <w:noProof/>
        </w:rPr>
      </w:r>
      <w:r>
        <w:rPr>
          <w:rFonts w:hint="eastAsia"/>
          <w:noProof/>
        </w:rPr>
        <w:fldChar w:fldCharType="separate"/>
      </w:r>
      <w:r w:rsidR="002754E9">
        <w:rPr>
          <w:noProof/>
        </w:rPr>
        <w:t>16</w:t>
      </w:r>
      <w:r>
        <w:rPr>
          <w:rFonts w:hint="eastAsia"/>
          <w:noProof/>
        </w:rPr>
        <w:fldChar w:fldCharType="end"/>
      </w:r>
    </w:p>
    <w:p w14:paraId="75917446" w14:textId="39F68DC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_Toc233668291 \h</w:instrText>
      </w:r>
      <w:r>
        <w:rPr>
          <w:rFonts w:hint="eastAsia"/>
          <w:noProof/>
        </w:rPr>
        <w:instrText xml:space="preserve"> </w:instrText>
      </w:r>
      <w:r>
        <w:rPr>
          <w:rFonts w:hint="eastAsia"/>
          <w:noProof/>
        </w:rPr>
      </w:r>
      <w:r>
        <w:rPr>
          <w:rFonts w:hint="eastAsia"/>
          <w:noProof/>
        </w:rPr>
        <w:fldChar w:fldCharType="separate"/>
      </w:r>
      <w:r w:rsidR="002754E9">
        <w:rPr>
          <w:noProof/>
        </w:rPr>
        <w:t>17</w:t>
      </w:r>
      <w:r>
        <w:rPr>
          <w:rFonts w:hint="eastAsia"/>
          <w:noProof/>
        </w:rPr>
        <w:fldChar w:fldCharType="end"/>
      </w:r>
    </w:p>
    <w:p w14:paraId="6826A05B" w14:textId="0D577D8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_Toc233668292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2CE2B7E0" w14:textId="417EB37F"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3.5 </w:t>
      </w:r>
      <w:r>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_Toc233668293 \h</w:instrText>
      </w:r>
      <w:r>
        <w:rPr>
          <w:rFonts w:hint="eastAsia"/>
          <w:noProof/>
        </w:rPr>
        <w:instrText xml:space="preserve"> </w:instrText>
      </w:r>
      <w:r>
        <w:rPr>
          <w:rFonts w:hint="eastAsia"/>
          <w:noProof/>
        </w:rPr>
      </w:r>
      <w:r>
        <w:rPr>
          <w:rFonts w:hint="eastAsia"/>
          <w:noProof/>
        </w:rPr>
        <w:fldChar w:fldCharType="separate"/>
      </w:r>
      <w:r w:rsidR="002754E9">
        <w:rPr>
          <w:noProof/>
        </w:rPr>
        <w:t>21</w:t>
      </w:r>
      <w:r>
        <w:rPr>
          <w:rFonts w:hint="eastAsia"/>
          <w:noProof/>
        </w:rPr>
        <w:fldChar w:fldCharType="end"/>
      </w:r>
    </w:p>
    <w:p w14:paraId="10B4C6AC" w14:textId="3319A42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4.</w:t>
      </w:r>
      <w:r>
        <w:rPr>
          <w:rFonts w:hint="eastAsia"/>
          <w:noProof/>
        </w:rPr>
        <w:t xml:space="preserve"> ESGMiner</w:t>
      </w:r>
      <w:r>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_Toc233668294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0236741A" w14:textId="1C8B79A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_Toc233668295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7E10C516" w14:textId="4ED782A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_Toc233668296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6465CD4F" w14:textId="32B1C39A"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_Toc233668297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0824B42" w14:textId="54791E7C"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_Toc233668298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118DEA9C" w14:textId="3F352542"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_Toc233668299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0C6E2F07" w14:textId="4BD54A98"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5.1 </w:t>
      </w:r>
      <w:r w:rsidRPr="00657C1C">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_Toc233668300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7A0ED68A" w14:textId="7C0D84F1"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5.2 </w:t>
      </w:r>
      <w:r w:rsidRPr="00657C1C">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_Toc233668301 \h</w:instrText>
      </w:r>
      <w:r>
        <w:rPr>
          <w:rFonts w:hint="eastAsia"/>
          <w:noProof/>
        </w:rPr>
        <w:instrText xml:space="preserve"> </w:instrText>
      </w:r>
      <w:r>
        <w:rPr>
          <w:rFonts w:hint="eastAsia"/>
          <w:noProof/>
        </w:rPr>
      </w:r>
      <w:r>
        <w:rPr>
          <w:rFonts w:hint="eastAsia"/>
          <w:noProof/>
        </w:rPr>
        <w:fldChar w:fldCharType="separate"/>
      </w:r>
      <w:r w:rsidR="002754E9">
        <w:rPr>
          <w:noProof/>
        </w:rPr>
        <w:t>30</w:t>
      </w:r>
      <w:r>
        <w:rPr>
          <w:rFonts w:hint="eastAsia"/>
          <w:noProof/>
        </w:rPr>
        <w:fldChar w:fldCharType="end"/>
      </w:r>
    </w:p>
    <w:p w14:paraId="26495269" w14:textId="220CBA1F"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6.</w:t>
      </w:r>
      <w:r>
        <w:rPr>
          <w:rFonts w:hint="eastAsia"/>
          <w:noProof/>
        </w:rPr>
        <w:t xml:space="preserve"> </w:t>
      </w:r>
      <w:r>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_Toc233668302 \h</w:instrText>
      </w:r>
      <w:r>
        <w:rPr>
          <w:rFonts w:hint="eastAsia"/>
          <w:noProof/>
        </w:rPr>
        <w:instrText xml:space="preserve"> </w:instrText>
      </w:r>
      <w:r>
        <w:rPr>
          <w:rFonts w:hint="eastAsia"/>
          <w:noProof/>
        </w:rPr>
      </w:r>
      <w:r>
        <w:rPr>
          <w:rFonts w:hint="eastAsia"/>
          <w:noProof/>
        </w:rPr>
        <w:fldChar w:fldCharType="separate"/>
      </w:r>
      <w:r w:rsidR="002754E9">
        <w:rPr>
          <w:noProof/>
        </w:rPr>
        <w:t>31</w:t>
      </w:r>
      <w:r>
        <w:rPr>
          <w:rFonts w:hint="eastAsia"/>
          <w:noProof/>
        </w:rPr>
        <w:fldChar w:fldCharType="end"/>
      </w:r>
    </w:p>
    <w:p w14:paraId="65EB5DBC" w14:textId="6FB2CE55"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_Toc233668303 \h</w:instrText>
      </w:r>
      <w:r>
        <w:rPr>
          <w:rFonts w:hint="eastAsia"/>
          <w:noProof/>
        </w:rPr>
        <w:instrText xml:space="preserve"> </w:instrText>
      </w:r>
      <w:r>
        <w:rPr>
          <w:rFonts w:hint="eastAsia"/>
          <w:noProof/>
        </w:rPr>
      </w:r>
      <w:r>
        <w:rPr>
          <w:rFonts w:hint="eastAsia"/>
          <w:noProof/>
        </w:rPr>
        <w:fldChar w:fldCharType="separate"/>
      </w:r>
      <w:r w:rsidR="002754E9">
        <w:rPr>
          <w:noProof/>
        </w:rPr>
        <w:t>33</w:t>
      </w:r>
      <w:r>
        <w:rPr>
          <w:rFonts w:hint="eastAsia"/>
          <w:noProof/>
        </w:rPr>
        <w:fldChar w:fldCharType="end"/>
      </w:r>
    </w:p>
    <w:p w14:paraId="0A51C0CB" w14:textId="1177DC1A" w:rsidR="00A02BAC" w:rsidRPr="008B1CCD" w:rsidRDefault="008B1CCD" w:rsidP="00096BD4">
      <w:pPr>
        <w:ind w:firstLineChars="0" w:firstLine="0"/>
        <w:jc w:val="center"/>
        <w:rPr>
          <w:rFonts w:ascii="宋体" w:hAnsi="宋体" w:hint="eastAsia"/>
        </w:rPr>
        <w:sectPr w:rsidR="00A02BAC" w:rsidRPr="008B1CCD" w:rsidSect="009C07BA">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fmt="upperRoman" w:start="1"/>
          <w:cols w:space="425"/>
          <w:docGrid w:type="lines" w:linePitch="312"/>
        </w:sectPr>
      </w:pPr>
      <w:r>
        <w:rPr>
          <w:rFonts w:ascii="宋体" w:hAnsi="宋体" w:hint="eastAsia"/>
        </w:rPr>
        <w:fldChar w:fldCharType="end"/>
      </w:r>
    </w:p>
    <w:p w14:paraId="7208A2A7" w14:textId="04F72F5D" w:rsidR="00DA6AA7" w:rsidRPr="00DA6AA7" w:rsidRDefault="00DA6AA7" w:rsidP="00DA6AA7">
      <w:pPr>
        <w:pageBreakBefore/>
        <w:ind w:firstLine="560"/>
        <w:jc w:val="center"/>
        <w:rPr>
          <w:rFonts w:ascii="宋体" w:hAnsi="宋体" w:hint="eastAsia"/>
          <w:b/>
          <w:sz w:val="32"/>
          <w:szCs w:val="32"/>
        </w:rPr>
      </w:pPr>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2C047556" w14:textId="3DDA8520" w:rsidR="00452A64" w:rsidRDefault="00DA6AA7"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00452A64" w:rsidRPr="00FB46B5">
        <w:rPr>
          <w:rFonts w:hint="eastAsia"/>
          <w:noProof/>
        </w:rPr>
        <w:t>图</w:t>
      </w:r>
      <w:r w:rsidR="00452A64" w:rsidRPr="00FB46B5">
        <w:rPr>
          <w:rFonts w:hint="eastAsia"/>
          <w:noProof/>
        </w:rPr>
        <w:t xml:space="preserve"> 1  </w:t>
      </w:r>
      <w:r w:rsidR="00452A64" w:rsidRPr="00FB46B5">
        <w:rPr>
          <w:rFonts w:hint="eastAsia"/>
          <w:noProof/>
        </w:rPr>
        <w:t>技术路线图</w:t>
      </w:r>
      <w:r w:rsidR="00452A64">
        <w:rPr>
          <w:rFonts w:hint="eastAsia"/>
          <w:noProof/>
        </w:rPr>
        <w:tab/>
      </w:r>
      <w:r w:rsidR="00452A64">
        <w:rPr>
          <w:rFonts w:hint="eastAsia"/>
          <w:noProof/>
        </w:rPr>
        <w:fldChar w:fldCharType="begin"/>
      </w:r>
      <w:r w:rsidR="00452A64">
        <w:rPr>
          <w:rFonts w:hint="eastAsia"/>
          <w:noProof/>
        </w:rPr>
        <w:instrText xml:space="preserve"> </w:instrText>
      </w:r>
      <w:r w:rsidR="00452A64">
        <w:rPr>
          <w:noProof/>
        </w:rPr>
        <w:instrText>PAGEREF _Toc233659576 \h</w:instrText>
      </w:r>
      <w:r w:rsidR="00452A64">
        <w:rPr>
          <w:rFonts w:hint="eastAsia"/>
          <w:noProof/>
        </w:rPr>
        <w:instrText xml:space="preserve"> </w:instrText>
      </w:r>
      <w:r w:rsidR="00452A64">
        <w:rPr>
          <w:rFonts w:hint="eastAsia"/>
          <w:noProof/>
        </w:rPr>
      </w:r>
      <w:r w:rsidR="00452A64">
        <w:rPr>
          <w:rFonts w:hint="eastAsia"/>
          <w:noProof/>
        </w:rPr>
        <w:fldChar w:fldCharType="separate"/>
      </w:r>
      <w:r w:rsidR="002754E9">
        <w:rPr>
          <w:noProof/>
        </w:rPr>
        <w:t>3</w:t>
      </w:r>
      <w:r w:rsidR="00452A64">
        <w:rPr>
          <w:rFonts w:hint="eastAsia"/>
          <w:noProof/>
        </w:rPr>
        <w:fldChar w:fldCharType="end"/>
      </w:r>
    </w:p>
    <w:p w14:paraId="421635B0" w14:textId="2B3F8DA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2  ESG</w:t>
      </w:r>
      <w:r w:rsidRPr="00FB46B5">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_Toc233659577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69168BC8" w14:textId="17E26B0F"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3  </w:t>
      </w:r>
      <w:r w:rsidRPr="00FB46B5">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_Toc233659578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20FD789C" w14:textId="681B2E13"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_Toc233659579 \h</w:instrText>
      </w:r>
      <w:r>
        <w:rPr>
          <w:rFonts w:hint="eastAsia"/>
          <w:noProof/>
        </w:rPr>
        <w:instrText xml:space="preserve"> </w:instrText>
      </w:r>
      <w:r>
        <w:rPr>
          <w:rFonts w:hint="eastAsia"/>
          <w:noProof/>
        </w:rPr>
      </w:r>
      <w:r>
        <w:rPr>
          <w:rFonts w:hint="eastAsia"/>
          <w:noProof/>
        </w:rPr>
        <w:fldChar w:fldCharType="separate"/>
      </w:r>
      <w:r w:rsidR="002754E9">
        <w:rPr>
          <w:noProof/>
        </w:rPr>
        <w:t>9</w:t>
      </w:r>
      <w:r>
        <w:rPr>
          <w:rFonts w:hint="eastAsia"/>
          <w:noProof/>
        </w:rPr>
        <w:fldChar w:fldCharType="end"/>
      </w:r>
    </w:p>
    <w:p w14:paraId="3708C34D" w14:textId="69309DA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_Toc233659580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66393783" w14:textId="51A52A7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6  LLM</w:t>
      </w:r>
      <w:r>
        <w:rPr>
          <w:rFonts w:hint="eastAsia"/>
          <w:noProof/>
        </w:rPr>
        <w:t>字段提取流程图</w:t>
      </w:r>
      <w:r>
        <w:rPr>
          <w:rFonts w:hint="eastAsia"/>
          <w:noProof/>
        </w:rPr>
        <w:tab/>
      </w:r>
      <w:r>
        <w:rPr>
          <w:rFonts w:hint="eastAsia"/>
          <w:noProof/>
        </w:rPr>
        <w:fldChar w:fldCharType="begin"/>
      </w:r>
      <w:r>
        <w:rPr>
          <w:rFonts w:hint="eastAsia"/>
          <w:noProof/>
        </w:rPr>
        <w:instrText xml:space="preserve"> </w:instrText>
      </w:r>
      <w:r>
        <w:rPr>
          <w:noProof/>
        </w:rPr>
        <w:instrText>PAGEREF _Toc233659581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3C1394ED" w14:textId="471A9C8B"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7  </w:t>
      </w:r>
      <w:r w:rsidRPr="00FB46B5">
        <w:rPr>
          <w:rFonts w:hint="eastAsia"/>
          <w:noProof/>
        </w:rPr>
        <w:t>模型性能指标图</w:t>
      </w:r>
      <w:r>
        <w:rPr>
          <w:rFonts w:hint="eastAsia"/>
          <w:noProof/>
        </w:rPr>
        <w:tab/>
      </w:r>
      <w:r>
        <w:rPr>
          <w:rFonts w:hint="eastAsia"/>
          <w:noProof/>
        </w:rPr>
        <w:fldChar w:fldCharType="begin"/>
      </w:r>
      <w:r>
        <w:rPr>
          <w:rFonts w:hint="eastAsia"/>
          <w:noProof/>
        </w:rPr>
        <w:instrText xml:space="preserve"> </w:instrText>
      </w:r>
      <w:r>
        <w:rPr>
          <w:noProof/>
        </w:rPr>
        <w:instrText>PAGEREF _Toc233659582 \h</w:instrText>
      </w:r>
      <w:r>
        <w:rPr>
          <w:rFonts w:hint="eastAsia"/>
          <w:noProof/>
        </w:rPr>
        <w:instrText xml:space="preserve"> </w:instrText>
      </w:r>
      <w:r>
        <w:rPr>
          <w:rFonts w:hint="eastAsia"/>
          <w:noProof/>
        </w:rPr>
      </w:r>
      <w:r>
        <w:rPr>
          <w:rFonts w:hint="eastAsia"/>
          <w:noProof/>
        </w:rPr>
        <w:fldChar w:fldCharType="separate"/>
      </w:r>
      <w:r w:rsidR="002754E9">
        <w:rPr>
          <w:noProof/>
        </w:rPr>
        <w:t>22</w:t>
      </w:r>
      <w:r>
        <w:rPr>
          <w:rFonts w:hint="eastAsia"/>
          <w:noProof/>
        </w:rPr>
        <w:fldChar w:fldCharType="end"/>
      </w:r>
    </w:p>
    <w:p w14:paraId="564516FF" w14:textId="546559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8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_Toc233659583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339018BE" w14:textId="7F68C45D"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9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_Toc233659584 \h</w:instrText>
      </w:r>
      <w:r>
        <w:rPr>
          <w:rFonts w:hint="eastAsia"/>
          <w:noProof/>
        </w:rPr>
        <w:instrText xml:space="preserve"> </w:instrText>
      </w:r>
      <w:r>
        <w:rPr>
          <w:rFonts w:hint="eastAsia"/>
          <w:noProof/>
        </w:rPr>
      </w:r>
      <w:r>
        <w:rPr>
          <w:rFonts w:hint="eastAsia"/>
          <w:noProof/>
        </w:rPr>
        <w:fldChar w:fldCharType="separate"/>
      </w:r>
      <w:r w:rsidR="002754E9">
        <w:rPr>
          <w:noProof/>
        </w:rPr>
        <w:t>24</w:t>
      </w:r>
      <w:r>
        <w:rPr>
          <w:rFonts w:hint="eastAsia"/>
          <w:noProof/>
        </w:rPr>
        <w:fldChar w:fldCharType="end"/>
      </w:r>
    </w:p>
    <w:p w14:paraId="3A11FE46" w14:textId="11E9ECF8"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10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_Toc233659585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5F54A7AF" w14:textId="3D83AA3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11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_Toc233659586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4DB1BFC3" w14:textId="787BB9A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12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_Toc233659587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71677DA" w14:textId="3B24EFE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13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_Toc233659588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7400C221" w14:textId="1AE140BE"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14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_Toc233659589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40DCD9C4" w14:textId="77777777" w:rsidR="00452A64" w:rsidRDefault="00DA6AA7" w:rsidP="00096BD4">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143AC2A0" w14:textId="4024F4BA"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_Toc233659590 \h</w:instrText>
      </w:r>
      <w:r>
        <w:rPr>
          <w:rFonts w:hint="eastAsia"/>
          <w:noProof/>
        </w:rPr>
        <w:instrText xml:space="preserve"> </w:instrText>
      </w:r>
      <w:r>
        <w:rPr>
          <w:rFonts w:hint="eastAsia"/>
          <w:noProof/>
        </w:rPr>
      </w:r>
      <w:r>
        <w:rPr>
          <w:rFonts w:hint="eastAsia"/>
          <w:noProof/>
        </w:rPr>
        <w:fldChar w:fldCharType="separate"/>
      </w:r>
      <w:r w:rsidR="002754E9">
        <w:rPr>
          <w:noProof/>
        </w:rPr>
        <w:t>8</w:t>
      </w:r>
      <w:r>
        <w:rPr>
          <w:rFonts w:hint="eastAsia"/>
          <w:noProof/>
        </w:rPr>
        <w:fldChar w:fldCharType="end"/>
      </w:r>
    </w:p>
    <w:p w14:paraId="2D49359D" w14:textId="36CFE7F2"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2E5EEE">
        <w:rPr>
          <w:rFonts w:hint="eastAsia"/>
          <w:noProof/>
        </w:rPr>
        <w:t>表</w:t>
      </w:r>
      <w:r w:rsidRPr="002E5EEE">
        <w:rPr>
          <w:rFonts w:hint="eastAsia"/>
          <w:noProof/>
        </w:rPr>
        <w:t xml:space="preserve"> 2  </w:t>
      </w:r>
      <w:r w:rsidRPr="002E5EEE">
        <w:rPr>
          <w:rFonts w:hint="eastAsia"/>
          <w:noProof/>
        </w:rPr>
        <w:t>性能指标说明</w:t>
      </w:r>
      <w:r>
        <w:rPr>
          <w:rFonts w:hint="eastAsia"/>
          <w:noProof/>
        </w:rPr>
        <w:tab/>
      </w:r>
      <w:r>
        <w:rPr>
          <w:rFonts w:hint="eastAsia"/>
          <w:noProof/>
        </w:rPr>
        <w:fldChar w:fldCharType="begin"/>
      </w:r>
      <w:r>
        <w:rPr>
          <w:rFonts w:hint="eastAsia"/>
          <w:noProof/>
        </w:rPr>
        <w:instrText xml:space="preserve"> </w:instrText>
      </w:r>
      <w:r>
        <w:rPr>
          <w:noProof/>
        </w:rPr>
        <w:instrText>PAGEREF _Toc233659591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6C9A986E" w14:textId="23FD1DF9"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_Toc233659592 \h</w:instrText>
      </w:r>
      <w:r>
        <w:rPr>
          <w:rFonts w:hint="eastAsia"/>
          <w:noProof/>
        </w:rPr>
        <w:instrText xml:space="preserve"> </w:instrText>
      </w:r>
      <w:r>
        <w:rPr>
          <w:rFonts w:hint="eastAsia"/>
          <w:noProof/>
        </w:rPr>
      </w:r>
      <w:r>
        <w:rPr>
          <w:rFonts w:hint="eastAsia"/>
          <w:noProof/>
        </w:rPr>
        <w:fldChar w:fldCharType="separate"/>
      </w:r>
      <w:r w:rsidR="002754E9">
        <w:rPr>
          <w:noProof/>
        </w:rPr>
        <w:t>13</w:t>
      </w:r>
      <w:r>
        <w:rPr>
          <w:rFonts w:hint="eastAsia"/>
          <w:noProof/>
        </w:rPr>
        <w:fldChar w:fldCharType="end"/>
      </w:r>
    </w:p>
    <w:p w14:paraId="01D6B059" w14:textId="2C629974"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_Toc233659593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2437E787" w14:textId="3C26EC2D" w:rsidR="00452A64" w:rsidRDefault="00452A64" w:rsidP="00096BD4">
      <w:pPr>
        <w:pStyle w:val="afd"/>
        <w:tabs>
          <w:tab w:val="right" w:leader="dot" w:pos="8302"/>
        </w:tabs>
        <w:ind w:leftChars="0" w:left="0" w:firstLineChars="0" w:firstLine="0"/>
        <w:rPr>
          <w:noProof/>
        </w:rPr>
      </w:pPr>
      <w:r>
        <w:rPr>
          <w:rFonts w:hint="eastAsia"/>
          <w:noProof/>
        </w:rPr>
        <w:t>表</w:t>
      </w:r>
      <w:r>
        <w:rPr>
          <w:rFonts w:hint="eastAsia"/>
          <w:noProof/>
        </w:rPr>
        <w:t xml:space="preserve"> 5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_Toc233659594 \h</w:instrText>
      </w:r>
      <w:r>
        <w:rPr>
          <w:rFonts w:hint="eastAsia"/>
          <w:noProof/>
        </w:rPr>
        <w:instrText xml:space="preserve"> </w:instrText>
      </w:r>
      <w:r>
        <w:rPr>
          <w:rFonts w:hint="eastAsia"/>
          <w:noProof/>
        </w:rPr>
      </w:r>
      <w:r>
        <w:rPr>
          <w:rFonts w:hint="eastAsia"/>
          <w:noProof/>
        </w:rPr>
        <w:fldChar w:fldCharType="separate"/>
      </w:r>
      <w:r w:rsidR="002754E9">
        <w:rPr>
          <w:noProof/>
        </w:rPr>
        <w:t>18</w:t>
      </w:r>
      <w:r>
        <w:rPr>
          <w:rFonts w:hint="eastAsia"/>
          <w:noProof/>
        </w:rPr>
        <w:fldChar w:fldCharType="end"/>
      </w:r>
    </w:p>
    <w:p w14:paraId="739D24D4" w14:textId="77777777" w:rsidR="00452A64" w:rsidRDefault="00452A64" w:rsidP="00096BD4">
      <w:pPr>
        <w:ind w:firstLineChars="0" w:firstLine="0"/>
        <w:rPr>
          <w:noProof/>
        </w:rPr>
      </w:pPr>
    </w:p>
    <w:p w14:paraId="4229FCAF" w14:textId="77777777" w:rsidR="00615079" w:rsidRPr="00452A64" w:rsidRDefault="00615079" w:rsidP="00096BD4">
      <w:pPr>
        <w:ind w:firstLineChars="0" w:firstLine="0"/>
        <w:rPr>
          <w:noProof/>
        </w:rPr>
      </w:pPr>
    </w:p>
    <w:p w14:paraId="0D960992" w14:textId="77777777" w:rsidR="00452A64" w:rsidRDefault="00452A64" w:rsidP="00096BD4">
      <w:pPr>
        <w:ind w:firstLineChars="0" w:firstLine="0"/>
        <w:rPr>
          <w:noProof/>
        </w:rPr>
        <w:sectPr w:rsidR="00452A64">
          <w:headerReference w:type="even" r:id="rId15"/>
          <w:headerReference w:type="default" r:id="rId16"/>
          <w:footerReference w:type="default" r:id="rId17"/>
          <w:headerReference w:type="first" r:id="rId18"/>
          <w:pgSz w:w="11906" w:h="16838"/>
          <w:pgMar w:top="1440" w:right="1797" w:bottom="1440" w:left="1797" w:header="851" w:footer="992" w:gutter="567"/>
          <w:pgNumType w:start="1"/>
          <w:cols w:space="425"/>
          <w:docGrid w:type="lines" w:linePitch="312"/>
        </w:sectPr>
      </w:pPr>
    </w:p>
    <w:p w14:paraId="39D06C1E" w14:textId="473FCE51" w:rsidR="00A02BAC" w:rsidRDefault="00DA6AA7" w:rsidP="00096BD4">
      <w:pPr>
        <w:pStyle w:val="a"/>
        <w:ind w:left="0"/>
      </w:pPr>
      <w:r>
        <w:lastRenderedPageBreak/>
        <w:fldChar w:fldCharType="end"/>
      </w:r>
      <w:bookmarkStart w:id="1" w:name="_Toc233668279"/>
      <w:r>
        <w:rPr>
          <w:rFonts w:hint="eastAsia"/>
        </w:rPr>
        <w:t>方案概述</w:t>
      </w:r>
      <w:bookmarkEnd w:id="1"/>
    </w:p>
    <w:p w14:paraId="5D7B4776" w14:textId="77777777" w:rsidR="00A02BAC" w:rsidRDefault="00000000" w:rsidP="001200A3">
      <w:pPr>
        <w:pStyle w:val="a0"/>
      </w:pPr>
      <w:bookmarkStart w:id="2" w:name="_Toc233668280"/>
      <w:r>
        <w:rPr>
          <w:rFonts w:hint="eastAsia"/>
        </w:rPr>
        <w:t>方案</w:t>
      </w:r>
      <w:r>
        <w:t>背景</w:t>
      </w:r>
      <w:r>
        <w:rPr>
          <w:rFonts w:hint="eastAsia"/>
        </w:rPr>
        <w:t>及意义</w:t>
      </w:r>
      <w:bookmarkEnd w:id="2"/>
    </w:p>
    <w:p w14:paraId="4A7BDF4C" w14:textId="40FB8CD6"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sidR="00C93415" w:rsidRPr="00490E37">
        <w:rPr>
          <w:vertAlign w:val="superscript"/>
        </w:rPr>
        <w:fldChar w:fldCharType="begin"/>
      </w:r>
      <w:r w:rsidR="00C93415" w:rsidRPr="00490E37">
        <w:rPr>
          <w:vertAlign w:val="superscript"/>
        </w:rPr>
        <w:instrText xml:space="preserve"> REF _Ref233580931 \n \h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[1]</w:t>
      </w:r>
      <w:r w:rsidR="00C93415" w:rsidRPr="00490E37">
        <w:rPr>
          <w:vertAlign w:val="superscript"/>
        </w:rPr>
        <w:fldChar w:fldCharType="end"/>
      </w:r>
      <w:r>
        <w:t>。</w:t>
      </w:r>
      <w:r>
        <w:rPr>
          <w:rFonts w:hint="eastAsia"/>
        </w:rPr>
        <w:t>近年来，</w:t>
      </w:r>
      <w:r>
        <w:rPr>
          <w:rFonts w:hint="eastAsia"/>
        </w:rPr>
        <w:t>ESG</w:t>
      </w:r>
      <w:r>
        <w:rPr>
          <w:rFonts w:hint="eastAsia"/>
        </w:rPr>
        <w:t>报告已成为衡量企业可持续发展能力与长期价值的重要参考框架</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_Ref233580954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[2]</w:t>
      </w:r>
      <w:r w:rsidR="00C93415" w:rsidRPr="00490E37">
        <w:rPr>
          <w:vertAlign w:val="superscript"/>
        </w:rPr>
        <w:fldChar w:fldCharType="end"/>
      </w:r>
      <w:r>
        <w:rPr>
          <w:rFonts w:hint="eastAsia"/>
        </w:rPr>
        <w:t>。随着绿色金融体系不断完善、可持续发展理念持续推进，资本市场对非财务信息的关注度也在</w:t>
      </w:r>
      <w:r w:rsidR="00C93415">
        <w:rPr>
          <w:rFonts w:hint="eastAsia"/>
        </w:rPr>
        <w:t>不断</w:t>
      </w:r>
      <w:r>
        <w:rPr>
          <w:rFonts w:hint="eastAsia"/>
        </w:rPr>
        <w:t>提升</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_Ref233580971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[3]</w:t>
      </w:r>
      <w:r w:rsidR="00C93415" w:rsidRPr="00490E37">
        <w:rPr>
          <w:vertAlign w:val="superscript"/>
        </w:rPr>
        <w:fldChar w:fldCharType="end"/>
      </w:r>
      <w:r>
        <w:rPr>
          <w:rFonts w:hint="eastAsia"/>
        </w:rPr>
        <w:t>。对企业而言，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_Ref233580998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[4]</w:t>
      </w:r>
      <w:r w:rsidR="00D573F5" w:rsidRPr="00490E37">
        <w:rPr>
          <w:vertAlign w:val="superscript"/>
        </w:rPr>
        <w:fldChar w:fldCharType="end"/>
      </w:r>
      <w:r>
        <w:rPr>
          <w:rFonts w:hint="eastAsia"/>
        </w:rPr>
        <w:t>。</w:t>
      </w:r>
    </w:p>
    <w:p w14:paraId="1061693D" w14:textId="340E8A95"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_Ref233581006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[5]</w:t>
      </w:r>
      <w:r w:rsidR="00D573F5" w:rsidRPr="00490E37">
        <w:rPr>
          <w:vertAlign w:val="superscript"/>
        </w:rPr>
        <w:fldChar w:fldCharType="end"/>
      </w:r>
      <w:r>
        <w:rPr>
          <w:rFonts w:hint="eastAsia"/>
        </w:rPr>
        <w:t>。一份完整报告通常篇幅较长，包含封面、目录、管理层致辞、专题案例、图文说明、关键绩效表和指标附录等多类页面</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_Ref233581014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[6]</w:t>
      </w:r>
      <w:r w:rsidR="00D573F5" w:rsidRPr="00490E37">
        <w:rPr>
          <w:vertAlign w:val="superscript"/>
        </w:rPr>
        <w:fldChar w:fldCharType="end"/>
      </w:r>
      <w:r>
        <w:rPr>
          <w:rFonts w:hint="eastAsia"/>
        </w:rPr>
        <w:t>。不同企业、行业和年份之间，在报告版式、指标名称、统计口径和披露深度上均存在差异</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_Ref233581024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[7]</w:t>
      </w:r>
      <w:r w:rsidR="00D573F5" w:rsidRPr="00490E37">
        <w:rPr>
          <w:vertAlign w:val="superscript"/>
        </w:rPr>
        <w:fldChar w:fldCharType="end"/>
      </w:r>
      <w:r>
        <w:rPr>
          <w:rFonts w:hint="eastAsia"/>
        </w:rPr>
        <w:t>。真正具有结构化价值的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_Ref233581067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[8]</w:t>
      </w:r>
      <w:r w:rsidR="00D00433" w:rsidRPr="00490E37">
        <w:rPr>
          <w:vertAlign w:val="superscript"/>
        </w:rPr>
        <w:fldChar w:fldCharType="end"/>
      </w:r>
      <w:r>
        <w:rPr>
          <w:rFonts w:hint="eastAsia"/>
        </w:rPr>
        <w:t>。</w:t>
      </w:r>
    </w:p>
    <w:p w14:paraId="59FF05A4" w14:textId="4648C205"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_Ref233581113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[9]</w:t>
      </w:r>
      <w:r w:rsidR="00D00433" w:rsidRPr="00490E37">
        <w:rPr>
          <w:vertAlign w:val="superscript"/>
        </w:rPr>
        <w:fldChar w:fldCharType="end"/>
      </w:r>
      <w:r>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_Ref233581122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[10]</w:t>
      </w:r>
      <w:r w:rsidR="0032076A" w:rsidRPr="00490E37">
        <w:rPr>
          <w:vertAlign w:val="superscript"/>
        </w:rPr>
        <w:fldChar w:fldCharType="end"/>
      </w:r>
      <w:r>
        <w:rPr>
          <w:rFonts w:hint="eastAsia"/>
        </w:rPr>
        <w:t>。此外，版式复杂同样会增加处理难度，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w:t>
      </w:r>
      <w:r>
        <w:rPr>
          <w:rFonts w:hint="eastAsia"/>
        </w:rPr>
        <w:lastRenderedPageBreak/>
        <w:t>具虽速度较快，但很难稳定还原标题层级、阅读顺序、表格行列关系和图文对应关系</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_Ref233581129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[11]</w:t>
      </w:r>
      <w:r w:rsidR="0032076A" w:rsidRPr="00490E37">
        <w:rPr>
          <w:vertAlign w:val="superscript"/>
        </w:rPr>
        <w:fldChar w:fldCharType="end"/>
      </w:r>
      <w:r>
        <w:rPr>
          <w:rFonts w:hint="eastAsia"/>
        </w:rPr>
        <w:t>。其四，不同企业对同一类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_Ref233581167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[12]</w:t>
      </w:r>
      <w:r w:rsidR="0032076A" w:rsidRPr="00490E37">
        <w:rPr>
          <w:vertAlign w:val="superscript"/>
        </w:rPr>
        <w:fldChar w:fldCharType="end"/>
      </w:r>
      <w:r>
        <w:rPr>
          <w:rFonts w:hint="eastAsia"/>
        </w:rPr>
        <w:t>。</w:t>
      </w:r>
    </w:p>
    <w:p w14:paraId="34F9D090" w14:textId="6B6EA440"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报告场景下仍存在局限。人工整理的理解能力较强，能够结合上下文判断含义，但效率低、成本高，难以支撑多企业、多年度和多行业的批量处理需求</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_Ref233581178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[13]</w:t>
      </w:r>
      <w:r w:rsidR="0032076A" w:rsidRPr="00490E37">
        <w:rPr>
          <w:vertAlign w:val="superscript"/>
        </w:rPr>
        <w:fldChar w:fldCharType="end"/>
      </w:r>
      <w:r>
        <w:rPr>
          <w:rFonts w:hint="eastAsia"/>
        </w:rPr>
        <w:t>；规则或模板抽取方法适合固定格式文档，但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解析工具部署方便、速度快，但遇到复杂表格、扫描页和图文混排内容时，容易丢失结构信息</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_Ref233581183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[14]</w:t>
      </w:r>
      <w:r w:rsidR="005D40EA" w:rsidRPr="00490E37">
        <w:rPr>
          <w:vertAlign w:val="superscript"/>
        </w:rPr>
        <w:fldChar w:fldCharType="end"/>
      </w:r>
      <w:r>
        <w:rPr>
          <w:rFonts w:hint="eastAsia"/>
        </w:rPr>
        <w:t>；高精度文档解析工具可提升复杂页面的结构还原质量，但若对整份长篇报告全部使用</w:t>
      </w:r>
      <w:r w:rsidR="006A1A6D">
        <w:rPr>
          <w:rFonts w:hint="eastAsia"/>
        </w:rPr>
        <w:t>，</w:t>
      </w:r>
      <w:r>
        <w:rPr>
          <w:rFonts w:hint="eastAsia"/>
        </w:rPr>
        <w:t>会明显增加时间和计算成本；直接使用大语言模型处理整篇报告，也会受到上下文长度、低价值页面噪声和调用成本限制</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_Ref233581191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[15]</w:t>
      </w:r>
      <w:r w:rsidR="005D40EA" w:rsidRPr="00490E37">
        <w:rPr>
          <w:vertAlign w:val="superscript"/>
        </w:rPr>
        <w:fldChar w:fldCharType="end"/>
      </w:r>
      <w:r>
        <w:rPr>
          <w:rFonts w:hint="eastAsia"/>
        </w:rPr>
        <w:t>。</w:t>
      </w:r>
    </w:p>
    <w:p w14:paraId="011931F1" w14:textId="73C13644"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_Ref233581244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[16]</w:t>
      </w:r>
      <w:r w:rsidR="00490E37" w:rsidRPr="00490E37">
        <w:rPr>
          <w:vertAlign w:val="superscript"/>
        </w:rPr>
        <w:fldChar w:fldCharType="end"/>
      </w:r>
      <w:r>
        <w:rPr>
          <w:rFonts w:hint="eastAsia"/>
        </w:rPr>
        <w:t>。围绕这一思路，本方案设计了包含文档准入过滤、页面价值评估、混合解析、字段级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r w:rsidR="00D470D5" w:rsidRPr="00D470D5">
        <w:rPr>
          <w:vertAlign w:val="superscript"/>
        </w:rPr>
        <w:fldChar w:fldCharType="begin"/>
      </w:r>
      <w:r w:rsidR="00D470D5" w:rsidRPr="00D470D5">
        <w:rPr>
          <w:vertAlign w:val="superscript"/>
        </w:rPr>
        <w:instrText xml:space="preserve"> </w:instrText>
      </w:r>
      <w:r w:rsidR="00D470D5" w:rsidRPr="00D470D5">
        <w:rPr>
          <w:rFonts w:hint="eastAsia"/>
          <w:vertAlign w:val="superscript"/>
        </w:rPr>
        <w:instrText>REF _Ref233730714 \n \h</w:instrText>
      </w:r>
      <w:r w:rsidR="00D470D5" w:rsidRPr="00D470D5">
        <w:rPr>
          <w:vertAlign w:val="superscript"/>
        </w:rPr>
        <w:instrText xml:space="preserve"> </w:instrText>
      </w:r>
      <w:r w:rsidR="00D470D5">
        <w:rPr>
          <w:vertAlign w:val="superscript"/>
        </w:rPr>
        <w:instrText xml:space="preserve"> \* MERGEFORMAT </w:instrText>
      </w:r>
      <w:r w:rsidR="00D470D5" w:rsidRPr="00D470D5">
        <w:rPr>
          <w:vertAlign w:val="superscript"/>
        </w:rPr>
      </w:r>
      <w:r w:rsidR="00D470D5" w:rsidRPr="00D470D5">
        <w:rPr>
          <w:vertAlign w:val="superscript"/>
        </w:rPr>
        <w:fldChar w:fldCharType="separate"/>
      </w:r>
      <w:r w:rsidR="002754E9">
        <w:rPr>
          <w:vertAlign w:val="superscript"/>
        </w:rPr>
        <w:t>[17]</w:t>
      </w:r>
      <w:r w:rsidR="00D470D5" w:rsidRPr="00D470D5">
        <w:rPr>
          <w:vertAlign w:val="superscript"/>
        </w:rPr>
        <w:fldChar w:fldCharType="end"/>
      </w:r>
      <w:r w:rsidR="00D470D5">
        <w:rPr>
          <w:rFonts w:hint="eastAsia"/>
        </w:rPr>
        <w:t>。</w:t>
      </w:r>
    </w:p>
    <w:p w14:paraId="59DBB423" w14:textId="1556EE96" w:rsidR="00567C65" w:rsidRPr="00F46583" w:rsidRDefault="00000000" w:rsidP="001200A3">
      <w:pPr>
        <w:pStyle w:val="a0"/>
      </w:pPr>
      <w:bookmarkStart w:id="3" w:name="_Toc233668281"/>
      <w:r w:rsidRPr="00F46583">
        <w:rPr>
          <w:rFonts w:hint="eastAsia"/>
        </w:rPr>
        <w:t>总体思路与技术框架</w:t>
      </w:r>
      <w:bookmarkEnd w:id="3"/>
    </w:p>
    <w:p w14:paraId="302A286B" w14:textId="5C7DA6CE" w:rsidR="00567C65" w:rsidRDefault="00567C65" w:rsidP="006406EC">
      <w:r>
        <w:rPr>
          <w:rFonts w:hint="eastAsia"/>
        </w:rPr>
        <w:t>围绕</w:t>
      </w:r>
      <w:r>
        <w:rPr>
          <w:rFonts w:hint="eastAsia"/>
        </w:rPr>
        <w:t>ESG</w:t>
      </w:r>
      <w:r>
        <w:rPr>
          <w:rFonts w:hint="eastAsia"/>
        </w:rPr>
        <w:t>报告复杂文档结构异构、信息密度不均以及关键指标提取困难等问题</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_Ref233581280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[18]</w:t>
      </w:r>
      <w:r w:rsidR="00490E37" w:rsidRPr="00490E37">
        <w:rPr>
          <w:vertAlign w:val="superscript"/>
        </w:rPr>
        <w:fldChar w:fldCharType="end"/>
      </w:r>
      <w:r>
        <w:rPr>
          <w:rFonts w:hint="eastAsia"/>
        </w:rPr>
        <w:t>，本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2754E9" w:rsidRPr="00F46583">
        <w:rPr>
          <w:rFonts w:hint="eastAsia"/>
        </w:rPr>
        <w:t>图</w:t>
      </w:r>
      <w:r w:rsidR="002754E9">
        <w:rPr>
          <w:rFonts w:hint="eastAsia"/>
        </w:rPr>
        <w:t xml:space="preserve"> </w:t>
      </w:r>
      <w:r w:rsidR="002754E9">
        <w:rPr>
          <w:noProof/>
        </w:rPr>
        <w:t>1</w:t>
      </w:r>
      <w:r w:rsidR="00F46583">
        <w:fldChar w:fldCharType="end"/>
      </w:r>
      <w:r>
        <w:rPr>
          <w:rFonts w:hint="eastAsia"/>
        </w:rPr>
        <w:t>所示。</w:t>
      </w:r>
    </w:p>
    <w:p w14:paraId="0C1440AB" w14:textId="77777777" w:rsidR="006406EC" w:rsidRDefault="006406EC" w:rsidP="006406EC">
      <w:pPr>
        <w:keepNext/>
        <w:ind w:firstLineChars="0" w:firstLine="0"/>
        <w:jc w:val="center"/>
      </w:pPr>
      <w:r w:rsidRPr="00424B62">
        <w:rPr>
          <w:noProof/>
        </w:rPr>
        <w:lastRenderedPageBreak/>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9">
                      <a:extLst>
                        <a:ext uri="{96DAC541-7B7A-43D3-8B79-37D633B846F1}">
                          <asvg:svgBlip xmlns:asvg="http://schemas.microsoft.com/office/drawing/2016/SVG/main" r:embed="rId20"/>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328836D5"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bookmarkStart w:id="6" w:name="_Toc233659576"/>
      <w:r w:rsidRPr="00F46583">
        <w:rPr>
          <w:rFonts w:ascii="Times New Roman" w:eastAsia="宋体" w:hAnsi="Times New Roman" w:hint="eastAsia"/>
          <w:sz w:val="24"/>
        </w:rPr>
        <w:t>图</w:t>
      </w:r>
      <w:r w:rsidR="0008285B">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08285B">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bookmarkEnd w:id="6"/>
    </w:p>
    <w:p w14:paraId="17E30C7D"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7C62E808" w14:textId="43B89909"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796C65D3" w14:textId="42019256"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E8B57A6" w14:textId="32012555"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Default="00B36480" w:rsidP="00B36480">
      <w:r>
        <w:rPr>
          <w:rFonts w:hint="eastAsia"/>
        </w:rPr>
        <w:t>在大模型结构化提取与质量校验模块中，</w:t>
      </w:r>
      <w:r w:rsidR="00742C74">
        <w:rPr>
          <w:rFonts w:hint="eastAsia"/>
        </w:rPr>
        <w:t>模型</w:t>
      </w:r>
      <w:r>
        <w:rPr>
          <w:rFonts w:hint="eastAsia"/>
        </w:rPr>
        <w:t>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73AB3A63" w14:textId="6B054D32"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4A3DAB59" w14:textId="77777777" w:rsidR="00A02BAC" w:rsidRDefault="00000000" w:rsidP="001200A3">
      <w:pPr>
        <w:pStyle w:val="a0"/>
      </w:pPr>
      <w:bookmarkStart w:id="7" w:name="_Toc233668282"/>
      <w:r>
        <w:rPr>
          <w:rFonts w:hint="eastAsia"/>
        </w:rPr>
        <w:t>应用场景</w:t>
      </w:r>
      <w:bookmarkEnd w:id="7"/>
    </w:p>
    <w:p w14:paraId="3AE359A9" w14:textId="5C56800E"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w:t>
      </w:r>
      <w:r w:rsidR="00742C74">
        <w:rPr>
          <w:rFonts w:hint="eastAsia"/>
        </w:rPr>
        <w:t>模型</w:t>
      </w:r>
      <w:r>
        <w:rPr>
          <w:rFonts w:hint="eastAsia"/>
        </w:rPr>
        <w:t>可以减少人工查找和重复整理的工作量，也能提高后续查询、复核和分析的效率。</w:t>
      </w:r>
    </w:p>
    <w:p w14:paraId="3EF38A8D" w14:textId="16F472AE"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w:t>
      </w:r>
      <w:r w:rsidR="00742C74">
        <w:rPr>
          <w:rFonts w:hint="eastAsia"/>
        </w:rPr>
        <w:t>模型</w:t>
      </w:r>
      <w:r>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w:t>
      </w:r>
      <w:r>
        <w:rPr>
          <w:rFonts w:hint="eastAsia"/>
        </w:rPr>
        <w:lastRenderedPageBreak/>
        <w:t>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w:t>
      </w:r>
      <w:r w:rsidR="00742C74">
        <w:rPr>
          <w:rFonts w:hint="eastAsia"/>
        </w:rPr>
        <w:t>模型</w:t>
      </w:r>
      <w:r>
        <w:rPr>
          <w:rFonts w:hint="eastAsia"/>
        </w:rPr>
        <w:t>对报告进行批量解析后，可以辅助识别关键议题披露缺失、指标异常、证据不足或表述不规范等情况，为监管科技建设和信息披露质量评估提供基础数据。</w:t>
      </w:r>
    </w:p>
    <w:p w14:paraId="07071096" w14:textId="40AF8534" w:rsidR="009C4E36" w:rsidRDefault="00000000" w:rsidP="009C4E36">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w:t>
      </w:r>
      <w:r w:rsidR="00742C74">
        <w:rPr>
          <w:rFonts w:hint="eastAsia"/>
        </w:rPr>
        <w:t>模型</w:t>
      </w:r>
      <w:r>
        <w:rPr>
          <w:rFonts w:hint="eastAsia"/>
        </w:rPr>
        <w: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6E4C03B" w:rsidR="00A02BAC" w:rsidRDefault="00000000" w:rsidP="009C4E36">
      <w:pPr>
        <w:pStyle w:val="a"/>
        <w:rPr>
          <w:noProof/>
        </w:rPr>
      </w:pPr>
      <w:bookmarkStart w:id="8" w:name="_Toc233668283"/>
      <w:r>
        <w:rPr>
          <w:noProof/>
        </w:rPr>
        <w:t>ESG</w:t>
      </w:r>
      <w:r>
        <w:rPr>
          <w:noProof/>
        </w:rPr>
        <w:t>报告数据处理与指标体系构建</w:t>
      </w:r>
      <w:bookmarkEnd w:id="8"/>
    </w:p>
    <w:p w14:paraId="01E783DA" w14:textId="77777777" w:rsidR="00A02BAC" w:rsidRDefault="00000000" w:rsidP="001200A3">
      <w:pPr>
        <w:pStyle w:val="a0"/>
      </w:pPr>
      <w:bookmarkStart w:id="9" w:name="_Toc233668284"/>
      <w:r>
        <w:rPr>
          <w:rFonts w:hint="eastAsia"/>
        </w:rPr>
        <w:t>数据获取</w:t>
      </w:r>
      <w:bookmarkEnd w:id="9"/>
    </w:p>
    <w:p w14:paraId="29B9F021" w14:textId="77777777" w:rsidR="00A02BAC" w:rsidRDefault="00000000">
      <w:r>
        <w:t>ESG报告通常以PDF形式公开披露，文档中同时包含连续文本、表格、图片和多栏版式，直接形成统一结构化数据存在一定难度。本方案以中国证监会指定信息披露平台巨潮资讯网（www.cninfo.com.cn）为主要数据来源，采集200份ESG相关报告，覆盖金融、房地产、制造、能源、科技和消费等行业。采集结果按统一规则命名和存储，并记录公司名称、证券代码、报告年份、公告标题、来源地址及下载时间，以便开展数据管理和来源追溯。</w:t>
      </w:r>
    </w:p>
    <w:p w14:paraId="5D3DE2BA" w14:textId="471F4552" w:rsidR="00A02BAC" w:rsidRDefault="00000000">
      <w:r>
        <w:t>数据采集模块按照公开披露接口规范设置必要请求头，并依据“公告检索—元数据登记—文件下载—本地落盘”的顺序执行批量任务。系统通过访问间隔、失败重试和状态日志维持采集过程的连续性；文件落盘后，对文件名中的特殊字符进行规范化处理，并检查扩展名、文件大小与PDF可读性。下载超时、文件损坏或返回异常时，模块记录失败原因，供后续重试或人工补采。</w:t>
      </w:r>
    </w:p>
    <w:p w14:paraId="2A2FE804" w14:textId="2127323B" w:rsidR="00A02BAC" w:rsidRDefault="00000000" w:rsidP="00362D86">
      <w:r>
        <w:t>在数据进入抽取流程前，文档准入模块根据文件名与前两页文本判断其是否属于目标ESG报告，并对重复文件进行识别。非目标报告生成带原因的跳过记录，通过校验的PDF进入页面扫描环节。该前置控制将输入质量问题与字段抽取问题分开处理，有助于减少无效解析和空值结果对数据集的影响。</w:t>
      </w:r>
    </w:p>
    <w:p w14:paraId="4D2A0EE7" w14:textId="33420FC4" w:rsidR="00A02BAC" w:rsidRDefault="008B1CCD" w:rsidP="001200A3">
      <w:pPr>
        <w:pStyle w:val="a0"/>
      </w:pPr>
      <w:bookmarkStart w:id="10" w:name="_Toc233668285"/>
      <w:r>
        <w:rPr>
          <w:rFonts w:hint="eastAsia"/>
        </w:rPr>
        <w:t>ESG</w:t>
      </w:r>
      <w:r>
        <w:rPr>
          <w:rFonts w:hint="eastAsia"/>
        </w:rPr>
        <w:t>指标体系构建说明</w:t>
      </w:r>
      <w:bookmarkEnd w:id="10"/>
    </w:p>
    <w:p w14:paraId="618A8D02" w14:textId="77777777" w:rsidR="00A02BAC" w:rsidRDefault="00000000">
      <w:r>
        <w:t>本方案构建了一套面向A股上市公司的跨行业核心ESG指标体系，共包含60个字段。指标选择遵循高频披露、可结构化表达、可人工复核和跨行业可比四项原则，不追求覆盖全部行业细节，而是优先纳入报告中披露较稳定、具有可定位证据且适合统一口径管理的核心指标，为后续抽取、复核和比较提供字段标准。</w:t>
      </w:r>
    </w:p>
    <w:p w14:paraId="68A5C3FE" w14:textId="77777777" w:rsidR="00A02BAC" w:rsidRDefault="00000000" w:rsidP="00362D86">
      <w:r>
        <w:t>指标体系按照环境、社会和治理三个维度组织，覆盖气候变化、资源利用、污染防治、员工权益、供应链管理、创新驱动、公司治理和商业道德等议题。其中，环境维度22项，围绕温室气体排放、能源消耗、水资源、废弃物和生态保护展开；社会维度28项，涉及员工发展、安全健康、供应链责任及客户与社区关系；治理维度10项，涉及董事会结构、廉洁合规、风险管理和信息披露。指标框架见图2。</w:t>
      </w:r>
    </w:p>
    <w:p w14:paraId="1E4F105D" w14:textId="77777777" w:rsidR="00362D86" w:rsidRDefault="00362D86" w:rsidP="00362D86">
      <w:pPr>
        <w:keepNext/>
        <w:spacing w:beforeLines="50" w:before="156"/>
        <w:ind w:firstLineChars="0" w:firstLine="0"/>
        <w:jc w:val="center"/>
      </w:pPr>
      <w:r>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a:xfrm>
                      <a:off x="0" y="0"/>
                      <a:ext cx="5273288" cy="2220333"/>
                    </a:xfrm>
                    <a:prstGeom prst="rect">
                      <a:avLst/>
                    </a:prstGeom>
                  </pic:spPr>
                </pic:pic>
              </a:graphicData>
            </a:graphic>
          </wp:inline>
        </w:drawing>
      </w:r>
    </w:p>
    <w:p w14:paraId="5A338CE3" w14:textId="4BB252F8" w:rsidR="00362D86" w:rsidRPr="0062798B" w:rsidRDefault="00362D86" w:rsidP="00362D86">
      <w:pPr>
        <w:pStyle w:val="a5"/>
        <w:jc w:val="center"/>
        <w:rPr>
          <w:rFonts w:ascii="Times New Roman" w:eastAsia="宋体" w:hAnsi="Times New Roman"/>
          <w:sz w:val="24"/>
        </w:rPr>
      </w:pPr>
      <w:bookmarkStart w:id="11" w:name="_Ref233571362"/>
      <w:bookmarkStart w:id="12" w:name="_Toc233659577"/>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2</w:t>
      </w:r>
      <w:r w:rsidRPr="00F46583">
        <w:rPr>
          <w:rFonts w:ascii="Times New Roman" w:eastAsia="宋体" w:hAnsi="Times New Roman"/>
          <w:sz w:val="24"/>
        </w:rPr>
        <w:fldChar w:fldCharType="end"/>
      </w:r>
      <w:bookmarkEnd w:id="11"/>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2"/>
    </w:p>
    <w:p w14:paraId="7543F149" w14:textId="384FD959" w:rsidR="00A02BAC" w:rsidRDefault="00000000" w:rsidP="001F48CF">
      <w:pPr>
        <w:spacing w:beforeLines="100" w:before="312"/>
      </w:pPr>
      <w:r>
        <w:t>根据披露形态，60项指标进一步分为23项定量指标、27项定性指标和10项混合指标（图2、图3）。定量指标重点识别数值、单位与年份的对应关系，如温室气体排放总量、员工总数和研发投入；定性指标重点提取治理机制、政策或措施的证据摘要；混合指标同时保留量化结果与相关机制说明。该分类用于约束不同字段的输出形式，而非改变指标本身的统计口径。</w:t>
      </w:r>
    </w:p>
    <w:p w14:paraId="52842811" w14:textId="360F3650" w:rsidR="00A02BAC" w:rsidRDefault="00000000" w:rsidP="00362D86">
      <w:pPr>
        <w:keepNext/>
        <w:ind w:firstLineChars="0" w:firstLine="0"/>
        <w:jc w:val="center"/>
      </w:pPr>
      <w:r>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3">
                      <a:extLst>
                        <a:ext uri="{96DAC541-7B7A-43D3-8B79-37D633B846F1}">
                          <asvg:svgBlip xmlns:asvg="http://schemas.microsoft.com/office/drawing/2016/SVG/main" r:embed="rId24"/>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57B8EFB2" w:rsidR="00A02BAC" w:rsidRDefault="00F46583" w:rsidP="00F46583">
      <w:pPr>
        <w:pStyle w:val="a5"/>
        <w:ind w:firstLineChars="0" w:firstLine="0"/>
        <w:jc w:val="center"/>
        <w:rPr>
          <w:rFonts w:ascii="Times New Roman" w:eastAsia="宋体" w:hAnsi="Times New Roman"/>
          <w:sz w:val="24"/>
        </w:rPr>
      </w:pPr>
      <w:bookmarkStart w:id="13" w:name="_Ref233571363"/>
      <w:bookmarkStart w:id="14" w:name="_Toc233659578"/>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3</w:t>
      </w:r>
      <w:r w:rsidRPr="00F46583">
        <w:rPr>
          <w:rFonts w:ascii="Times New Roman" w:eastAsia="宋体" w:hAnsi="Times New Roman"/>
          <w:sz w:val="24"/>
        </w:rPr>
        <w:fldChar w:fldCharType="end"/>
      </w:r>
      <w:bookmarkEnd w:id="13"/>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4"/>
    </w:p>
    <w:p w14:paraId="0872AE8B" w14:textId="77777777" w:rsidR="00A02BAC" w:rsidRDefault="00000000">
      <w:r>
        <w:t>每个指标均配置字段元数据，包括中英文名称、所属议题、标准名称、别名、检索关键词、字段类型、期望单位、目标年份、证据约束和排除词。上述信息共同构成可维护的字段Schema，用于指导证据检索、结构化输出和质量检查。企业可根据实际披露口径调整别名与单位配置，并在不同报告批次中复用同一字段标准。</w:t>
      </w:r>
    </w:p>
    <w:p w14:paraId="329ECC49" w14:textId="77777777" w:rsidR="00A02BAC" w:rsidRDefault="00000000">
      <w:r>
        <w:t>指标筛选首先参考A股ESG报告中的常见披露项目，并兼顾定量绩效与定性机制；其次评估指标是否能够在报告中形成可定位证据；最后考虑跨公司比较和人工复核的可操作性。对于具有明显行业特征或披露频率较低的事项，系统可通过扩展字段Schema进行补充，而不改变现有60项核心指标的统一口径。</w:t>
      </w:r>
    </w:p>
    <w:p w14:paraId="110FD26E" w14:textId="77777777" w:rsidR="00A02BAC" w:rsidRDefault="00000000">
      <w:r>
        <w:t>基于上述指标体系，系统将非结构化PDF中的相关内容组织为字段值、单位、年份、来源页码、证据文本、置信度和复核状态等结构化信息。后端API返回JSON格式的任务与字段结果，导出中心提供CSV文件，分别服务于系统集成和离线分析。由此形成的数据可用于后续复核、跨报告比较及指标分析，但其使用仍需结合披露边界与人工核验结果。</w:t>
      </w:r>
    </w:p>
    <w:p w14:paraId="28594F48" w14:textId="77777777" w:rsidR="00A02BAC" w:rsidRDefault="00000000" w:rsidP="001200A3">
      <w:pPr>
        <w:pStyle w:val="a0"/>
      </w:pPr>
      <w:bookmarkStart w:id="15" w:name="_Toc233668286"/>
      <w:r>
        <w:t>智能提取</w:t>
      </w:r>
      <w:r>
        <w:rPr>
          <w:rFonts w:hint="eastAsia"/>
        </w:rPr>
        <w:t>设计</w:t>
      </w:r>
      <w:bookmarkEnd w:id="15"/>
    </w:p>
    <w:p w14:paraId="054346BD" w14:textId="50970519" w:rsidR="00A02BAC" w:rsidRDefault="00000000">
      <w:r>
        <w:t>针对ESG报告篇幅较长、页面信息密度差异明显以及版式类型多样的特点，本方案设计了由文档过滤、页面扫描、选择性解析、字段级证据检索和大语言模型抽取组成的处理流程。系统先通过规则缩小需要深度处理的范围，再利用模型处理规则难以判断的页面或字段，最后通过质量标记与人工复核形成结果闭环。第二章说明总体设计，相关评分、检索与校验方法将在第三章具体展开。</w:t>
      </w:r>
    </w:p>
    <w:p w14:paraId="00FD8260" w14:textId="77777777" w:rsidR="00A02BAC" w:rsidRDefault="00000000" w:rsidP="001876E6">
      <w:pPr>
        <w:pStyle w:val="gao"/>
        <w:spacing w:beforeLines="0" w:before="0" w:line="240" w:lineRule="auto"/>
      </w:pPr>
      <w:r>
        <w:rPr>
          <w:rFonts w:hint="eastAsia"/>
        </w:rPr>
        <w:t>过滤与扫描模块</w:t>
      </w:r>
    </w:p>
    <w:p w14:paraId="51B793E3" w14:textId="5A13156C" w:rsidR="00A02BAC" w:rsidRDefault="00000000">
      <w:r>
        <w:t>系统首先对上传PDF执行文档准入检查，读取文件名与前两页文本，匹配ESG正向词集和排除词集。符合目标报告条件的文件进入后续流程；不符合条件的文件生成包含原因代码和任务状态的跳过记录。该环节由规则模块完成，用于隔离鉴证声明、摘要、临时公告等非目标文件，并减少无效输入进入深度解析与大语言模型调用环节。</w:t>
      </w:r>
    </w:p>
    <w:p w14:paraId="187F5BD1" w14:textId="4CEC72F4" w:rsidR="00A02BAC" w:rsidRDefault="00000000">
      <w:r>
        <w:t>通过准入检查后，系统对报告全文进行页面价值评估。封面、目录和宣传性叙述页通常对字段抽取贡献较低，而数据汇总表、指标附录和图文混排页更可能包含目标证据。若对全部页面采用同等强度的深度解析，处理成本会随页数增加而持续累积。因此，系统先以轻量规则扫描页面特征，再依据评分结果选择后续解析路径。</w:t>
      </w:r>
    </w:p>
    <w:p w14:paraId="7059D22F" w14:textId="1D99FC98" w:rsidR="00A02BAC" w:rsidRDefault="00000000">
      <w:pPr>
        <w:pStyle w:val="afb"/>
        <w:ind w:firstLine="480"/>
      </w:pPr>
      <w:r>
        <w:t>页面扫描从数字密度、ESG语义相关性和表格或版面结构三个维度提取七类特征，并形成页面评分，具体维度见表1。</w:t>
      </w:r>
    </w:p>
    <w:p w14:paraId="46C96736" w14:textId="761D91E8" w:rsidR="00A02BAC" w:rsidRDefault="00000000" w:rsidP="001876E6">
      <w:pPr>
        <w:ind w:firstLineChars="0" w:firstLine="0"/>
        <w:jc w:val="center"/>
      </w:pPr>
      <w:bookmarkStart w:id="16" w:name="_Ref233493912"/>
      <w:bookmarkStart w:id="17" w:name="_Ref233571498"/>
      <w:bookmarkStart w:id="18" w:name="_Toc233659590"/>
      <w:r>
        <w:rPr>
          <w:rFonts w:hint="eastAsia"/>
        </w:rPr>
        <w:t>表</w:t>
      </w:r>
      <w:r w:rsidR="00F46583">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1</w:t>
      </w:r>
      <w:r>
        <w:fldChar w:fldCharType="end"/>
      </w:r>
      <w:bookmarkEnd w:id="16"/>
      <w:r w:rsidR="009A4E6A">
        <w:rPr>
          <w:rFonts w:hint="eastAsia"/>
        </w:rPr>
        <w:t xml:space="preserve">  </w:t>
      </w:r>
      <w:r>
        <w:rPr>
          <w:rFonts w:hint="eastAsia"/>
        </w:rPr>
        <w:t>三大核心维度</w:t>
      </w:r>
      <w:bookmarkEnd w:id="17"/>
      <w:bookmarkEnd w:id="18"/>
    </w:p>
    <w:tbl>
      <w:tblPr>
        <w:tblStyle w:val="4-6"/>
        <w:tblW w:w="5000" w:type="pct"/>
        <w:tblLook w:val="04A0" w:firstRow="1" w:lastRow="0" w:firstColumn="1" w:lastColumn="0" w:noHBand="0" w:noVBand="1"/>
      </w:tblPr>
      <w:tblGrid>
        <w:gridCol w:w="4792"/>
        <w:gridCol w:w="3510"/>
      </w:tblGrid>
      <w:tr w:rsidR="00055F4A" w:rsidRPr="00055F4A" w14:paraId="4B0BDCC6"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40E157D3" w14:textId="77777777" w:rsidR="00A02BAC" w:rsidRPr="00055F4A" w:rsidRDefault="00000000" w:rsidP="004E5832">
            <w:pPr>
              <w:ind w:firstLineChars="0" w:firstLine="0"/>
              <w:jc w:val="center"/>
            </w:pPr>
            <w:r w:rsidRPr="00055F4A">
              <w:t>特征维度</w:t>
            </w:r>
          </w:p>
        </w:tc>
        <w:tc>
          <w:tcPr>
            <w:tcW w:w="2114" w:type="pct"/>
            <w:vAlign w:val="center"/>
          </w:tcPr>
          <w:p w14:paraId="1FF31225" w14:textId="77777777" w:rsidR="00A02BAC" w:rsidRPr="00055F4A"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055F4A">
              <w:t>说明</w:t>
            </w:r>
          </w:p>
        </w:tc>
      </w:tr>
      <w:tr w:rsidR="0062515B" w:rsidRPr="0062515B" w14:paraId="0A0FC5ED"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21216EC6" w14:textId="77777777" w:rsidR="00A02BAC" w:rsidRPr="0062515B" w:rsidRDefault="00000000" w:rsidP="004E5832">
            <w:pPr>
              <w:ind w:firstLineChars="0" w:firstLine="0"/>
              <w:jc w:val="center"/>
              <w:rPr>
                <w:b w:val="0"/>
                <w:bCs w:val="0"/>
              </w:rPr>
            </w:pPr>
            <w:r w:rsidRPr="0062515B">
              <w:rPr>
                <w:b w:val="0"/>
                <w:bCs w:val="0"/>
              </w:rPr>
              <w:t>数字密度维度</w:t>
            </w:r>
          </w:p>
        </w:tc>
        <w:tc>
          <w:tcPr>
            <w:tcW w:w="2114" w:type="pct"/>
            <w:vAlign w:val="center"/>
          </w:tcPr>
          <w:p w14:paraId="1AA3696A"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量化绩效表典型信号</w:t>
            </w:r>
          </w:p>
        </w:tc>
      </w:tr>
      <w:tr w:rsidR="0062515B" w:rsidRPr="0062515B" w14:paraId="21CA8021" w14:textId="77777777" w:rsidTr="004E5832">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A02BAC" w:rsidRPr="0062515B" w:rsidRDefault="00000000" w:rsidP="004E5832">
            <w:pPr>
              <w:ind w:firstLineChars="0" w:firstLine="0"/>
              <w:jc w:val="center"/>
              <w:rPr>
                <w:b w:val="0"/>
                <w:bCs w:val="0"/>
              </w:rPr>
            </w:pPr>
            <w:r w:rsidRPr="0062515B">
              <w:rPr>
                <w:b w:val="0"/>
                <w:bCs w:val="0"/>
              </w:rPr>
              <w:t>核心关键词检索密度维度</w:t>
            </w:r>
          </w:p>
        </w:tc>
        <w:tc>
          <w:tcPr>
            <w:tcW w:w="2114" w:type="pct"/>
            <w:vAlign w:val="center"/>
          </w:tcPr>
          <w:p w14:paraId="2B66CCC6" w14:textId="77777777" w:rsidR="00A02BAC" w:rsidRPr="006251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2515B">
              <w:t>语义相关性特征</w:t>
            </w:r>
          </w:p>
        </w:tc>
      </w:tr>
      <w:tr w:rsidR="0062515B" w:rsidRPr="0062515B" w14:paraId="160AA16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70A22E4E" w14:textId="31B94554" w:rsidR="00A02BAC" w:rsidRPr="0062515B" w:rsidRDefault="00000000" w:rsidP="004E5832">
            <w:pPr>
              <w:ind w:firstLineChars="0" w:firstLine="0"/>
              <w:jc w:val="center"/>
              <w:rPr>
                <w:b w:val="0"/>
                <w:bCs w:val="0"/>
              </w:rPr>
            </w:pPr>
            <w:r w:rsidRPr="0062515B">
              <w:rPr>
                <w:b w:val="0"/>
                <w:bCs w:val="0"/>
              </w:rPr>
              <w:t>表格</w:t>
            </w:r>
            <w:r w:rsidRPr="0062515B">
              <w:rPr>
                <w:b w:val="0"/>
                <w:bCs w:val="0"/>
              </w:rPr>
              <w:t>/</w:t>
            </w:r>
            <w:r w:rsidRPr="0062515B">
              <w:rPr>
                <w:b w:val="0"/>
                <w:bCs w:val="0"/>
              </w:rPr>
              <w:t>版面视觉拓扑特征维度</w:t>
            </w:r>
          </w:p>
        </w:tc>
        <w:tc>
          <w:tcPr>
            <w:tcW w:w="2114" w:type="pct"/>
            <w:vAlign w:val="center"/>
          </w:tcPr>
          <w:p w14:paraId="18D748A5" w14:textId="77777777" w:rsidR="00A02BAC" w:rsidRPr="006251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2515B">
              <w:t>结构化线索</w:t>
            </w:r>
          </w:p>
        </w:tc>
      </w:tr>
    </w:tbl>
    <w:p w14:paraId="0F2F1D17" w14:textId="4A405475" w:rsidR="00A02BAC" w:rsidRDefault="00000000" w:rsidP="002974AB">
      <w:pPr>
        <w:spacing w:beforeLines="50" w:before="156"/>
      </w:pPr>
      <w:r>
        <w:t>高分页面通常对应数据汇总表或关键绩效披露页；低分页面通常对应封面、目录或叙述性内容。文本较少的页面仅被视为需要进一步判断的候选页，不能直接认定为高价值扫描页。页面评分作为后续分流依据，不直接产生ESG字段结果。</w:t>
      </w:r>
    </w:p>
    <w:p w14:paraId="1D7BADEF" w14:textId="77777777" w:rsidR="00A02BAC" w:rsidRDefault="00000000">
      <w:pPr>
        <w:pStyle w:val="gao"/>
        <w:spacing w:before="156"/>
      </w:pPr>
      <w:r>
        <w:rPr>
          <w:rFonts w:hint="eastAsia"/>
        </w:rPr>
        <w:t>选择性解析模块</w:t>
      </w:r>
    </w:p>
    <w:p w14:paraId="2CCC749B" w14:textId="4D0824FD" w:rsidR="00A02BAC" w:rsidRDefault="00000000">
      <w:r>
        <w:t>选择性解析模块根据页面评分将页面划分为高价值区、低价值区和灰区。高价值页面优先进入深度解析候选集，低价值或结构简单页面保留轻量文本结果，灰区页面可由语言模型或视觉模型进行补充判断。灰区模型的输出仅用于决定页面是否进入深度解析通道，不直接生成最终字段值。</w:t>
      </w:r>
    </w:p>
    <w:p w14:paraId="7D7B1808" w14:textId="267AB3CE" w:rsidR="00A02BAC" w:rsidRDefault="00532987" w:rsidP="00863504">
      <w:pPr>
        <w:keepNext/>
        <w:spacing w:beforeLines="50" w:before="156"/>
        <w:ind w:firstLineChars="0" w:firstLine="0"/>
        <w:jc w:val="center"/>
      </w:pPr>
      <w:r w:rsidRPr="00532987">
        <w:rPr>
          <w:noProof/>
        </w:rPr>
        <w:drawing>
          <wp:inline distT="0" distB="0" distL="0" distR="0" wp14:anchorId="4C50A2FA" wp14:editId="0C8A03FA">
            <wp:extent cx="4719457" cy="2373923"/>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727291" cy="2377863"/>
                    </a:xfrm>
                    <a:prstGeom prst="rect">
                      <a:avLst/>
                    </a:prstGeom>
                  </pic:spPr>
                </pic:pic>
              </a:graphicData>
            </a:graphic>
          </wp:inline>
        </w:drawing>
      </w:r>
    </w:p>
    <w:p w14:paraId="3AA21C6D" w14:textId="793D30D3" w:rsidR="00A02BAC" w:rsidRDefault="00000000">
      <w:pPr>
        <w:ind w:firstLineChars="0" w:firstLine="0"/>
        <w:jc w:val="center"/>
      </w:pPr>
      <w:bookmarkStart w:id="19" w:name="_Ref233494006"/>
      <w:bookmarkStart w:id="20" w:name="_Ref233494002"/>
      <w:bookmarkStart w:id="21" w:name="_Toc233659579"/>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4</w:t>
      </w:r>
      <w:r>
        <w:fldChar w:fldCharType="end"/>
      </w:r>
      <w:bookmarkEnd w:id="19"/>
      <w:r w:rsidR="009A4E6A">
        <w:rPr>
          <w:rFonts w:hint="eastAsia"/>
        </w:rPr>
        <w:t xml:space="preserve">  </w:t>
      </w:r>
      <w:r>
        <w:rPr>
          <w:rFonts w:hint="eastAsia"/>
        </w:rPr>
        <w:t>分流决策核心分支图</w:t>
      </w:r>
      <w:bookmarkEnd w:id="20"/>
      <w:bookmarkEnd w:id="21"/>
    </w:p>
    <w:p w14:paraId="78294B53" w14:textId="77777777" w:rsidR="00A02BAC" w:rsidRDefault="00000000" w:rsidP="00863504">
      <w:pPr>
        <w:spacing w:beforeLines="50" w:before="156"/>
      </w:pPr>
      <w:r>
        <w:t>PyMuPDF负责提取全文基础文本，适用于具有原生文本层的页面；MinerU用于补充处理复杂表格、多栏排版、图文混排及部分低文本候选页，并输出保留一定结构信息的Markdown文本。系统仅将经过页面路由筛选的重点页送入MinerU，并设置最大页数边界。MinerU未启用或运行失败时，流程保留PyMuPDF结果并记录降级状态。两路结果经过统一规范化后进入文本切块与证据检索。</w:t>
      </w:r>
    </w:p>
    <w:p w14:paraId="633BA52A" w14:textId="77777777" w:rsidR="00A02BAC" w:rsidRDefault="00000000">
      <w:r>
        <w:t>对于灰区页面，模型结合页面文本、特征摘要或视觉信息给出路由判断，并受复判页数和调用预算限制。无论页面由规则还是模型完成分流，最终字段抽取均基于统一证据库进行，避免将页面路由判断与字段结果生成混为同一环节。</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t>混合解析结果汇合后，系统构建带来源、原页码和块编号的RAG文本块库，并依据预定义的60项ESG字段Schema执行字段级证据检索与结构化抽取。</w:t>
      </w:r>
    </w:p>
    <w:p w14:paraId="61138EB1" w14:textId="77777777" w:rsidR="00A02BAC" w:rsidRDefault="00000000">
      <w:r>
        <w:t>文本切分采用带重叠区域的滑动窗口，以降低关键信息在切分边界处被截断的可能性。检索阶段结合字段标准名称、别名、必备证据词、领域词和期望单位构造查询，通过BM25与Embedding双路召回候选证据，再进行融合排序和字段级重排。包含目标字段专属线索的文本块获得相应加权，命中排除词的文本块被降权，从而降低同表相邻字段之间的证据串扰。</w:t>
      </w:r>
    </w:p>
    <w:p w14:paraId="46561203" w14:textId="48B9ADDC" w:rsidR="00A02BAC" w:rsidRDefault="00000000">
      <w:r>
        <w:t>年份约束不直接注入向量空间，而是在字段抽取后的质量校验阶段处理。系统将抽取结果中的年份与任务配置的目标年份进行比较；年份缺失、偏移或跨年度表格对应关系不清时，结果进入待复核状态。该处理方式将语义相关性判断与时间一致性判断分开，便于定位错误来源。</w:t>
      </w:r>
    </w:p>
    <w:p w14:paraId="6EFDE4A3" w14:textId="77777777" w:rsidR="00A02BAC" w:rsidRDefault="00000000">
      <w:r>
        <w:t>为提高结果的可复核性，系统对字段值、单位、年份、来源页码和证据完整性进行检查，并保留原始输出、质量标记和人工修正结果。后端API以JSON返回任务与字段信息，平台导出中心提供CSV文件；低置信或证据不足的字段在交付前提示人工优先复核。</w:t>
      </w:r>
    </w:p>
    <w:p w14:paraId="1D394278" w14:textId="49C29448" w:rsidR="00A02BAC" w:rsidRDefault="00000000">
      <w:r>
        <w:t>通过上述流程，系统将PDF中的ESG信息转换为具有字段口径、证据来源和复核状态的结构化结果。企业完成运行环境和模型服务参数配置后，可通过标准化部署方式使用批量上传、异步处理、字段复核、结果导出和指标分析功能。该产品化表述指配置式部署和标准化交付，不等同于零配置运行，也不包含现阶段尚未实现的用户认证能力。</w:t>
      </w:r>
    </w:p>
    <w:p w14:paraId="541236C5" w14:textId="77777777" w:rsidR="00E30051" w:rsidRDefault="00E30051" w:rsidP="001200A3">
      <w:pPr>
        <w:pStyle w:val="a0"/>
      </w:pPr>
      <w:bookmarkStart w:id="22" w:name="_Toc233668287"/>
      <w:r>
        <w:rPr>
          <w:rFonts w:hint="eastAsia"/>
        </w:rPr>
        <w:lastRenderedPageBreak/>
        <w:t>性能评估指标</w:t>
      </w:r>
      <w:bookmarkEnd w:id="22"/>
    </w:p>
    <w:p w14:paraId="0DD76AFB" w14:textId="2037F344" w:rsidR="00E30051" w:rsidRDefault="00E30051" w:rsidP="00E90FD0">
      <w:pPr>
        <w:pStyle w:val="gao"/>
        <w:spacing w:beforeLines="0" w:before="0"/>
      </w:pPr>
      <w:r>
        <w:rPr>
          <w:rFonts w:hint="eastAsia"/>
        </w:rPr>
        <w:t>评估样本构成</w:t>
      </w:r>
    </w:p>
    <w:p w14:paraId="15EE8225" w14:textId="60CA32C7" w:rsidR="00E30051" w:rsidRDefault="00E30051" w:rsidP="00E30051">
      <w:r>
        <w:t>评估以“报告—指标”交叉项为基本单位。人工核验首先判断原报告是否披露目标指标：已披露项目进入字段值质量评价；经人工确认未披露的项目作为独立状态记录，不进入已披露字段的值准确率分母。有效样本定义如下：</w:t>
      </w:r>
    </w:p>
    <w:p w14:paraId="576EC811" w14:textId="0AA22A5C" w:rsidR="00E30051" w:rsidRDefault="00901AB5" w:rsidP="00C91A30">
      <w:pPr>
        <w:keepNext/>
        <w:tabs>
          <w:tab w:val="center" w:pos="4080"/>
          <w:tab w:val="right" w:pos="8400"/>
        </w:tabs>
        <w:ind w:firstLineChars="0" w:firstLine="0"/>
      </w:pPr>
      <w:r>
        <w:tab/>
      </w:r>
      <w:r w:rsidR="00E30051" w:rsidRPr="00E30051">
        <w:rPr>
          <w:position w:val="-8"/>
        </w:rPr>
        <w:object w:dxaOrig="3580" w:dyaOrig="320" w14:anchorId="371D7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6pt;height:15.7pt" o:ole="">
            <v:imagedata r:id="rId27" o:title=""/>
          </v:shape>
          <o:OLEObject Type="Embed" ProgID="Equation.DSMT4" ShapeID="_x0000_i1025" DrawAspect="Content" ObjectID="_1844344405" r:id="rId28"/>
        </w:object>
      </w:r>
      <w:r w:rsidR="00C91A30">
        <w:tab/>
      </w:r>
      <w:r w:rsidR="00E30051">
        <w:rPr>
          <w:rFonts w:hint="eastAsia"/>
        </w:rPr>
        <w:t>（公式</w:t>
      </w:r>
      <w:r w:rsidR="00E30051">
        <w:rPr>
          <w:rFonts w:hint="eastAsia"/>
        </w:rPr>
        <w:t xml:space="preserve"> </w:t>
      </w:r>
      <w:r w:rsidR="00E30051">
        <w:fldChar w:fldCharType="begin"/>
      </w:r>
      <w:r w:rsidR="00E30051">
        <w:instrText xml:space="preserve"> </w:instrText>
      </w:r>
      <w:r w:rsidR="00E30051">
        <w:rPr>
          <w:rFonts w:hint="eastAsia"/>
        </w:rPr>
        <w:instrText xml:space="preserve">SEQ </w:instrText>
      </w:r>
      <w:r w:rsidR="00E30051">
        <w:rPr>
          <w:rFonts w:hint="eastAsia"/>
        </w:rPr>
        <w:instrText>公式</w:instrText>
      </w:r>
      <w:r w:rsidR="00E30051">
        <w:rPr>
          <w:rFonts w:hint="eastAsia"/>
        </w:rPr>
        <w:instrText xml:space="preserve"> \* ARABIC</w:instrText>
      </w:r>
      <w:r w:rsidR="00E30051">
        <w:instrText xml:space="preserve"> </w:instrText>
      </w:r>
      <w:r w:rsidR="00E30051">
        <w:fldChar w:fldCharType="separate"/>
      </w:r>
      <w:r w:rsidR="002754E9">
        <w:rPr>
          <w:noProof/>
        </w:rPr>
        <w:t>1</w:t>
      </w:r>
      <w:r w:rsidR="00E30051">
        <w:fldChar w:fldCharType="end"/>
      </w:r>
      <w:r w:rsidR="00E30051">
        <w:rPr>
          <w:rFonts w:hint="eastAsia"/>
        </w:rPr>
        <w:t>）</w:t>
      </w:r>
    </w:p>
    <w:p w14:paraId="7B89446A" w14:textId="77777777" w:rsidR="00E417AA" w:rsidRDefault="00E417AA" w:rsidP="008755C8">
      <w:pPr>
        <w:ind w:firstLineChars="0" w:firstLine="0"/>
      </w:pPr>
      <w:r>
        <w:t>式（1）中，N_total表示总核验项，N_report表示核验报告数量，N_field表示每份报告的核验指标数量，N_undisclosed表示人工确认未披露的项目数量，N_effective表示已披露有效样本数量。</w:t>
      </w:r>
    </w:p>
    <w:p w14:paraId="31A4180E" w14:textId="4A67ACEB" w:rsidR="00E30051" w:rsidRDefault="00E30051" w:rsidP="00E417AA">
      <w:r>
        <w:t>后续字段值相关指标以有效样本为分母，同时单独记录未披露项目的系统输出状态。该口径适用于评价已披露字段的抽取质量，但不能据此评价系统识别“未披露”的能力，二者需要分别报告。</w:t>
      </w:r>
    </w:p>
    <w:p w14:paraId="3BFEB32B" w14:textId="2400ED94" w:rsidR="00132B5F" w:rsidRDefault="00132B5F" w:rsidP="008E4653">
      <w:pPr>
        <w:pStyle w:val="gao"/>
        <w:spacing w:before="156"/>
      </w:pPr>
      <w:r w:rsidRPr="00132B5F">
        <w:t>核心性能指标</w:t>
      </w:r>
    </w:p>
    <w:p w14:paraId="47E7083B" w14:textId="70F5CFF4" w:rsidR="00132B5F" w:rsidRDefault="00132B5F" w:rsidP="00132B5F">
      <w:r>
        <w:t>自动直接采纳率用于衡量系统输出中无需人工修改、可直接采纳的正确结果占有效样本的比例，其计算形式见式（2）：</w:t>
      </w:r>
    </w:p>
    <w:p w14:paraId="41AF0041" w14:textId="3777B23E" w:rsidR="00030824" w:rsidRDefault="007D5102" w:rsidP="007D5102">
      <w:pPr>
        <w:keepNext/>
        <w:tabs>
          <w:tab w:val="center" w:pos="4080"/>
          <w:tab w:val="right" w:pos="8520"/>
        </w:tabs>
        <w:ind w:firstLineChars="0" w:firstLine="0"/>
      </w:pPr>
      <w:r>
        <w:tab/>
      </w:r>
      <w:r w:rsidR="00132B5F" w:rsidRPr="00132B5F">
        <w:rPr>
          <w:position w:val="-26"/>
        </w:rPr>
        <w:object w:dxaOrig="2780" w:dyaOrig="660" w14:anchorId="23D2D0F2">
          <v:shape id="_x0000_i1029" type="#_x0000_t75" style="width:139.85pt;height:33.25pt" o:ole="">
            <v:imagedata r:id="rId35" o:title=""/>
          </v:shape>
          <o:OLEObject Type="Embed" ProgID="Equation.DSMT4" ShapeID="_x0000_i1029" DrawAspect="Content" ObjectID="_1844344409" r:id="rId36"/>
        </w:object>
      </w:r>
      <w:r>
        <w:tab/>
      </w:r>
      <w:r w:rsidR="00132B5F">
        <w:rPr>
          <w:rFonts w:hint="eastAsia"/>
        </w:rPr>
        <w:t>（公式</w:t>
      </w:r>
      <w:r w:rsidR="00132B5F">
        <w:rPr>
          <w:rFonts w:hint="eastAsia"/>
        </w:rPr>
        <w:t xml:space="preserve"> </w:t>
      </w:r>
      <w:r w:rsidR="00132B5F">
        <w:fldChar w:fldCharType="begin"/>
      </w:r>
      <w:r w:rsidR="00132B5F">
        <w:instrText xml:space="preserve"> </w:instrText>
      </w:r>
      <w:r w:rsidR="00132B5F">
        <w:rPr>
          <w:rFonts w:hint="eastAsia"/>
        </w:rPr>
        <w:instrText xml:space="preserve">SEQ </w:instrText>
      </w:r>
      <w:r w:rsidR="00132B5F">
        <w:rPr>
          <w:rFonts w:hint="eastAsia"/>
        </w:rPr>
        <w:instrText>公式</w:instrText>
      </w:r>
      <w:r w:rsidR="00132B5F">
        <w:rPr>
          <w:rFonts w:hint="eastAsia"/>
        </w:rPr>
        <w:instrText xml:space="preserve"> \* ARABIC</w:instrText>
      </w:r>
      <w:r w:rsidR="00132B5F">
        <w:instrText xml:space="preserve"> </w:instrText>
      </w:r>
      <w:r w:rsidR="00132B5F">
        <w:fldChar w:fldCharType="separate"/>
      </w:r>
      <w:r w:rsidR="002754E9">
        <w:rPr>
          <w:noProof/>
        </w:rPr>
        <w:t>2</w:t>
      </w:r>
      <w:r w:rsidR="00132B5F">
        <w:fldChar w:fldCharType="end"/>
      </w:r>
      <w:r w:rsidR="00132B5F">
        <w:rPr>
          <w:rFonts w:hint="eastAsia"/>
        </w:rPr>
        <w:t>）</w:t>
      </w:r>
    </w:p>
    <w:p w14:paraId="6BE349D2" w14:textId="44FDF1AB" w:rsidR="00132B5F" w:rsidRDefault="00132B5F" w:rsidP="008755C8">
      <w:pPr>
        <w:ind w:firstLineChars="0" w:firstLine="0"/>
      </w:pPr>
      <w:r>
        <w:t>式（2）中，N_direct表示字段值、计量单位和所属年份与原报告一致，且未被质量机制标记为待复核的结果数量。结果正确但需要人工确认的项目另计入“人工确认后可用率”，不与自动直接采纳率混用。</w:t>
      </w:r>
    </w:p>
    <w:p w14:paraId="245F637C" w14:textId="717B3D25" w:rsidR="00030824" w:rsidRDefault="00F90CA7" w:rsidP="00F90CA7">
      <w:r>
        <w:t>漏抽率衡量报告中明确披露、但系统未返回有效候选结果的项目占比，计算见式（3）。漏抽与“报告未披露”属于不同状态，应分别记录。</w:t>
      </w:r>
    </w:p>
    <w:p w14:paraId="02818D24" w14:textId="13E9FAE3" w:rsidR="00F90CA7" w:rsidRDefault="00C7561D" w:rsidP="00C7561D">
      <w:pPr>
        <w:keepNext/>
        <w:tabs>
          <w:tab w:val="center" w:pos="4080"/>
          <w:tab w:val="right" w:pos="8400"/>
        </w:tabs>
        <w:ind w:firstLineChars="0" w:firstLine="0"/>
      </w:pPr>
      <w:r>
        <w:tab/>
      </w:r>
      <w:r w:rsidR="00F90CA7" w:rsidRPr="00F90CA7">
        <w:rPr>
          <w:position w:val="-26"/>
        </w:rPr>
        <w:object w:dxaOrig="2299" w:dyaOrig="660" w14:anchorId="7E079B4C">
          <v:shape id="_x0000_i1030" type="#_x0000_t75" style="width:115.4pt;height:33.25pt" o:ole="">
            <v:imagedata r:id="rId37" o:title=""/>
          </v:shape>
          <o:OLEObject Type="Embed" ProgID="Equation.DSMT4" ShapeID="_x0000_i1030" DrawAspect="Content" ObjectID="_1844344410" r:id="rId38"/>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3</w:t>
      </w:r>
      <w:r w:rsidR="00F90CA7">
        <w:fldChar w:fldCharType="end"/>
      </w:r>
      <w:r w:rsidR="00F90CA7">
        <w:rPr>
          <w:rFonts w:hint="eastAsia"/>
        </w:rPr>
        <w:t>）</w:t>
      </w:r>
    </w:p>
    <w:p w14:paraId="433C1301" w14:textId="5D2D15CB" w:rsidR="00F90CA7" w:rsidRDefault="00F90CA7" w:rsidP="00F90CA7">
      <w:r>
        <w:t>字段串扰率用于度量系统将相邻或语义相近指标的证据错误映射到目标字段的情况，反映检索与抽取环节对字段边界的区分能力，计算见式（4）：</w:t>
      </w:r>
    </w:p>
    <w:p w14:paraId="70260F79" w14:textId="42AA024E" w:rsidR="00F90CA7" w:rsidRDefault="0034462E" w:rsidP="0034462E">
      <w:pPr>
        <w:keepNext/>
        <w:tabs>
          <w:tab w:val="center" w:pos="4080"/>
          <w:tab w:val="right" w:pos="8400"/>
        </w:tabs>
      </w:pPr>
      <w:r>
        <w:tab/>
      </w:r>
      <w:r w:rsidR="00F90CA7" w:rsidRPr="00F90CA7">
        <w:rPr>
          <w:position w:val="-26"/>
        </w:rPr>
        <w:object w:dxaOrig="3019" w:dyaOrig="660" w14:anchorId="7F2C89FE">
          <v:shape id="_x0000_i1031" type="#_x0000_t75" style="width:151.85pt;height:33.25pt" o:ole="">
            <v:imagedata r:id="rId39" o:title=""/>
          </v:shape>
          <o:OLEObject Type="Embed" ProgID="Equation.DSMT4" ShapeID="_x0000_i1031" DrawAspect="Content" ObjectID="_1844344411" r:id="rId40"/>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4</w:t>
      </w:r>
      <w:r w:rsidR="00F90CA7">
        <w:fldChar w:fldCharType="end"/>
      </w:r>
      <w:r w:rsidR="00F90CA7">
        <w:rPr>
          <w:rFonts w:hint="eastAsia"/>
        </w:rPr>
        <w:t>）</w:t>
      </w:r>
    </w:p>
    <w:p w14:paraId="0BA03999" w14:textId="66E650F9" w:rsidR="00F80365" w:rsidRDefault="00F80365" w:rsidP="00F80365">
      <w:r>
        <w:t>除字段串扰外，评估还分别记录数值错误和年份错误。数值错误指字段归属正确，但数值或单位与原报告不一致；年份错误指结果对应的统计年度与目标年份不一致。各错误类型采用互斥标注，以便核对分类数量与有效样本总数。</w:t>
      </w:r>
    </w:p>
    <w:p w14:paraId="5FD6A3D0" w14:textId="5D2CC575" w:rsidR="00F26D24" w:rsidRPr="00F26D24" w:rsidRDefault="00F26D24" w:rsidP="00F26D24">
      <w:pPr>
        <w:pStyle w:val="a5"/>
        <w:keepNext/>
        <w:ind w:firstLineChars="0" w:firstLine="0"/>
        <w:jc w:val="center"/>
        <w:rPr>
          <w:rFonts w:ascii="Times New Roman" w:eastAsia="宋体" w:hAnsi="Times New Roman"/>
          <w:sz w:val="24"/>
        </w:rPr>
      </w:pPr>
      <w:bookmarkStart w:id="23" w:name="_Ref233657189"/>
      <w:bookmarkStart w:id="24" w:name="_Toc233659591"/>
      <w:r w:rsidRPr="00F26D24">
        <w:rPr>
          <w:rFonts w:ascii="Times New Roman" w:eastAsia="宋体" w:hAnsi="Times New Roman" w:hint="eastAsia"/>
          <w:sz w:val="24"/>
        </w:rPr>
        <w:lastRenderedPageBreak/>
        <w:t>表</w:t>
      </w:r>
      <w:r w:rsidRPr="00F26D24">
        <w:rPr>
          <w:rFonts w:ascii="Times New Roman" w:eastAsia="宋体" w:hAnsi="Times New Roman" w:hint="eastAsia"/>
          <w:sz w:val="24"/>
        </w:rPr>
        <w:t xml:space="preserve"> </w:t>
      </w:r>
      <w:r w:rsidRPr="00F26D24">
        <w:rPr>
          <w:rFonts w:ascii="Times New Roman" w:eastAsia="宋体" w:hAnsi="Times New Roman"/>
          <w:sz w:val="24"/>
        </w:rPr>
        <w:fldChar w:fldCharType="begin"/>
      </w:r>
      <w:r w:rsidRPr="00F26D24">
        <w:rPr>
          <w:rFonts w:ascii="Times New Roman" w:eastAsia="宋体" w:hAnsi="Times New Roman"/>
          <w:sz w:val="24"/>
        </w:rPr>
        <w:instrText xml:space="preserve"> </w:instrText>
      </w:r>
      <w:r w:rsidRPr="00F26D24">
        <w:rPr>
          <w:rFonts w:ascii="Times New Roman" w:eastAsia="宋体" w:hAnsi="Times New Roman" w:hint="eastAsia"/>
          <w:sz w:val="24"/>
        </w:rPr>
        <w:instrText xml:space="preserve">SEQ </w:instrText>
      </w:r>
      <w:r w:rsidRPr="00F26D24">
        <w:rPr>
          <w:rFonts w:ascii="Times New Roman" w:eastAsia="宋体" w:hAnsi="Times New Roman" w:hint="eastAsia"/>
          <w:sz w:val="24"/>
        </w:rPr>
        <w:instrText>表</w:instrText>
      </w:r>
      <w:r w:rsidRPr="00F26D24">
        <w:rPr>
          <w:rFonts w:ascii="Times New Roman" w:eastAsia="宋体" w:hAnsi="Times New Roman" w:hint="eastAsia"/>
          <w:sz w:val="24"/>
        </w:rPr>
        <w:instrText xml:space="preserve"> \* ARABIC</w:instrText>
      </w:r>
      <w:r w:rsidRPr="00F26D24">
        <w:rPr>
          <w:rFonts w:ascii="Times New Roman" w:eastAsia="宋体" w:hAnsi="Times New Roman"/>
          <w:sz w:val="24"/>
        </w:rPr>
        <w:instrText xml:space="preserve"> </w:instrText>
      </w:r>
      <w:r w:rsidRPr="00F26D24">
        <w:rPr>
          <w:rFonts w:ascii="Times New Roman" w:eastAsia="宋体" w:hAnsi="Times New Roman"/>
          <w:sz w:val="24"/>
        </w:rPr>
        <w:fldChar w:fldCharType="separate"/>
      </w:r>
      <w:r w:rsidR="002754E9">
        <w:rPr>
          <w:rFonts w:ascii="Times New Roman" w:eastAsia="宋体" w:hAnsi="Times New Roman"/>
          <w:noProof/>
          <w:sz w:val="24"/>
        </w:rPr>
        <w:t>2</w:t>
      </w:r>
      <w:r w:rsidRPr="00F26D24">
        <w:rPr>
          <w:rFonts w:ascii="Times New Roman" w:eastAsia="宋体" w:hAnsi="Times New Roman"/>
          <w:sz w:val="24"/>
        </w:rPr>
        <w:fldChar w:fldCharType="end"/>
      </w:r>
      <w:bookmarkEnd w:id="23"/>
      <w:r w:rsidRPr="00F26D24">
        <w:rPr>
          <w:rFonts w:ascii="Times New Roman" w:eastAsia="宋体" w:hAnsi="Times New Roman" w:hint="eastAsia"/>
          <w:sz w:val="24"/>
        </w:rPr>
        <w:t xml:space="preserve"> </w:t>
      </w:r>
      <w:r>
        <w:rPr>
          <w:rFonts w:ascii="Times New Roman" w:eastAsia="宋体" w:hAnsi="Times New Roman" w:hint="eastAsia"/>
          <w:sz w:val="24"/>
        </w:rPr>
        <w:t xml:space="preserve"> </w:t>
      </w:r>
      <w:r w:rsidRPr="00F26D24">
        <w:rPr>
          <w:rFonts w:ascii="Times New Roman" w:eastAsia="宋体" w:hAnsi="Times New Roman" w:hint="eastAsia"/>
          <w:sz w:val="24"/>
        </w:rPr>
        <w:t>性能指标说明</w:t>
      </w:r>
      <w:bookmarkEnd w:id="24"/>
    </w:p>
    <w:tbl>
      <w:tblPr>
        <w:tblStyle w:val="4-6"/>
        <w:tblW w:w="5000" w:type="pct"/>
        <w:tblLook w:val="04A0" w:firstRow="1" w:lastRow="0" w:firstColumn="1" w:lastColumn="0" w:noHBand="0" w:noVBand="1"/>
      </w:tblPr>
      <w:tblGrid>
        <w:gridCol w:w="1820"/>
        <w:gridCol w:w="3130"/>
        <w:gridCol w:w="3352"/>
      </w:tblGrid>
      <w:tr w:rsidR="00C2154C" w:rsidRPr="00C2154C" w14:paraId="77D8957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27D971B3" w14:textId="77777777" w:rsidR="00C2154C" w:rsidRPr="00C2154C" w:rsidRDefault="00C2154C" w:rsidP="004E5832">
            <w:pPr>
              <w:ind w:firstLineChars="0" w:firstLine="0"/>
              <w:jc w:val="center"/>
            </w:pPr>
            <w:r w:rsidRPr="00C2154C">
              <w:t>性能指标</w:t>
            </w:r>
          </w:p>
        </w:tc>
        <w:tc>
          <w:tcPr>
            <w:tcW w:w="1885" w:type="pct"/>
            <w:vAlign w:val="center"/>
            <w:hideMark/>
          </w:tcPr>
          <w:p w14:paraId="5BEB9C32"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计算公式</w:t>
            </w:r>
          </w:p>
        </w:tc>
        <w:tc>
          <w:tcPr>
            <w:tcW w:w="2019" w:type="pct"/>
            <w:vAlign w:val="center"/>
            <w:hideMark/>
          </w:tcPr>
          <w:p w14:paraId="78D3FE88" w14:textId="77777777" w:rsidR="00C2154C" w:rsidRPr="00C2154C"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C2154C">
              <w:t>说明</w:t>
            </w:r>
          </w:p>
        </w:tc>
      </w:tr>
      <w:tr w:rsidR="00C2154C" w:rsidRPr="00C2154C" w14:paraId="32AC0BD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r>
              <w:t>自动直接采纳率</w:t>
            </w:r>
          </w:p>
        </w:tc>
        <w:tc>
          <w:tcPr>
            <w:tcW w:w="1885" w:type="pct"/>
            <w:vAlign w:val="center"/>
            <w:hideMark/>
          </w:tcPr>
          <w:p>
            <w:r>
              <w:t>直接正确/有效样本</w:t>
            </w:r>
          </w:p>
        </w:tc>
        <w:tc>
          <w:tcPr>
            <w:tcW w:w="2019" w:type="pct"/>
            <w:vAlign w:val="center"/>
            <w:hideMark/>
          </w:tcPr>
          <w:p>
            <w:r>
              <w:t>无需人工确认即可采纳的比例</w:t>
            </w:r>
          </w:p>
        </w:tc>
      </w:tr>
      <w:tr w:rsidR="00C2154C" w:rsidRPr="00C2154C" w14:paraId="0246FF8A"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r>
              <w:t>漏抽率</w:t>
            </w:r>
          </w:p>
        </w:tc>
        <w:tc>
          <w:tcPr>
            <w:tcW w:w="1885" w:type="pct"/>
            <w:vAlign w:val="center"/>
            <w:hideMark/>
          </w:tcPr>
          <w:p>
            <w:r>
              <w:t>漏抽/有效样本</w:t>
            </w:r>
          </w:p>
        </w:tc>
        <w:tc>
          <w:tcPr>
            <w:tcW w:w="2019" w:type="pct"/>
            <w:vAlign w:val="center"/>
            <w:hideMark/>
          </w:tcPr>
          <w:p>
            <w:r>
              <w:t>已披露但未返回有效候选的比例</w:t>
            </w:r>
          </w:p>
        </w:tc>
      </w:tr>
      <w:tr w:rsidR="00C2154C" w:rsidRPr="00C2154C" w14:paraId="15FE034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r>
              <w:t>数值或年份错误率</w:t>
            </w:r>
          </w:p>
        </w:tc>
        <w:tc>
          <w:tcPr>
            <w:tcW w:w="1885" w:type="pct"/>
            <w:vAlign w:val="center"/>
            <w:hideMark/>
          </w:tcPr>
          <w:p>
            <w:r>
              <w:t>数值或年份错误/有效样本</w:t>
            </w:r>
          </w:p>
        </w:tc>
        <w:tc>
          <w:tcPr>
            <w:tcW w:w="2019" w:type="pct"/>
            <w:vAlign w:val="center"/>
            <w:hideMark/>
          </w:tcPr>
          <w:p>
            <w:r>
              <w:t>字段归属正确但值、单位或年份不一致</w:t>
            </w:r>
          </w:p>
        </w:tc>
      </w:tr>
      <w:tr w:rsidR="00C2154C" w:rsidRPr="00C2154C" w14:paraId="536C5A2D"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r>
              <w:t>字段串扰率</w:t>
            </w:r>
          </w:p>
        </w:tc>
        <w:tc>
          <w:tcPr>
            <w:tcW w:w="1885" w:type="pct"/>
            <w:vAlign w:val="center"/>
            <w:hideMark/>
          </w:tcPr>
          <w:p>
            <w:r>
              <w:t>字段串扰/有效样本</w:t>
            </w:r>
          </w:p>
        </w:tc>
        <w:tc>
          <w:tcPr>
            <w:tcW w:w="2019" w:type="pct"/>
            <w:vAlign w:val="center"/>
            <w:hideMark/>
          </w:tcPr>
          <w:p>
            <w:r>
              <w:t>相邻或近义字段边界混淆</w:t>
            </w:r>
          </w:p>
        </w:tc>
      </w:tr>
    </w:tbl>
    <w:p w14:paraId="62E1185D" w14:textId="75103EC3" w:rsidR="00C2154C" w:rsidRPr="00C2154C" w:rsidRDefault="008F458B" w:rsidP="00277447">
      <w:pPr>
        <w:spacing w:beforeLines="50" w:before="156"/>
      </w:pPr>
      <w:r>
        <w:t>表2汇总主要评价口径。评估过程保留人工标注、系统原始输出、复核状态和错误类型，分别报告自动直接采纳、人工确认后可用、漏抽、字段串扰、数值错误和年份错误，为后续误差定位与流程优化提供依据。</w:t>
      </w:r>
    </w:p>
    <w:p w14:paraId="14F4A70C" w14:textId="59CBF430" w:rsidR="00A02BAC" w:rsidRDefault="00E30051" w:rsidP="009C4E36">
      <w:pPr>
        <w:pStyle w:val="a"/>
      </w:pPr>
      <w:bookmarkStart w:id="25" w:name="_Toc233668288"/>
      <w:r>
        <w:t>基于</w:t>
      </w:r>
      <w:r>
        <w:t>RAG</w:t>
      </w:r>
      <w:r>
        <w:t>与大模型的</w:t>
      </w:r>
      <w:r>
        <w:t>ESG</w:t>
      </w:r>
      <w:r>
        <w:t>指标结构化提取算法</w:t>
      </w:r>
      <w:bookmarkEnd w:id="25"/>
    </w:p>
    <w:p w14:paraId="4142AD0B" w14:textId="77777777" w:rsidR="00A02BAC" w:rsidRDefault="00000000" w:rsidP="00901F35">
      <w:pPr>
        <w:pStyle w:val="a0"/>
        <w:spacing w:beforeLines="0" w:before="0"/>
      </w:pPr>
      <w:bookmarkStart w:id="26" w:name="_Toc233668289"/>
      <w:r>
        <w:t>报告筛选与页面价值评估</w:t>
      </w:r>
      <w:bookmarkEnd w:id="26"/>
    </w:p>
    <w:p w14:paraId="35F54C9F" w14:textId="77777777" w:rsidR="00A02BAC" w:rsidRDefault="00000000" w:rsidP="00E90FD0">
      <w:pPr>
        <w:pStyle w:val="gao"/>
        <w:spacing w:beforeLines="0" w:before="0"/>
      </w:pPr>
      <w:r>
        <w:t>报告有效性过滤</w:t>
      </w:r>
    </w:p>
    <w:p w14:paraId="1E89507F" w14:textId="77777777" w:rsidR="00A02BAC" w:rsidRDefault="00000000">
      <w:pPr>
        <w:pStyle w:val="afb"/>
        <w:ind w:firstLine="480"/>
      </w:pPr>
      <w:r>
        <w:t>报告有效性过滤以PDF文件名和前两页文本为输入，执行基于规则的二元判断。系统分别匹配ESG标题正向词集和排除词集，输出“通过”或带原因代码的“跳过”状态。该环节用于将非目标文件隔离在后续解析与抽取流程之外。</w:t>
      </w:r>
    </w:p>
    <w:p w14:paraId="14E1DEB9" w14:textId="4307CD0A" w:rsidR="00A02BAC" w:rsidRDefault="00000000">
      <w:pPr>
        <w:pStyle w:val="afb"/>
        <w:ind w:firstLine="480"/>
      </w:pPr>
      <w:r>
        <w:t>系统首先规范文件名与页面文本中的空白字符，再逐项比对关键词。正向词集包括ESG、可持续发展、环境、社会及治理、社会责任等目标报告表述；排除词集用于识别鉴证声明、摘要、临时公告等非目标文件。命中正向信号且未命中排除条件的PDF进入页级扫描，否则停止该文件的后续处理。</w:t>
      </w:r>
    </w:p>
    <w:p w14:paraId="382A16BB" w14:textId="64FED4E8" w:rsidR="00A02BAC" w:rsidRDefault="00000000">
      <w:pPr>
        <w:pStyle w:val="afb"/>
        <w:ind w:firstLine="480"/>
      </w:pPr>
      <w:r>
        <w:t>未通过准入检查的文件生成结构化跳过记录，记录文件信息、原因代码和任务状态，供用户查看或重新提交；通过检查的文件进入页面价值评估。由此可将输入质量问题与后续解析或抽取错误分开统计。</w:t>
      </w:r>
    </w:p>
    <w:p w14:paraId="1D13C160" w14:textId="77777777" w:rsidR="00A02BAC" w:rsidRDefault="00000000">
      <w:pPr>
        <w:pStyle w:val="gao"/>
        <w:spacing w:before="156"/>
      </w:pPr>
      <w:r>
        <w:lastRenderedPageBreak/>
        <w:t>页级内容特征扫描</w:t>
      </w:r>
    </w:p>
    <w:p w14:paraId="637F667E" w14:textId="77777777" w:rsidR="00A02BAC" w:rsidRDefault="00000000">
      <w:pPr>
        <w:pStyle w:val="afb"/>
        <w:ind w:firstLine="480"/>
      </w:pPr>
      <w:r>
        <w:t>系统对报告逐页提取七类特征，包括文本长度、数字出现频次、年份命中、ESG术语命中、表格信号词命中、类表格行特征和目录索引惩罚。数字、年份和表格信号用于描述指标信息密度；文本较少的页面仅作为需要进一步判断的候选页，不直接认定为高价值扫描页。</w:t>
      </w:r>
    </w:p>
    <w:p w14:paraId="379E0487" w14:textId="30455CAD" w:rsidR="00A02BAC" w:rsidRDefault="00000000" w:rsidP="008E4653">
      <w:pPr>
        <w:pStyle w:val="afb"/>
        <w:ind w:firstLine="480"/>
      </w:pPr>
      <w:r>
        <w:t>各项特征设置得分上限，并将最终结果截断为非负值，以减少单一特征对页面判断的过度影响。得分越高，表示页面承载目标ESG证据的可能性越大。当前评分规则与阈值见表3。</w:t>
      </w:r>
    </w:p>
    <w:p w14:paraId="23A0253E" w14:textId="36CD59E3" w:rsidR="00A02BAC" w:rsidRDefault="00000000">
      <w:pPr>
        <w:ind w:firstLineChars="0" w:firstLine="0"/>
        <w:jc w:val="center"/>
      </w:pPr>
      <w:bookmarkStart w:id="27" w:name="_Ref233494064"/>
      <w:bookmarkStart w:id="28" w:name="_Toc233659592"/>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3</w:t>
      </w:r>
      <w:r>
        <w:fldChar w:fldCharType="end"/>
      </w:r>
      <w:bookmarkEnd w:id="27"/>
      <w:r w:rsidR="009A4E6A">
        <w:rPr>
          <w:rFonts w:hint="eastAsia"/>
        </w:rPr>
        <w:t xml:space="preserve">  </w:t>
      </w:r>
      <w:r>
        <w:rPr>
          <w:rFonts w:hint="eastAsia"/>
        </w:rPr>
        <w:t>评分规则与阈值</w:t>
      </w:r>
      <w:bookmarkEnd w:id="28"/>
    </w:p>
    <w:tbl>
      <w:tblPr>
        <w:tblStyle w:val="4-6"/>
        <w:tblW w:w="5000" w:type="pct"/>
        <w:tblLook w:val="04A0" w:firstRow="1" w:lastRow="0" w:firstColumn="1" w:lastColumn="0" w:noHBand="0" w:noVBand="1"/>
      </w:tblPr>
      <w:tblGrid>
        <w:gridCol w:w="4078"/>
        <w:gridCol w:w="4224"/>
      </w:tblGrid>
      <w:tr w:rsidR="007F187F" w:rsidRPr="007F187F" w14:paraId="652EF725"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42076D3" w14:textId="77777777" w:rsidR="00DA6AA7" w:rsidRPr="007F187F" w:rsidRDefault="00DA6AA7" w:rsidP="004E5832">
            <w:pPr>
              <w:ind w:firstLineChars="0" w:firstLine="0"/>
              <w:jc w:val="center"/>
            </w:pPr>
            <w:r w:rsidRPr="007F187F">
              <w:t>特征描述</w:t>
            </w:r>
          </w:p>
        </w:tc>
        <w:tc>
          <w:tcPr>
            <w:tcW w:w="2544" w:type="pct"/>
            <w:vAlign w:val="center"/>
          </w:tcPr>
          <w:p w14:paraId="2C7B56F1" w14:textId="77777777" w:rsidR="00DA6AA7" w:rsidRPr="007F187F"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7F187F">
              <w:t>评分增量</w:t>
            </w:r>
          </w:p>
        </w:tc>
      </w:tr>
      <w:tr w:rsidR="008E4653" w:rsidRPr="008E4653" w14:paraId="74175B7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5CC3D47" w14:textId="77777777" w:rsidR="00DA6AA7" w:rsidRPr="008E4653" w:rsidRDefault="00DA6AA7" w:rsidP="004E5832">
            <w:pPr>
              <w:ind w:firstLineChars="0" w:firstLine="0"/>
              <w:jc w:val="center"/>
              <w:rPr>
                <w:b w:val="0"/>
                <w:bCs w:val="0"/>
              </w:rPr>
            </w:pPr>
            <w:r w:rsidRPr="008E4653">
              <w:rPr>
                <w:b w:val="0"/>
                <w:bCs w:val="0"/>
              </w:rPr>
              <w:t>文本</w:t>
            </w:r>
            <w:r w:rsidRPr="008E4653">
              <w:rPr>
                <w:rFonts w:hint="eastAsia"/>
                <w:b w:val="0"/>
                <w:bCs w:val="0"/>
              </w:rPr>
              <w:t>极少</w:t>
            </w:r>
            <w:r w:rsidRPr="008E4653">
              <w:rPr>
                <w:b w:val="0"/>
                <w:bCs w:val="0"/>
              </w:rPr>
              <w:t>（</w:t>
            </w:r>
            <w:r w:rsidRPr="008E4653">
              <w:rPr>
                <w:rFonts w:hint="eastAsia"/>
                <w:b w:val="0"/>
                <w:bCs w:val="0"/>
              </w:rPr>
              <w:t>＜</w:t>
            </w:r>
            <w:r w:rsidRPr="008E4653">
              <w:rPr>
                <w:b w:val="0"/>
                <w:bCs w:val="0"/>
              </w:rPr>
              <w:t>80</w:t>
            </w:r>
            <w:r w:rsidRPr="008E4653">
              <w:rPr>
                <w:b w:val="0"/>
                <w:bCs w:val="0"/>
              </w:rPr>
              <w:t>字符）</w:t>
            </w:r>
          </w:p>
        </w:tc>
        <w:tc>
          <w:tcPr>
            <w:tcW w:w="2544" w:type="pct"/>
            <w:vAlign w:val="center"/>
          </w:tcPr>
          <w:p w14:paraId="1757A9C8"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+30</w:t>
            </w:r>
          </w:p>
        </w:tc>
      </w:tr>
      <w:tr w:rsidR="008E4653" w:rsidRPr="008E4653" w14:paraId="62E4485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3F1D3548" w14:textId="77777777" w:rsidR="00DA6AA7" w:rsidRPr="008E4653" w:rsidRDefault="00DA6AA7" w:rsidP="004E5832">
            <w:pPr>
              <w:ind w:firstLineChars="0" w:firstLine="0"/>
              <w:jc w:val="center"/>
              <w:rPr>
                <w:b w:val="0"/>
                <w:bCs w:val="0"/>
              </w:rPr>
            </w:pPr>
            <w:r w:rsidRPr="008E4653">
              <w:rPr>
                <w:b w:val="0"/>
                <w:bCs w:val="0"/>
              </w:rPr>
              <w:t>表格信号词命中</w:t>
            </w:r>
          </w:p>
        </w:tc>
        <w:tc>
          <w:tcPr>
            <w:tcW w:w="2544" w:type="pct"/>
            <w:vAlign w:val="center"/>
          </w:tcPr>
          <w:p w14:paraId="5E91DC9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+8×</w:t>
            </w:r>
            <w:r w:rsidRPr="008E4653">
              <w:t>命中数（上限</w:t>
            </w:r>
            <w:r w:rsidRPr="008E4653">
              <w:t>+48</w:t>
            </w:r>
            <w:r w:rsidRPr="008E4653">
              <w:t>）</w:t>
            </w:r>
          </w:p>
        </w:tc>
      </w:tr>
      <w:tr w:rsidR="008E4653" w:rsidRPr="008E4653" w14:paraId="458883D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AB7D5DE" w14:textId="77777777" w:rsidR="00DA6AA7" w:rsidRPr="008E4653" w:rsidRDefault="00DA6AA7" w:rsidP="004E5832">
            <w:pPr>
              <w:ind w:firstLineChars="0" w:firstLine="0"/>
              <w:jc w:val="center"/>
              <w:rPr>
                <w:b w:val="0"/>
                <w:bCs w:val="0"/>
              </w:rPr>
            </w:pPr>
            <w:r w:rsidRPr="008E4653">
              <w:rPr>
                <w:b w:val="0"/>
                <w:bCs w:val="0"/>
              </w:rPr>
              <w:t>ESG</w:t>
            </w:r>
            <w:r w:rsidRPr="008E4653">
              <w:rPr>
                <w:b w:val="0"/>
                <w:bCs w:val="0"/>
              </w:rPr>
              <w:t>关键词命中</w:t>
            </w:r>
            <w:r w:rsidRPr="008E4653">
              <w:rPr>
                <w:b w:val="0"/>
                <w:bCs w:val="0"/>
              </w:rPr>
              <w:t>≥3</w:t>
            </w:r>
            <w:r w:rsidRPr="008E4653">
              <w:rPr>
                <w:b w:val="0"/>
                <w:bCs w:val="0"/>
              </w:rPr>
              <w:t>个</w:t>
            </w:r>
          </w:p>
        </w:tc>
        <w:tc>
          <w:tcPr>
            <w:tcW w:w="2544" w:type="pct"/>
            <w:vAlign w:val="center"/>
          </w:tcPr>
          <w:p w14:paraId="2994A28E"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w:t>
            </w:r>
            <w:r w:rsidRPr="008E4653">
              <w:t>命中数（上限</w:t>
            </w:r>
            <w:r w:rsidRPr="008E4653">
              <w:t>+24</w:t>
            </w:r>
            <w:r w:rsidRPr="008E4653">
              <w:t>）</w:t>
            </w:r>
          </w:p>
        </w:tc>
      </w:tr>
      <w:tr w:rsidR="008E4653" w:rsidRPr="008E4653" w14:paraId="3CC953BD"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136FFF0" w14:textId="77777777" w:rsidR="00DA6AA7" w:rsidRPr="008E4653" w:rsidRDefault="00DA6AA7" w:rsidP="004E5832">
            <w:pPr>
              <w:ind w:firstLineChars="0" w:firstLine="0"/>
              <w:jc w:val="center"/>
              <w:rPr>
                <w:b w:val="0"/>
                <w:bCs w:val="0"/>
              </w:rPr>
            </w:pPr>
            <w:r w:rsidRPr="008E4653">
              <w:rPr>
                <w:b w:val="0"/>
                <w:bCs w:val="0"/>
              </w:rPr>
              <w:t>数字密集（</w:t>
            </w:r>
            <w:r w:rsidRPr="008E4653">
              <w:rPr>
                <w:b w:val="0"/>
                <w:bCs w:val="0"/>
              </w:rPr>
              <w:t>≥20</w:t>
            </w:r>
            <w:r w:rsidRPr="008E4653">
              <w:rPr>
                <w:b w:val="0"/>
                <w:bCs w:val="0"/>
              </w:rPr>
              <w:t>）</w:t>
            </w:r>
          </w:p>
        </w:tc>
        <w:tc>
          <w:tcPr>
            <w:tcW w:w="2544" w:type="pct"/>
            <w:vAlign w:val="center"/>
          </w:tcPr>
          <w:p w14:paraId="56056770"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密度值（上限</w:t>
            </w:r>
            <w:r w:rsidRPr="008E4653">
              <w:t>+24</w:t>
            </w:r>
            <w:r w:rsidRPr="008E4653">
              <w:t>）</w:t>
            </w:r>
          </w:p>
        </w:tc>
      </w:tr>
      <w:tr w:rsidR="008E4653" w:rsidRPr="008E4653" w14:paraId="16A5F2F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129E55AD" w14:textId="77777777" w:rsidR="00DA6AA7" w:rsidRPr="008E4653" w:rsidRDefault="00DA6AA7" w:rsidP="004E5832">
            <w:pPr>
              <w:ind w:firstLineChars="0" w:firstLine="0"/>
              <w:jc w:val="center"/>
              <w:rPr>
                <w:b w:val="0"/>
                <w:bCs w:val="0"/>
              </w:rPr>
            </w:pPr>
            <w:r w:rsidRPr="008E4653">
              <w:rPr>
                <w:b w:val="0"/>
                <w:bCs w:val="0"/>
              </w:rPr>
              <w:t>类表格行</w:t>
            </w:r>
            <w:r w:rsidRPr="008E4653">
              <w:rPr>
                <w:b w:val="0"/>
                <w:bCs w:val="0"/>
              </w:rPr>
              <w:t>≥3</w:t>
            </w:r>
            <w:r w:rsidRPr="008E4653">
              <w:rPr>
                <w:b w:val="0"/>
                <w:bCs w:val="0"/>
              </w:rPr>
              <w:t>行</w:t>
            </w:r>
          </w:p>
        </w:tc>
        <w:tc>
          <w:tcPr>
            <w:tcW w:w="2544" w:type="pct"/>
            <w:vAlign w:val="center"/>
          </w:tcPr>
          <w:p w14:paraId="5F49836B"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+4×</w:t>
            </w:r>
            <w:r w:rsidRPr="008E4653">
              <w:t>行数（上限</w:t>
            </w:r>
            <w:r w:rsidRPr="008E4653">
              <w:t>+40</w:t>
            </w:r>
            <w:r w:rsidRPr="008E4653">
              <w:t>）</w:t>
            </w:r>
          </w:p>
        </w:tc>
      </w:tr>
      <w:tr w:rsidR="008E4653" w:rsidRPr="008E4653" w14:paraId="7D7AFD8B"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77675FE5" w14:textId="77777777" w:rsidR="00DA6AA7" w:rsidRPr="008E4653" w:rsidRDefault="00DA6AA7" w:rsidP="004E5832">
            <w:pPr>
              <w:ind w:firstLineChars="0" w:firstLine="0"/>
              <w:jc w:val="center"/>
              <w:rPr>
                <w:b w:val="0"/>
                <w:bCs w:val="0"/>
              </w:rPr>
            </w:pPr>
            <w:r w:rsidRPr="008E4653">
              <w:rPr>
                <w:b w:val="0"/>
                <w:bCs w:val="0"/>
              </w:rPr>
              <w:t>年份词命中</w:t>
            </w:r>
          </w:p>
        </w:tc>
        <w:tc>
          <w:tcPr>
            <w:tcW w:w="2544" w:type="pct"/>
            <w:vAlign w:val="center"/>
          </w:tcPr>
          <w:p w14:paraId="53D6D6CA"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命中数（上限</w:t>
            </w:r>
            <w:r w:rsidRPr="008E4653">
              <w:t>+9</w:t>
            </w:r>
            <w:r w:rsidRPr="008E4653">
              <w:t>）</w:t>
            </w:r>
          </w:p>
        </w:tc>
      </w:tr>
      <w:tr w:rsidR="008E4653" w:rsidRPr="008E4653" w14:paraId="5CB9082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25DBA19" w14:textId="77777777" w:rsidR="00DA6AA7" w:rsidRPr="008E4653" w:rsidRDefault="00DA6AA7" w:rsidP="004E5832">
            <w:pPr>
              <w:ind w:firstLineChars="0" w:firstLine="0"/>
              <w:jc w:val="center"/>
              <w:rPr>
                <w:b w:val="0"/>
                <w:bCs w:val="0"/>
              </w:rPr>
            </w:pPr>
            <w:r w:rsidRPr="008E4653">
              <w:rPr>
                <w:b w:val="0"/>
                <w:bCs w:val="0"/>
              </w:rPr>
              <w:t>目录</w:t>
            </w:r>
            <w:r w:rsidRPr="008E4653">
              <w:rPr>
                <w:b w:val="0"/>
                <w:bCs w:val="0"/>
              </w:rPr>
              <w:t>/</w:t>
            </w:r>
            <w:r w:rsidRPr="008E4653">
              <w:rPr>
                <w:b w:val="0"/>
                <w:bCs w:val="0"/>
              </w:rPr>
              <w:t>索引页</w:t>
            </w:r>
          </w:p>
        </w:tc>
        <w:tc>
          <w:tcPr>
            <w:tcW w:w="2544" w:type="pct"/>
            <w:vAlign w:val="center"/>
          </w:tcPr>
          <w:p w14:paraId="10B953FC" w14:textId="77777777" w:rsidR="00DA6AA7" w:rsidRPr="008E4653"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−15</w:t>
            </w:r>
          </w:p>
        </w:tc>
      </w:tr>
    </w:tbl>
    <w:p w14:paraId="3D2EF764" w14:textId="77777777" w:rsidR="00A02BAC" w:rsidRDefault="00000000" w:rsidP="003B1C9D">
      <w:pPr>
        <w:autoSpaceDE w:val="0"/>
        <w:autoSpaceDN w:val="0"/>
        <w:adjustRightInd w:val="0"/>
        <w:snapToGrid w:val="0"/>
        <w:spacing w:beforeLines="50" w:before="156"/>
      </w:pPr>
      <w:r>
        <w:t>页面评分用于后续路由，不直接参与字段值生成。高分页面通常对应数据汇总表或关键绩效披露页，低分页面通常对应封面、目录或叙述性内容。系统对七类特征加权求和，页面信息密度得分定义为：</w:t>
      </w:r>
    </w:p>
    <w:p w14:paraId="4DD585C7" w14:textId="575D328A"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tab/>
      </w:r>
      <w:r w:rsidR="00940029">
        <w:object w:dxaOrig="3900" w:dyaOrig="880" w14:anchorId="0B449C1C">
          <v:shape id="_x0000_i1032" type="#_x0000_t75" style="width:195.25pt;height:44.3pt" o:ole="">
            <v:imagedata r:id="rId41" o:title=""/>
          </v:shape>
          <o:OLEObject Type="Embed" ProgID="Equation.DSMT4" ShapeID="_x0000_i1032" DrawAspect="Content" ObjectID="_1844344412" r:id="rId42"/>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5</w:t>
      </w:r>
      <w:r>
        <w:fldChar w:fldCharType="end"/>
      </w:r>
      <w:r w:rsidR="009A4E6A">
        <w:rPr>
          <w:rFonts w:hint="eastAsia"/>
        </w:rPr>
        <w:t>）</w:t>
      </w:r>
    </w:p>
    <w:p w14:paraId="137A03F4" w14:textId="614BF925" w:rsidR="00A02BAC" w:rsidRPr="009A4E6A" w:rsidRDefault="00000000" w:rsidP="003B1C9D">
      <w:pPr>
        <w:pStyle w:val="afb"/>
        <w:autoSpaceDE w:val="0"/>
        <w:autoSpaceDN w:val="0"/>
        <w:snapToGrid w:val="0"/>
        <w:ind w:firstLine="480"/>
        <w:textAlignment w:val="center"/>
      </w:pPr>
      <w:r>
        <w:t>式（5）中，S_p表示第p页得分，I(·)为示性函数；L_p、T_p、E_p、D_p、R_p、Y_p分别表示低文本标识、表格信号词命中、ESG关键词命中、数字密集程度、类表格行数和年份命中数量，C_p表示目录页惩罚标识。</w:t>
      </w:r>
    </w:p>
    <w:p w14:paraId="26C9A0C2" w14:textId="77777777" w:rsidR="00A02BAC" w:rsidRDefault="00000000" w:rsidP="00C0392A">
      <w:pPr>
        <w:autoSpaceDE w:val="0"/>
        <w:autoSpaceDN w:val="0"/>
        <w:snapToGrid w:val="0"/>
      </w:pPr>
      <w:r>
        <w:t>系统将每页得分、特征摘要、原始页码和初始路由结果一并记录。该信息既用于生成重点页列表，也用于说明某一页面进入深度解析通道的依据。</w:t>
      </w:r>
    </w:p>
    <w:p w14:paraId="158092C8" w14:textId="29477B78" w:rsidR="00A02BAC" w:rsidRDefault="00000000">
      <w:pPr>
        <w:pStyle w:val="afb"/>
        <w:ind w:firstLine="480"/>
      </w:pPr>
      <w:r>
        <w:t>规则扫描的计算开销相对较低，可在调用深度解析工具前完成全文初筛。由于深度解析成本会随处理页数增加而累积，系统通过页面评分和最大页数配置，使有限资源优先用于信息密度较高的页面。</w:t>
      </w:r>
    </w:p>
    <w:p w14:paraId="453AE795" w14:textId="77777777" w:rsidR="00A02BAC" w:rsidRDefault="00000000">
      <w:pPr>
        <w:pStyle w:val="gao"/>
        <w:spacing w:before="156"/>
      </w:pPr>
      <w:r>
        <w:t>重点页面识别与灰区页复判</w:t>
      </w:r>
    </w:p>
    <w:p w14:paraId="7FD32A9C" w14:textId="77777777" w:rsidR="00A02BAC" w:rsidRDefault="00000000">
      <w:pPr>
        <w:pStyle w:val="afb"/>
        <w:ind w:firstLine="480"/>
      </w:pPr>
      <w:r>
        <w:t>规则评分能够对部分高分和低分页面给出较明确的初始判断，但中间分数区间及部分低文本候选页仍可能存在歧义，本方案将其统一称为灰区页面。例如，图文并排的环境绩效页可能因文本较少而得分偏低，年份密集的目录页也可能获得较高分数，因此需要补充判断。</w:t>
      </w:r>
    </w:p>
    <w:p w14:paraId="6316A558" w14:textId="69EC1902" w:rsidR="00A02BAC" w:rsidRDefault="00000000" w:rsidP="00FE34EA">
      <w:pPr>
        <w:pStyle w:val="afb"/>
        <w:ind w:firstLine="480"/>
        <w:textAlignment w:val="center"/>
      </w:pPr>
      <w:r>
        <w:t>系统以两个阈值将页面划分为高价值区、灰区和低价值区，分流机制见图5和表4。灰区复判将页面文本、特征摘要或视觉信息提交给语言模型或视觉模型，模型只返回是否进入MinerU及相应置信度，不输出最终ESG字段。模型未启用、调用失败或超过复判页数上限时，系统回退至规则结果并记录回退状态。</w:t>
      </w:r>
    </w:p>
    <w:p w14:paraId="1B08216E" w14:textId="77777777" w:rsidR="00A02BAC" w:rsidRDefault="00000000" w:rsidP="009C6B5D">
      <w:pPr>
        <w:pStyle w:val="afb"/>
        <w:keepNext/>
        <w:spacing w:beforeLines="50" w:before="156"/>
        <w:ind w:firstLine="480"/>
        <w:jc w:val="center"/>
      </w:pPr>
      <w:r>
        <w:rPr>
          <w:rFonts w:hint="eastAsia"/>
          <w:noProof/>
        </w:rPr>
        <w:drawing>
          <wp:inline distT="0" distB="0" distL="0" distR="0" wp14:anchorId="512F65CB" wp14:editId="64CE5E31">
            <wp:extent cx="3306105" cy="2203938"/>
            <wp:effectExtent l="0" t="0" r="8890" b="6350"/>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45896" cy="2230464"/>
                    </a:xfrm>
                    <a:prstGeom prst="rect">
                      <a:avLst/>
                    </a:prstGeom>
                  </pic:spPr>
                </pic:pic>
              </a:graphicData>
            </a:graphic>
          </wp:inline>
        </w:drawing>
      </w:r>
    </w:p>
    <w:p w14:paraId="76D218C7" w14:textId="7834A6CA" w:rsidR="00A02BAC" w:rsidRDefault="00000000">
      <w:pPr>
        <w:ind w:firstLineChars="0" w:firstLine="0"/>
        <w:jc w:val="center"/>
      </w:pPr>
      <w:bookmarkStart w:id="30" w:name="_Ref233494163"/>
      <w:bookmarkStart w:id="31" w:name="_Toc233659580"/>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5</w:t>
      </w:r>
      <w:r>
        <w:fldChar w:fldCharType="end"/>
      </w:r>
      <w:bookmarkEnd w:id="30"/>
      <w:r w:rsidR="00FE34EA">
        <w:rPr>
          <w:rFonts w:hint="eastAsia"/>
        </w:rPr>
        <w:t xml:space="preserve">  </w:t>
      </w:r>
      <w:r>
        <w:rPr>
          <w:rFonts w:hint="eastAsia"/>
        </w:rPr>
        <w:t>分流机制图</w:t>
      </w:r>
      <w:bookmarkEnd w:id="31"/>
    </w:p>
    <w:p w14:paraId="7010B473" w14:textId="3CCC97B4" w:rsidR="00A02BAC" w:rsidRDefault="00000000" w:rsidP="009C6B5D">
      <w:pPr>
        <w:spacing w:beforeLines="50" w:before="156"/>
        <w:ind w:firstLineChars="0" w:firstLine="0"/>
        <w:jc w:val="center"/>
      </w:pPr>
      <w:bookmarkStart w:id="32" w:name="_Ref233494240"/>
      <w:bookmarkStart w:id="33" w:name="_Toc233659593"/>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4</w:t>
      </w:r>
      <w:r>
        <w:fldChar w:fldCharType="end"/>
      </w:r>
      <w:bookmarkEnd w:id="32"/>
      <w:r w:rsidR="00FE34EA">
        <w:rPr>
          <w:rFonts w:hint="eastAsia"/>
        </w:rPr>
        <w:t xml:space="preserve">  </w:t>
      </w:r>
      <w:r>
        <w:rPr>
          <w:rFonts w:hint="eastAsia"/>
        </w:rPr>
        <w:t>各区间处理策略</w:t>
      </w:r>
      <w:bookmarkEnd w:id="33"/>
    </w:p>
    <w:tbl>
      <w:tblPr>
        <w:tblStyle w:val="4-6"/>
        <w:tblW w:w="5006" w:type="pct"/>
        <w:tblLook w:val="04A0" w:firstRow="1" w:lastRow="0" w:firstColumn="1" w:lastColumn="0" w:noHBand="0" w:noVBand="1"/>
      </w:tblPr>
      <w:tblGrid>
        <w:gridCol w:w="1278"/>
        <w:gridCol w:w="2125"/>
        <w:gridCol w:w="1702"/>
        <w:gridCol w:w="3207"/>
      </w:tblGrid>
      <w:tr w:rsidR="004E5832" w:rsidRPr="004E5832" w14:paraId="2E4ABF8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50D7523" w14:textId="77777777" w:rsidR="00A02BAC" w:rsidRPr="004E5832" w:rsidRDefault="00000000" w:rsidP="004E5832">
            <w:pPr>
              <w:ind w:firstLineChars="0" w:firstLine="0"/>
              <w:jc w:val="center"/>
            </w:pPr>
            <w:r w:rsidRPr="004E5832">
              <w:t>区间</w:t>
            </w:r>
          </w:p>
        </w:tc>
        <w:tc>
          <w:tcPr>
            <w:tcW w:w="1278" w:type="pct"/>
            <w:vAlign w:val="center"/>
          </w:tcPr>
          <w:p w14:paraId="2053C0D2"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触发条件</w:t>
            </w:r>
          </w:p>
        </w:tc>
        <w:tc>
          <w:tcPr>
            <w:tcW w:w="1024" w:type="pct"/>
            <w:vAlign w:val="center"/>
          </w:tcPr>
          <w:p w14:paraId="4818EA9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处理策略</w:t>
            </w:r>
          </w:p>
        </w:tc>
        <w:tc>
          <w:tcPr>
            <w:tcW w:w="1929" w:type="pct"/>
            <w:vAlign w:val="center"/>
          </w:tcPr>
          <w:p w14:paraId="7EEB91F1"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典型页面类型</w:t>
            </w:r>
          </w:p>
        </w:tc>
      </w:tr>
      <w:tr w:rsidR="00EA6742" w:rsidRPr="00AC3B3D" w14:paraId="1063091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04A1F343" w14:textId="77777777" w:rsidR="00A02BAC" w:rsidRPr="00AC3B3D" w:rsidRDefault="00000000" w:rsidP="004E5832">
            <w:pPr>
              <w:ind w:firstLineChars="0" w:firstLine="0"/>
              <w:jc w:val="center"/>
              <w:rPr>
                <w:b w:val="0"/>
                <w:bCs w:val="0"/>
              </w:rPr>
            </w:pPr>
            <w:r w:rsidRPr="00AC3B3D">
              <w:rPr>
                <w:b w:val="0"/>
                <w:bCs w:val="0"/>
              </w:rPr>
              <w:t>高价值区</w:t>
            </w:r>
          </w:p>
        </w:tc>
        <w:tc>
          <w:tcPr>
            <w:tcW w:w="1278" w:type="pct"/>
            <w:vAlign w:val="center"/>
          </w:tcPr>
          <w:p w14:paraId="53FE0FAE" w14:textId="356FAA09"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6E65988C"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MinerU</w:t>
            </w:r>
          </w:p>
          <w:p w14:paraId="54AC64D8" w14:textId="20B582BF"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深度解析</w:t>
            </w:r>
          </w:p>
        </w:tc>
        <w:tc>
          <w:tcPr>
            <w:tcW w:w="1929" w:type="pct"/>
            <w:vAlign w:val="center"/>
          </w:tcPr>
          <w:p w14:paraId="74A59C1D"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ESG</w:t>
            </w:r>
            <w:r w:rsidRPr="00AC3B3D">
              <w:t>数据表、关键绩效表</w:t>
            </w:r>
          </w:p>
        </w:tc>
      </w:tr>
      <w:tr w:rsidR="00EA6742" w:rsidRPr="00AC3B3D" w14:paraId="63C42411"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426050E8" w14:textId="77777777" w:rsidR="00A02BAC" w:rsidRPr="00AC3B3D" w:rsidRDefault="00000000" w:rsidP="004E5832">
            <w:pPr>
              <w:ind w:firstLineChars="0" w:firstLine="0"/>
              <w:jc w:val="center"/>
              <w:rPr>
                <w:b w:val="0"/>
                <w:bCs w:val="0"/>
              </w:rPr>
            </w:pPr>
            <w:r w:rsidRPr="00AC3B3D">
              <w:rPr>
                <w:b w:val="0"/>
                <w:bCs w:val="0"/>
              </w:rPr>
              <w:t>灰区</w:t>
            </w:r>
          </w:p>
        </w:tc>
        <w:tc>
          <w:tcPr>
            <w:tcW w:w="1278" w:type="pct"/>
            <w:vAlign w:val="center"/>
          </w:tcPr>
          <w:p w14:paraId="040CABCD" w14:textId="5D76C35C" w:rsidR="00A02BAC" w:rsidRPr="00AC3B3D"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752790F1" w14:textId="4CE3434A"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LLM</w:t>
            </w:r>
            <w:r w:rsidRPr="00AC3B3D">
              <w:t>语义仲裁后再分流</w:t>
            </w:r>
          </w:p>
        </w:tc>
        <w:tc>
          <w:tcPr>
            <w:tcW w:w="1929" w:type="pct"/>
            <w:vAlign w:val="center"/>
          </w:tcPr>
          <w:p w14:paraId="09F0539B" w14:textId="77777777"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图文混排页、定性披露段落</w:t>
            </w:r>
          </w:p>
        </w:tc>
      </w:tr>
      <w:tr w:rsidR="00EA6742" w:rsidRPr="00AC3B3D" w14:paraId="028889E5"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6A89A4E" w14:textId="77777777" w:rsidR="00A02BAC" w:rsidRPr="00AC3B3D" w:rsidRDefault="00000000" w:rsidP="004E5832">
            <w:pPr>
              <w:ind w:firstLineChars="0" w:firstLine="0"/>
              <w:jc w:val="center"/>
              <w:rPr>
                <w:b w:val="0"/>
                <w:bCs w:val="0"/>
              </w:rPr>
            </w:pPr>
            <w:r w:rsidRPr="00AC3B3D">
              <w:rPr>
                <w:b w:val="0"/>
                <w:bCs w:val="0"/>
              </w:rPr>
              <w:t>低价值区</w:t>
            </w:r>
          </w:p>
        </w:tc>
        <w:tc>
          <w:tcPr>
            <w:tcW w:w="1278" w:type="pct"/>
            <w:vAlign w:val="center"/>
          </w:tcPr>
          <w:p w14:paraId="3D34A563" w14:textId="05057593"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24F10F6A"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PyMuPDF</w:t>
            </w:r>
          </w:p>
          <w:p w14:paraId="27B994F8" w14:textId="45994B78"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快速提取</w:t>
            </w:r>
          </w:p>
        </w:tc>
        <w:tc>
          <w:tcPr>
            <w:tcW w:w="1929" w:type="pct"/>
            <w:vAlign w:val="center"/>
          </w:tcPr>
          <w:p w14:paraId="1594A4F2"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封面、目录、致辞、宣传页</w:t>
            </w:r>
          </w:p>
        </w:tc>
      </w:tr>
    </w:tbl>
    <w:p w14:paraId="4B1ECF96" w14:textId="50AEE90B" w:rsidR="00A02BAC" w:rsidRDefault="00000000" w:rsidP="009C6B5D">
      <w:pPr>
        <w:pStyle w:val="afb"/>
        <w:spacing w:beforeLines="50" w:before="156"/>
        <w:ind w:firstLine="480"/>
      </w:pPr>
      <w:r>
        <w:t>该机制采用规则优先、模型补充的方式完成页面路由。规则模块处理大部分页面，模型仅处理规则难以区分的灰区页面，并受可配置调用上限约束。页面复判结果与后续字段抽取结果分别保存，便于区分路由误差和抽取误差。</w:t>
      </w:r>
    </w:p>
    <w:p w14:paraId="596F6D22" w14:textId="77777777" w:rsidR="00A02BAC" w:rsidRDefault="00000000" w:rsidP="001200A3">
      <w:pPr>
        <w:pStyle w:val="a0"/>
      </w:pPr>
      <w:bookmarkStart w:id="34" w:name="_Toc233668290"/>
      <w:r>
        <w:lastRenderedPageBreak/>
        <w:t>基于重点页的分层解析</w:t>
      </w:r>
      <w:bookmarkEnd w:id="34"/>
    </w:p>
    <w:p w14:paraId="22BA9921" w14:textId="77777777" w:rsidR="00A02BAC" w:rsidRDefault="00000000" w:rsidP="00277447">
      <w:pPr>
        <w:pStyle w:val="gao"/>
        <w:spacing w:beforeLines="0" w:before="0"/>
      </w:pPr>
      <w:r>
        <w:t>页面分流与解析策略</w:t>
      </w:r>
    </w:p>
    <w:p w14:paraId="6B91506A" w14:textId="6BB893FA" w:rsidR="00A02BAC" w:rsidRDefault="00000000">
      <w:r>
        <w:t>完成三档分流后，系统生成按原页码排列的路由清单，记录每页得分、处理通道与路由依据。PyMuPDF对全文提供基础文本处理，高价值或复杂版式页面进入MinerU候选集；这里的“覆盖全文”不表示所有页面均进入深度解析。</w:t>
      </w:r>
    </w:p>
    <w:p w14:paraId="7961C3BE" w14:textId="05BAD5E8" w:rsidR="00A02BAC" w:rsidRDefault="00000000" w:rsidP="006C7C42">
      <w:r>
        <w:t>MinerU用于处理经页面评分与灰区复判选出的重点页，可补充多列布局、合并单元格、图文混排和部分扫描候选页中的结构信息[19]。考虑到报告页数和资源边界，系统设置重点页最大数量，避免单份长报告占用过多深度解析资源。</w:t>
      </w:r>
    </w:p>
    <w:p w14:paraId="19796B60" w14:textId="77777777" w:rsidR="00A02BAC" w:rsidRPr="001F6B2D" w:rsidRDefault="00000000" w:rsidP="00277447">
      <w:pPr>
        <w:pStyle w:val="gao"/>
        <w:spacing w:beforeLines="0" w:before="0"/>
      </w:pPr>
      <w:bookmarkStart w:id="35" w:name="OLE_LINK2"/>
      <w:r w:rsidRPr="001F6B2D">
        <w:t>重点页子</w:t>
      </w:r>
      <w:r w:rsidRPr="001F6B2D">
        <w:t>PDF</w:t>
      </w:r>
      <w:r w:rsidRPr="001F6B2D">
        <w:t>生成</w:t>
      </w:r>
    </w:p>
    <w:p w14:paraId="2CCE7DEA" w14:textId="51C0513E" w:rsidR="006C7C42" w:rsidRDefault="006C7C42" w:rsidP="006C7C42">
      <w:r>
        <w:t>系统依据页面价值评估结果生成重点页列表，候选页面包括ESG指标表、环境绩效表、员工数据表、治理结构表，以及文本层质量较低但可能包含目标信息的页面。重点页列表保留原始页码及路由依据。</w:t>
      </w:r>
    </w:p>
    <w:p w14:paraId="08C1429E" w14:textId="654BAA52" w:rsidR="006C7C42" w:rsidRDefault="00742C74" w:rsidP="006C7C42">
      <w:r>
        <w:t>系统使用PyMuPDF按照原页码顺序抽取重点页并生成子PDF，作为MinerU的实际输入。与此同时，原始PDF仍用于全文基础文本提取。子PDF用于缩小深度解析范围，不改变原报告页码与后续证据页码之间的对应关系。</w:t>
      </w:r>
    </w:p>
    <w:p w14:paraId="2A98A814" w14:textId="2DD7B429" w:rsidR="00A02BAC" w:rsidRDefault="006C7C42" w:rsidP="006C7C42">
      <w:r>
        <w:t>子PDF生成成功后进入MinerU处理；生成失败时，任务记录异常并保留全文基础文本结果。该设计将文件处理错误与解析工具错误分开记录，也为后续重新处理和人工复核保留依据。</w:t>
      </w:r>
    </w:p>
    <w:p w14:paraId="4715042E" w14:textId="77777777" w:rsidR="00A02BAC" w:rsidRPr="003C2812" w:rsidRDefault="00000000" w:rsidP="009C6B5D">
      <w:pPr>
        <w:pStyle w:val="gao"/>
        <w:spacing w:beforeLines="0" w:before="0"/>
      </w:pPr>
      <w:r w:rsidRPr="003C2812">
        <w:t>MinerU</w:t>
      </w:r>
      <w:r w:rsidRPr="003C2812">
        <w:t>深度解析与文本融合</w:t>
      </w:r>
    </w:p>
    <w:bookmarkEnd w:id="35"/>
    <w:p w14:paraId="0DECFEAC" w14:textId="44B6D426" w:rsidR="006C7C42" w:rsidRDefault="003E7B16" w:rsidP="006C7C42">
      <w:r>
        <w:t>在完整生产模式下，系统调用MinerU解析重点页，并将解析结果重新映射至原报告页码。MinerU更适合补充处理复杂表格、图文混排和版面顺序不稳定的页面；在低资源演示模式中，该组件可按配置关闭，因此不将其表述为所有部署环境中的默认全量步骤。</w:t>
      </w:r>
    </w:p>
    <w:p w14:paraId="57F2D7A3" w14:textId="6D347730" w:rsidR="006C7C42" w:rsidRDefault="006C7C42" w:rsidP="006C7C42">
      <w:r>
        <w:t>系统将MinerU重点页结果与PyMuPDF全文文本统一转换为文本块，并为每个文本块记录来源通道、原始页码、块编号和正文。两路结果可以在同一页面并存，检索与复核环节可据此识别证据来源。</w:t>
      </w:r>
    </w:p>
    <w:p w14:paraId="2F3839EC" w14:textId="4DCEF167" w:rsidR="00A02BAC" w:rsidRPr="006C7C42" w:rsidRDefault="006C7C42" w:rsidP="006C7C42">
      <w:r>
        <w:t>MinerU未启用或运行失败时，系统继续使用PyMuPDF文本块，并在任务状态中记录降级原因。后续检索和抽取仍可执行，企业用户可根据日志决定是否补充深度解析后重新处理。</w:t>
      </w:r>
    </w:p>
    <w:p w14:paraId="076468EA" w14:textId="77777777" w:rsidR="00A02BAC" w:rsidRDefault="00000000" w:rsidP="001200A3">
      <w:pPr>
        <w:pStyle w:val="a0"/>
      </w:pPr>
      <w:bookmarkStart w:id="36" w:name="_Toc233668291"/>
      <w:r>
        <w:t>字段级证据召回与融合排序</w:t>
      </w:r>
      <w:bookmarkEnd w:id="36"/>
    </w:p>
    <w:p w14:paraId="32198239" w14:textId="77777777" w:rsidR="00A02BAC" w:rsidRDefault="00000000">
      <w:r>
        <w:t>字段级证据召回按照“文本块构建—查询改写—BM25与Embedding双路召回—RRF融合—字段重排—Top-K输出”的顺序执行。该流程同时利用专业术语的精确匹配和同义表述的语义匹配，并通过字段专属线索约束候选证据，降低同表相邻字段之间的串扰。</w:t>
      </w:r>
    </w:p>
    <w:p w14:paraId="506F6245" w14:textId="77777777" w:rsidR="00A02BAC" w:rsidRDefault="00000000" w:rsidP="009C6B5D">
      <w:pPr>
        <w:pStyle w:val="gao"/>
        <w:spacing w:beforeLines="0" w:before="0"/>
      </w:pPr>
      <w:r>
        <w:t>报告文本块构建</w:t>
      </w:r>
    </w:p>
    <w:p w14:paraId="5C19C3DC" w14:textId="34BA2BA7" w:rsidR="00A02BAC" w:rsidRDefault="00000000">
      <w:r>
        <w:t>两路解析文本汇合后进入统一切块阶段，将长篇内容组织为适合检索的文本单元。每个文本块均保留来源、原始页码和唯一编号，为证据追溯与错误定位提供基础。</w:t>
      </w:r>
    </w:p>
    <w:p w14:paraId="637BC41C" w14:textId="54D6FD09" w:rsidR="00A02BAC" w:rsidRDefault="00000000">
      <w:r>
        <w:t>PyMuPDF连续文本块按约1200字符组织，MinerU输出的Markdown块为尽量保留表格行列关系按约1600字符组织，相邻块保留重叠区域。检索命中的证据在进入大语言模型提示前再按配置截取，当前单条上下文上限约1800字符。因此，1200、1600和1800分别对应两类索引块与抽取上下文上限，含义并不相同。文本块结构见表5。</w:t>
      </w:r>
    </w:p>
    <w:p w14:paraId="1E1F434F" w14:textId="748B5300" w:rsidR="00A02BAC" w:rsidRDefault="00000000">
      <w:pPr>
        <w:ind w:firstLineChars="0" w:firstLine="0"/>
        <w:jc w:val="center"/>
      </w:pPr>
      <w:bookmarkStart w:id="37" w:name="_Ref233494295"/>
      <w:bookmarkStart w:id="38" w:name="_Toc233659594"/>
      <w:r>
        <w:rPr>
          <w:rFonts w:hint="eastAsia"/>
        </w:rPr>
        <w:lastRenderedPageBreak/>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5</w:t>
      </w:r>
      <w:r>
        <w:fldChar w:fldCharType="end"/>
      </w:r>
      <w:bookmarkEnd w:id="37"/>
      <w:r w:rsidR="00FE34EA">
        <w:rPr>
          <w:rFonts w:hint="eastAsia"/>
        </w:rPr>
        <w:t xml:space="preserve">  </w:t>
      </w:r>
      <w:r>
        <w:rPr>
          <w:rFonts w:hint="eastAsia"/>
        </w:rPr>
        <w:t>文本块库结构</w:t>
      </w:r>
      <w:bookmarkEnd w:id="38"/>
    </w:p>
    <w:tbl>
      <w:tblPr>
        <w:tblStyle w:val="4-6"/>
        <w:tblW w:w="5000" w:type="pct"/>
        <w:tblLook w:val="04A0" w:firstRow="1" w:lastRow="0" w:firstColumn="1" w:lastColumn="0" w:noHBand="0" w:noVBand="1"/>
      </w:tblPr>
      <w:tblGrid>
        <w:gridCol w:w="2904"/>
        <w:gridCol w:w="5398"/>
      </w:tblGrid>
      <w:tr w:rsidR="004E5832" w:rsidRPr="004E5832" w14:paraId="381DCA6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065FF13" w14:textId="77777777" w:rsidR="00B162C8" w:rsidRPr="004E5832" w:rsidRDefault="00B162C8" w:rsidP="004E5832">
            <w:pPr>
              <w:ind w:firstLineChars="0" w:firstLine="0"/>
              <w:jc w:val="center"/>
              <w:rPr>
                <w:b w:val="0"/>
                <w:bCs w:val="0"/>
                <w:caps/>
              </w:rPr>
            </w:pPr>
            <w:r w:rsidRPr="004E5832">
              <w:t>字段</w:t>
            </w:r>
          </w:p>
        </w:tc>
        <w:tc>
          <w:tcPr>
            <w:tcW w:w="3251" w:type="pct"/>
            <w:vAlign w:val="center"/>
          </w:tcPr>
          <w:p w14:paraId="53F7396B" w14:textId="77777777" w:rsidR="00B162C8" w:rsidRPr="004E5832"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4E5832">
              <w:t>含义</w:t>
            </w:r>
          </w:p>
        </w:tc>
      </w:tr>
      <w:tr w:rsidR="00667C55" w:rsidRPr="00667C55" w14:paraId="0BB70D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69E9EBAA" w14:textId="77777777" w:rsidR="00B162C8" w:rsidRPr="00667C55" w:rsidRDefault="00B162C8" w:rsidP="004E5832">
            <w:pPr>
              <w:ind w:firstLineChars="0" w:firstLine="0"/>
              <w:jc w:val="center"/>
              <w:rPr>
                <w:b w:val="0"/>
                <w:bCs w:val="0"/>
              </w:rPr>
            </w:pPr>
            <w:r w:rsidRPr="00667C55">
              <w:rPr>
                <w:b w:val="0"/>
                <w:bCs w:val="0"/>
              </w:rPr>
              <w:t>chunk_id</w:t>
            </w:r>
          </w:p>
        </w:tc>
        <w:tc>
          <w:tcPr>
            <w:tcW w:w="3251" w:type="pct"/>
            <w:vAlign w:val="center"/>
          </w:tcPr>
          <w:p w14:paraId="4E02BF56"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文本块唯一编号</w:t>
            </w:r>
          </w:p>
        </w:tc>
      </w:tr>
      <w:tr w:rsidR="00667C55" w:rsidRPr="00667C55" w14:paraId="6C776371"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088A8310" w14:textId="77777777" w:rsidR="00B162C8" w:rsidRPr="00667C55" w:rsidRDefault="00B162C8" w:rsidP="004E5832">
            <w:pPr>
              <w:ind w:firstLineChars="0" w:firstLine="0"/>
              <w:jc w:val="center"/>
              <w:rPr>
                <w:b w:val="0"/>
                <w:bCs w:val="0"/>
              </w:rPr>
            </w:pPr>
            <w:r w:rsidRPr="00667C55">
              <w:rPr>
                <w:b w:val="0"/>
                <w:bCs w:val="0"/>
              </w:rPr>
              <w:t>source</w:t>
            </w:r>
          </w:p>
        </w:tc>
        <w:tc>
          <w:tcPr>
            <w:tcW w:w="3251" w:type="pct"/>
            <w:vAlign w:val="center"/>
          </w:tcPr>
          <w:p w14:paraId="44D2B156"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来源解析通道</w:t>
            </w:r>
          </w:p>
        </w:tc>
      </w:tr>
      <w:tr w:rsidR="00667C55" w:rsidRPr="00667C55" w14:paraId="39C3B5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B2EDFE3" w14:textId="77777777" w:rsidR="00B162C8" w:rsidRPr="00667C55" w:rsidRDefault="00B162C8" w:rsidP="004E5832">
            <w:pPr>
              <w:ind w:firstLineChars="0" w:firstLine="0"/>
              <w:jc w:val="center"/>
              <w:rPr>
                <w:b w:val="0"/>
                <w:bCs w:val="0"/>
              </w:rPr>
            </w:pPr>
            <w:r w:rsidRPr="00667C55">
              <w:rPr>
                <w:b w:val="0"/>
                <w:bCs w:val="0"/>
              </w:rPr>
              <w:t>page</w:t>
            </w:r>
          </w:p>
        </w:tc>
        <w:tc>
          <w:tcPr>
            <w:tcW w:w="3251" w:type="pct"/>
            <w:vAlign w:val="center"/>
          </w:tcPr>
          <w:p w14:paraId="104FC86E"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所属原始页码</w:t>
            </w:r>
          </w:p>
        </w:tc>
      </w:tr>
      <w:tr w:rsidR="00667C55" w:rsidRPr="00667C55" w14:paraId="414C3595"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4138ECF" w14:textId="77777777" w:rsidR="00B162C8" w:rsidRPr="00667C55" w:rsidRDefault="00B162C8" w:rsidP="004E5832">
            <w:pPr>
              <w:ind w:firstLineChars="0" w:firstLine="0"/>
              <w:jc w:val="center"/>
              <w:rPr>
                <w:b w:val="0"/>
                <w:bCs w:val="0"/>
              </w:rPr>
            </w:pPr>
            <w:r w:rsidRPr="00667C55">
              <w:rPr>
                <w:b w:val="0"/>
                <w:bCs w:val="0"/>
              </w:rPr>
              <w:t>text</w:t>
            </w:r>
          </w:p>
        </w:tc>
        <w:tc>
          <w:tcPr>
            <w:tcW w:w="3251" w:type="pct"/>
            <w:vAlign w:val="center"/>
          </w:tcPr>
          <w:p w14:paraId="1D5A52E0"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文本块正文内容</w:t>
            </w:r>
          </w:p>
        </w:tc>
      </w:tr>
    </w:tbl>
    <w:p w14:paraId="23B07856" w14:textId="30BA04C3" w:rsidR="00A02BAC" w:rsidRDefault="00000000" w:rsidP="00667C55">
      <w:pPr>
        <w:spacing w:beforeLines="50" w:before="156"/>
      </w:pPr>
      <w:r>
        <w:t>在文本块库基础上，系统根据字段Schema生成查询，随后分别执行稀疏检索和语义检索。查询、候选列表、融合名次和最终Top-K证据均可记录，以支持运行检查和后续误差分析。</w:t>
      </w:r>
    </w:p>
    <w:p w14:paraId="17A58B6F" w14:textId="77777777" w:rsidR="00A02BAC" w:rsidRDefault="00000000" w:rsidP="00FF7165">
      <w:pPr>
        <w:pStyle w:val="gao"/>
        <w:spacing w:before="156"/>
      </w:pPr>
      <w:r>
        <w:t>规则检索与语义检索</w:t>
      </w:r>
    </w:p>
    <w:p w14:paraId="595C8CA1" w14:textId="77777777" w:rsidR="00A02BAC" w:rsidRDefault="00000000" w:rsidP="00FF7165">
      <w:r>
        <w:rPr>
          <w:rFonts w:hint="eastAsia"/>
        </w:rPr>
        <w:t>（</w:t>
      </w:r>
      <w:r>
        <w:rPr>
          <w:rFonts w:hint="eastAsia"/>
        </w:rPr>
        <w:t>1</w:t>
      </w:r>
      <w:r>
        <w:rPr>
          <w:rFonts w:hint="eastAsia"/>
        </w:rPr>
        <w:t>）规则检索</w:t>
      </w:r>
    </w:p>
    <w:p w14:paraId="44E2D789" w14:textId="48D50D23" w:rsidR="00A02BAC" w:rsidRDefault="00000000" w:rsidP="00FE34EA">
      <w:r>
        <w:t>检索前置查询改写模块依据字段标准名称、别名、必备证据词、领域词和期望单位生成不超过8条扩展查询。该过程由确定性规则完成，不额外调用大语言模型，用于覆盖同一ESG概念在不同企业报告中的常见表述。</w:t>
      </w:r>
    </w:p>
    <w:p w14:paraId="620613E0" w14:textId="77777777" w:rsidR="00A02BAC" w:rsidRDefault="00000000" w:rsidP="00FF7165">
      <w:pPr>
        <w:spacing w:beforeLines="50" w:before="156"/>
      </w:pPr>
      <w:r>
        <w:rPr>
          <w:rFonts w:hint="eastAsia"/>
        </w:rPr>
        <w:t>（</w:t>
      </w:r>
      <w:r>
        <w:rPr>
          <w:rFonts w:hint="eastAsia"/>
        </w:rPr>
        <w:t>2</w:t>
      </w:r>
      <w:r>
        <w:rPr>
          <w:rFonts w:hint="eastAsia"/>
        </w:rPr>
        <w:t>）</w:t>
      </w:r>
      <w:r>
        <w:t>改进</w:t>
      </w:r>
      <w:r>
        <w:t>BM25</w:t>
      </w:r>
      <w:r>
        <w:rPr>
          <w:rFonts w:hint="eastAsia"/>
        </w:rPr>
        <w:t>算法</w:t>
      </w:r>
      <w:r>
        <w:t>检索</w:t>
      </w:r>
    </w:p>
    <w:p w14:paraId="1E356AF1" w14:textId="567EDB02" w:rsidR="00A02BAC" w:rsidRDefault="00000000" w:rsidP="00FE34EA">
      <w:r>
        <w:t>BM25路径对改写后的查询执行稀疏检索，重点利用专业术语、单位和表头短语等词汇线索。逆文档频率有助于提高低频区分性词项的权重，文本长度归一化用于减少长文本块对得分的影响。BM25在本方案中的计算形式如下：</w:t>
      </w:r>
    </w:p>
    <w:p w14:paraId="02546EFB" w14:textId="18384621" w:rsidR="00A02BAC" w:rsidRDefault="0010266B" w:rsidP="00592279">
      <w:pPr>
        <w:keepNext/>
        <w:tabs>
          <w:tab w:val="center" w:pos="4080"/>
          <w:tab w:val="right" w:pos="8520"/>
        </w:tabs>
        <w:autoSpaceDE w:val="0"/>
        <w:autoSpaceDN w:val="0"/>
        <w:adjustRightInd w:val="0"/>
        <w:snapToGrid w:val="0"/>
        <w:spacing w:beforeLines="50" w:before="156"/>
        <w:ind w:firstLineChars="0" w:firstLine="0"/>
      </w:pPr>
      <w:r>
        <w:lastRenderedPageBreak/>
        <w:tab/>
      </w:r>
      <w:r w:rsidR="00FF7165" w:rsidRPr="00E7111F">
        <w:rPr>
          <w:position w:val="-76"/>
        </w:rPr>
        <w:object w:dxaOrig="6500" w:dyaOrig="1640" w14:anchorId="01388015">
          <v:shape id="_x0000_i1045" type="#_x0000_t75" style="width:256.6pt;height:65.55pt" o:ole="">
            <v:imagedata r:id="rId68" o:title=""/>
          </v:shape>
          <o:OLEObject Type="Embed" ProgID="Equation.DSMT4" ShapeID="_x0000_i1045" DrawAspect="Content" ObjectID="_1844344425" r:id="rId69"/>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6</w:t>
      </w:r>
      <w:r>
        <w:fldChar w:fldCharType="end"/>
      </w:r>
      <w:r w:rsidR="00A50C1D" w:rsidRPr="00E7111F">
        <w:rPr>
          <w:rFonts w:hint="eastAsia"/>
        </w:rPr>
        <w:t>）</w:t>
      </w:r>
    </w:p>
    <w:p w14:paraId="7C3234F9" w14:textId="4FA35988" w:rsidR="00A02BAC" w:rsidRDefault="00000000" w:rsidP="001200A3">
      <w:pPr>
        <w:ind w:firstLineChars="0" w:firstLine="0"/>
      </w:pPr>
      <w:r>
        <w:t>式（6）中，q表示字段查询，d表示文本块，f(t,d)表示词项t在d中的频次，|d|与avgdl分别表示文本块长度和平均长度，k1、b为调节参数。BM25输出候选块后，系统再依据字段短语、期望单位、必备词和排除词进行字段级重排。</w:t>
      </w:r>
    </w:p>
    <w:p w14:paraId="2D273197" w14:textId="77777777" w:rsidR="00A02BAC" w:rsidRDefault="00000000" w:rsidP="00FF7165">
      <w:pPr>
        <w:spacing w:beforeLines="50" w:before="156"/>
      </w:pPr>
      <w:r>
        <w:rPr>
          <w:rFonts w:hint="eastAsia"/>
        </w:rPr>
        <w:t>（</w:t>
      </w:r>
      <w:r>
        <w:rPr>
          <w:rFonts w:hint="eastAsia"/>
        </w:rPr>
        <w:t>3</w:t>
      </w:r>
      <w:r>
        <w:rPr>
          <w:rFonts w:hint="eastAsia"/>
        </w:rPr>
        <w:t>）</w:t>
      </w:r>
      <w:r>
        <w:t>自适应语义嵌入</w:t>
      </w:r>
    </w:p>
    <w:p w14:paraId="53A64572" w14:textId="77777777" w:rsidR="00A02BAC" w:rsidRDefault="00000000" w:rsidP="00FE34EA">
      <w:r>
        <w:t>Embedding路径使用配置的语义向量服务召回字面表达不同但语义相关的文本块。在线模式可调用text-embedding-v4；接口未配置、调用失败或处于轻量化环境时，系统回退至本地字符n-gram TF-IDF余弦检索，并记录回退状态。该回退方案用于维持流程连续性，但不将其效果等同于在线Embedding模型。</w:t>
      </w:r>
    </w:p>
    <w:p w14:paraId="2CC30D38" w14:textId="77777777" w:rsidR="00A02BAC" w:rsidRDefault="00000000">
      <w:pPr>
        <w:pStyle w:val="gao"/>
        <w:spacing w:before="156"/>
      </w:pPr>
      <w:r>
        <w:t>证据融合排序</w:t>
      </w:r>
    </w:p>
    <w:p w14:paraId="51DED8E9" w14:textId="77777777" w:rsidR="00A02BAC" w:rsidRDefault="00000000">
      <w:r>
        <w:t>由于BM25与Embedding候选分数的尺度不同，系统采用互惠排序融合（RRF）依据候选名次进行统一排序，计算公式如下：</w:t>
      </w:r>
    </w:p>
    <w:p w14:paraId="6D344BFE" w14:textId="343C9419" w:rsidR="00A02BAC" w:rsidRDefault="00A50C1D" w:rsidP="00F13B40">
      <w:pPr>
        <w:pStyle w:val="a5"/>
        <w:tabs>
          <w:tab w:val="center" w:pos="4080"/>
          <w:tab w:val="right" w:pos="8160"/>
        </w:tabs>
        <w:adjustRightInd w:val="0"/>
        <w:snapToGrid w:val="0"/>
        <w:spacing w:beforeLines="50" w:before="156"/>
        <w:ind w:firstLineChars="0" w:firstLine="0"/>
        <w:textAlignment w:val="center"/>
      </w:pPr>
      <w:r>
        <w:tab/>
      </w:r>
      <w:r>
        <w:object w:dxaOrig="3563" w:dyaOrig="683" w14:anchorId="728D41E1">
          <v:shape id="_x0000_i1046" type="#_x0000_t75" style="width:177.7pt;height:33.7pt" o:ole="">
            <v:imagedata r:id="rId70" o:title=""/>
          </v:shape>
          <o:OLEObject Type="Embed" ProgID="Equation.DSMT4" ShapeID="_x0000_i1046" DrawAspect="Content" ObjectID="_1844344426" r:id="rId71"/>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2754E9">
        <w:rPr>
          <w:rFonts w:asciiTheme="minorHAnsi" w:eastAsia="宋体" w:hAnsiTheme="minorHAnsi" w:cstheme="minorHAnsi"/>
          <w:noProof/>
          <w:sz w:val="24"/>
          <w:szCs w:val="24"/>
        </w:rPr>
        <w:t>7</w:t>
      </w:r>
      <w:r w:rsidRPr="00617DA4">
        <w:rPr>
          <w:rFonts w:asciiTheme="minorHAnsi" w:eastAsia="宋体" w:hAnsiTheme="minorHAnsi" w:cstheme="minorHAnsi"/>
          <w:sz w:val="24"/>
          <w:szCs w:val="24"/>
        </w:rPr>
        <w:fldChar w:fldCharType="end"/>
      </w:r>
      <w:r w:rsidR="00FE34EA">
        <w:rPr>
          <w:rFonts w:hint="eastAsia"/>
        </w:rPr>
        <w:t>）</w:t>
      </w:r>
    </w:p>
    <w:p w14:paraId="3C2219D5" w14:textId="0345C744" w:rsidR="00F734FE" w:rsidRPr="00FE34EA" w:rsidRDefault="00000000" w:rsidP="00FF7165">
      <w:pPr>
        <w:ind w:firstLineChars="0" w:firstLine="0"/>
        <w:textAlignment w:val="center"/>
      </w:pPr>
      <w:r>
        <w:t>式（7）中，R表示检索路径集合，rank_r(d)表示文本块d在路径r中的名次，k为平滑常数。融合后，系统依据目标字段名称、别名、必备词、期望单位和排除词执行二次重排，并输出Top-K证据。字段专属奖励和排除约束用于减少相邻指标共用上下文时产生的字段串扰。</w:t>
      </w:r>
    </w:p>
    <w:p w14:paraId="741C7100" w14:textId="79439129" w:rsidR="00F734FE" w:rsidRPr="00F734FE" w:rsidRDefault="00000000" w:rsidP="001200A3">
      <w:pPr>
        <w:pStyle w:val="a0"/>
      </w:pPr>
      <w:bookmarkStart w:id="39" w:name="_Toc233668292"/>
      <w:r>
        <w:lastRenderedPageBreak/>
        <w:t>大模型结构化提取与质量校验</w:t>
      </w:r>
      <w:bookmarkEnd w:id="39"/>
    </w:p>
    <w:p w14:paraId="0EC82467" w14:textId="45A4172C" w:rsidR="00F734FE" w:rsidRDefault="00000000" w:rsidP="00F734FE">
      <w:pPr>
        <w:pStyle w:val="gao"/>
        <w:spacing w:before="156"/>
      </w:pPr>
      <w:r>
        <w:t>大模型字段提取</w:t>
      </w:r>
    </w:p>
    <w:p w14:paraId="14057242" w14:textId="15068848" w:rsidR="00F734FE" w:rsidRDefault="00F734FE" w:rsidP="00651E63">
      <w:pPr>
        <w:spacing w:afterLines="50" w:after="156"/>
      </w:pPr>
      <w:r>
        <w:t>字段抽取采用批次化调度策略，将60项ESG指标按预设步长组织为多个任务批次，并通过单次JSON响应返回同批字段结果，如图6所示。当前默认每批处理6个字段，每份报告最多调用大语言模型12次；该过程属于批次化多字段抽取，不等同于多个模型请求并发执行。</w:t>
      </w:r>
    </w:p>
    <w:p w14:paraId="2FFD1B14" w14:textId="19D2AABC" w:rsidR="00F734FE" w:rsidRDefault="00F734FE" w:rsidP="00651E63">
      <w:pPr>
        <w:ind w:firstLineChars="0" w:firstLine="0"/>
        <w:jc w:val="center"/>
      </w:pPr>
      <w:r>
        <w:rPr>
          <w:rFonts w:hint="eastAsia"/>
          <w:noProof/>
        </w:rPr>
        <w:drawing>
          <wp:inline distT="0" distB="0" distL="0" distR="0" wp14:anchorId="41ECA19F" wp14:editId="5F9115E2">
            <wp:extent cx="4718538" cy="1179635"/>
            <wp:effectExtent l="0" t="0" r="6350" b="1905"/>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76">
                      <a:extLst>
                        <a:ext uri="{96DAC541-7B7A-43D3-8B79-37D633B846F1}">
                          <asvg:svgBlip xmlns:asvg="http://schemas.microsoft.com/office/drawing/2016/SVG/main" r:embed="rId77"/>
                        </a:ext>
                      </a:extLst>
                    </a:blip>
                    <a:stretch>
                      <a:fillRect/>
                    </a:stretch>
                  </pic:blipFill>
                  <pic:spPr>
                    <a:xfrm>
                      <a:off x="0" y="0"/>
                      <a:ext cx="4749317" cy="1187330"/>
                    </a:xfrm>
                    <a:prstGeom prst="rect">
                      <a:avLst/>
                    </a:prstGeom>
                  </pic:spPr>
                </pic:pic>
              </a:graphicData>
            </a:graphic>
          </wp:inline>
        </w:drawing>
      </w:r>
    </w:p>
    <w:p w14:paraId="3119747B" w14:textId="05516E8E" w:rsidR="00FE34EA" w:rsidRDefault="00FE34EA" w:rsidP="00FE34EA">
      <w:pPr>
        <w:ind w:firstLineChars="0" w:firstLine="0"/>
        <w:jc w:val="center"/>
      </w:pPr>
      <w:bookmarkStart w:id="40" w:name="_Ref233572641"/>
      <w:bookmarkStart w:id="41" w:name="_Toc233659581"/>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2754E9">
        <w:rPr>
          <w:noProof/>
        </w:rPr>
        <w:t>6</w:t>
      </w:r>
      <w:r w:rsidRPr="00094482">
        <w:fldChar w:fldCharType="end"/>
      </w:r>
      <w:bookmarkEnd w:id="40"/>
      <w:r w:rsidRPr="00094482">
        <w:rPr>
          <w:rFonts w:hint="eastAsia"/>
        </w:rPr>
        <w:t xml:space="preserve">  </w:t>
      </w:r>
      <w:r w:rsidR="00094482" w:rsidRPr="00094482">
        <w:rPr>
          <w:rFonts w:hint="eastAsia"/>
        </w:rPr>
        <w:t>LLM</w:t>
      </w:r>
      <w:r w:rsidRPr="00094482">
        <w:rPr>
          <w:rFonts w:hint="eastAsia"/>
        </w:rPr>
        <w:t>字段提取流程</w:t>
      </w:r>
      <w:r w:rsidR="00CF2C45">
        <w:rPr>
          <w:rFonts w:hint="eastAsia"/>
        </w:rPr>
        <w:t>图</w:t>
      </w:r>
      <w:bookmarkEnd w:id="41"/>
    </w:p>
    <w:p w14:paraId="4EAE5984" w14:textId="4A9C21CC" w:rsidR="00F734FE" w:rsidRPr="00F734FE" w:rsidRDefault="00742C74" w:rsidP="009A7E10">
      <w:pPr>
        <w:spacing w:beforeLines="50" w:before="156"/>
      </w:pPr>
      <w:r>
        <w:t>系统先为每个字段召回Top-K证据，再将同批字段及其证据组织为结构化提示，约束大语言模型仅依据给定证据输出JSON。当前每个字段默认使用Top-K=8的候选证据，单条上下文按配置截取。定量字段返回值、单位和年份，定性字段返回证据摘要；报告未披露或证据不足时返回未命中状态，不以推测内容补齐。每条结果同时记录来源页码和证据文本，供后处理与人工复核使用。</w:t>
      </w:r>
    </w:p>
    <w:p w14:paraId="16668643" w14:textId="59A1F233" w:rsidR="00A02BAC" w:rsidRDefault="00000000" w:rsidP="00F734FE">
      <w:pPr>
        <w:pStyle w:val="gao"/>
        <w:spacing w:before="156"/>
      </w:pPr>
      <w:r>
        <w:t>目标年份对齐</w:t>
      </w:r>
      <w:r>
        <w:t xml:space="preserve"> </w:t>
      </w:r>
    </w:p>
    <w:p w14:paraId="26CD4315" w14:textId="77777777" w:rsidR="00F734FE" w:rsidRPr="00F734FE" w:rsidRDefault="00F734FE" w:rsidP="006C7C42">
      <w:r>
        <w:t>ESG报告常同时列示多个年度的数据，若只依据语义相关性选择证据，可能将历史年份数值误作目标年份结果。因此，系统在后处理阶段执行目标年份一致性校验。当前任务配置默认以2024年为目标年份，该配置可调整，但不表述为无需配置即可适配任意年度。</w:t>
      </w:r>
    </w:p>
    <w:p w14:paraId="2B934E3A" w14:textId="637E6770" w:rsidR="00F734FE" w:rsidRPr="00F734FE" w:rsidRDefault="00742C74" w:rsidP="006C7C42">
      <w:r>
        <w:t>系统从候选证据和抽取结果中识别年份信息，并与任务配置的目标年份进行比较。报告文件名、首页标题和发布日期可作为辅助线索，但统计年份判断以任务配置和字段证据之间的对应关系为准，避免将披露日期或历史事件年份作为指标统计年份。</w:t>
      </w:r>
    </w:p>
    <w:p w14:paraId="4D2CD97E" w14:textId="20459A80" w:rsidR="00F734FE" w:rsidRPr="00F734FE" w:rsidRDefault="00F734FE" w:rsidP="00651E63">
      <w:r>
        <w:t>年份一致时保留结果；出现年份偏移、年份缺失或跨年度表格对应关系不清时，系统降低结果可信等级并标记为待复核。若证据中存在目标年份的其他候选值，可在候选范围内重新比较，但不在缺少证据时推断目标年份数值。</w:t>
      </w:r>
    </w:p>
    <w:p w14:paraId="21F89CBE" w14:textId="54284597" w:rsidR="00F734FE" w:rsidRPr="00F734FE" w:rsidRDefault="00F734FE" w:rsidP="00540BEB">
      <w:r>
        <w:t>对于跨年度对比表格，系统结合表格结构、年份列与数值邻近关系进行校验，以降低相邻年份误配的可能性。无法建立清晰对应关系时保留年份异常标记，由人工复核确认。该机制用于暴露和控制年份风险，而非承诺消除全部跨年度误差。</w:t>
      </w:r>
    </w:p>
    <w:p w14:paraId="2A13E1C8" w14:textId="77777777" w:rsidR="00A02BAC" w:rsidRDefault="00000000" w:rsidP="00E8497C">
      <w:pPr>
        <w:spacing w:beforeLines="50" w:before="156"/>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92C80A6" w14:textId="66742C7C" w:rsidR="00C03B6D" w:rsidRDefault="00C03B6D" w:rsidP="00651E63">
      <w:pPr>
        <w:pStyle w:val="afb"/>
        <w:ind w:firstLine="480"/>
      </w:pPr>
      <w:r>
        <w:t>系统将模型置信度归一化至0—1区间，并从字段名匹配、数值命中、单位命中、年份命中、来源页码和证据完整性六个维度计算证据链得分。置信度低于0.7或证据链得分低于50的字段进入重点复核；单位异常、年份异常和缺少页码分别保留质量标记，便于用户按照风险排序处理。</w:t>
      </w:r>
    </w:p>
    <w:p w14:paraId="01F67DA5" w14:textId="4D187923" w:rsidR="00A02BAC" w:rsidRDefault="00C03B6D" w:rsidP="00651E63">
      <w:pPr>
        <w:pStyle w:val="afb"/>
        <w:ind w:firstLine="480"/>
      </w:pPr>
      <w:r>
        <w:t>系统为单份报告设置可配置的大语言模型调用上限，当前默认最多12次。当预算耗尽时，剩余字段返回带原因的空结果；模型调用失败时记录错误并支持任务重跑。解析失败、Embedding回退、缺少页码以及单位或年份异常均保留相应状态。上述设置用于约束资源使用并保持异常可见，不作为未经实测的服务等级承诺。</w:t>
      </w:r>
    </w:p>
    <w:p w14:paraId="3C8ED746" w14:textId="7141528F" w:rsidR="00B327F7" w:rsidRDefault="00B327F7" w:rsidP="001200A3">
      <w:pPr>
        <w:pStyle w:val="a0"/>
      </w:pPr>
      <w:bookmarkStart w:id="42" w:name="_Toc233668293"/>
      <w:r>
        <w:rPr>
          <w:rFonts w:hint="eastAsia"/>
        </w:rPr>
        <w:t>模型性能指标</w:t>
      </w:r>
      <w:bookmarkEnd w:id="42"/>
    </w:p>
    <w:p w14:paraId="0AFFEA73" w14:textId="16D1E604" w:rsidR="003709D8" w:rsidRDefault="00101B36" w:rsidP="00651E63">
      <w:r>
        <w:t>本次评估采用人工逐字段核验，共检查100项，其中16项经人工确认原报告未披露，84项为已披露有效样本。84项按照互斥类别统计：56项自动正确且可直接采纳，12项结果正确但被质量机制标记为待复核，12项字段串扰，3项数值错误，1项年份错误，分类数量合计为84项。</w:t>
      </w:r>
    </w:p>
    <w:p w14:paraId="4B6B8153" w14:textId="29FA92A1" w:rsidR="009A7E10" w:rsidRDefault="00CF2C45" w:rsidP="00592279">
      <w:pPr>
        <w:keepNext/>
        <w:spacing w:beforeLines="50" w:before="156"/>
        <w:ind w:firstLineChars="0" w:firstLine="0"/>
        <w:jc w:val="center"/>
      </w:pPr>
      <w:r>
        <w:rPr>
          <w:rFonts w:hint="eastAsia"/>
          <w:noProof/>
          <w:lang w:val="zh-CN"/>
        </w:rPr>
        <w:lastRenderedPageBreak/>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5125AECB" w14:textId="6C7BB8A0" w:rsidR="00E8497C" w:rsidRPr="009A7E10" w:rsidRDefault="009A7E10" w:rsidP="009A7E10">
      <w:pPr>
        <w:pStyle w:val="a5"/>
        <w:jc w:val="center"/>
        <w:rPr>
          <w:rFonts w:ascii="Times New Roman" w:eastAsia="宋体" w:hAnsi="Times New Roman" w:cs="Times New Roman"/>
          <w:sz w:val="24"/>
          <w:szCs w:val="24"/>
        </w:rPr>
      </w:pPr>
      <w:bookmarkStart w:id="43" w:name="_Ref233658017"/>
      <w:bookmarkStart w:id="44" w:name="_Toc233659582"/>
      <w:r w:rsidRPr="009A7E10">
        <w:rPr>
          <w:rFonts w:ascii="Times New Roman" w:eastAsia="宋体" w:hAnsi="Times New Roman" w:cs="Times New Roman" w:hint="eastAsia"/>
          <w:sz w:val="24"/>
          <w:szCs w:val="24"/>
        </w:rPr>
        <w:t>图</w:t>
      </w:r>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sz w:val="24"/>
          <w:szCs w:val="24"/>
        </w:rPr>
        <w:fldChar w:fldCharType="begin"/>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hint="eastAsia"/>
          <w:sz w:val="24"/>
          <w:szCs w:val="24"/>
        </w:rPr>
        <w:instrText xml:space="preserve">SEQ </w:instrText>
      </w:r>
      <w:r w:rsidRPr="009A7E10">
        <w:rPr>
          <w:rFonts w:ascii="Times New Roman" w:eastAsia="宋体" w:hAnsi="Times New Roman" w:cs="Times New Roman" w:hint="eastAsia"/>
          <w:sz w:val="24"/>
          <w:szCs w:val="24"/>
        </w:rPr>
        <w:instrText>图</w:instrText>
      </w:r>
      <w:r w:rsidRPr="009A7E10">
        <w:rPr>
          <w:rFonts w:ascii="Times New Roman" w:eastAsia="宋体" w:hAnsi="Times New Roman" w:cs="Times New Roman" w:hint="eastAsia"/>
          <w:sz w:val="24"/>
          <w:szCs w:val="24"/>
        </w:rPr>
        <w:instrText xml:space="preserve"> \* ARABIC</w:instrText>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sz w:val="24"/>
          <w:szCs w:val="24"/>
        </w:rPr>
        <w:fldChar w:fldCharType="separate"/>
      </w:r>
      <w:r w:rsidR="002754E9">
        <w:rPr>
          <w:rFonts w:ascii="Times New Roman" w:eastAsia="宋体" w:hAnsi="Times New Roman" w:cs="Times New Roman"/>
          <w:noProof/>
          <w:sz w:val="24"/>
          <w:szCs w:val="24"/>
        </w:rPr>
        <w:t>7</w:t>
      </w:r>
      <w:r w:rsidRPr="009A7E10">
        <w:rPr>
          <w:rFonts w:ascii="Times New Roman" w:eastAsia="宋体" w:hAnsi="Times New Roman" w:cs="Times New Roman"/>
          <w:sz w:val="24"/>
          <w:szCs w:val="24"/>
        </w:rPr>
        <w:fldChar w:fldCharType="end"/>
      </w:r>
      <w:bookmarkEnd w:id="43"/>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hint="eastAsia"/>
          <w:sz w:val="24"/>
          <w:szCs w:val="24"/>
        </w:rPr>
        <w:t>模型性能指标图</w:t>
      </w:r>
      <w:bookmarkEnd w:id="44"/>
    </w:p>
    <w:p w14:paraId="48DA4F34" w14:textId="25D9B167" w:rsidR="00101B36" w:rsidRDefault="00101B36" w:rsidP="00651E63">
      <w:r>
        <w:t>评估结果见图7。56项自动正确结果占84项有效样本的66.67%，本文称为“自动直接采纳率”；加上12项经人工确认正确的待复核结果，可用结果共68项，占80.95%，本文称为“人工确认后可用率”。80.95%反映质量标记与人工确认共同作用后的结果可用比例，不表述为模型准确率。</w:t>
      </w:r>
    </w:p>
    <w:p w14:paraId="50BEA97F" w14:textId="746DB6BE" w:rsidR="00101B36" w:rsidRDefault="00101B36" w:rsidP="00101B36">
      <w:r>
        <w:t>字段串扰12项，占有效样本的14.29%，主要表现为同一表格中相邻行列的证据被映射到错误字段；数值错误3项，占3.57%；年份错误1项，占1.19%。本次小样本未观测到漏抽，但该结果不能外推为系统在其他企业、行业或版式中不存在漏抽。</w:t>
      </w:r>
    </w:p>
    <w:p w14:paraId="0566F800" w14:textId="417FFA03" w:rsidR="00927E7F" w:rsidRPr="00927E7F" w:rsidRDefault="00927E7F" w:rsidP="00927E7F">
      <w:r>
        <w:t>上述结果表明，当前系统能够自动交付部分字段，并通过质量标记将另一部分结果交由人工确认；字段串扰仍是主要误差来源。评估样本规模较小，且16项“未披露”仅由人工确认后从字段值评价中剔除，尚未独立评价系统识别未披露状态的能力。因此，现有结果用于说明阶段性表现和误差结构，不作为跨行业普遍性能结论。</w:t>
      </w:r>
    </w:p>
    <w:p w14:paraId="399F5BE5" w14:textId="77777777" w:rsidR="00D66F84" w:rsidRPr="00D66F84" w:rsidRDefault="00927E7F" w:rsidP="00D66F84">
      <w:r>
        <w:t>在工程使用层面，企业完成运行环境和模型服务参数配置后，可通过Docker Compose等标准化方式启动ESGMiner平台，并使用批量PDF上传、异步任务处理、字段级复核、JSON接口和CSV导出等功能。系统对非目标报告、重复文件、解析降级、Embedding回退、调用预算耗尽和低可信字段保留可识别状态，使业务人员能够区分正常结果、待复核结果和异常结果。该部署方式属于配置式部署和标准化交付，不表述为零配置或仅登录即可使用。</w:t>
      </w:r>
    </w:p>
    <w:p w14:paraId="4C860B5C" w14:textId="4EE576EB" w:rsidR="00A02BAC" w:rsidRDefault="00B327F7" w:rsidP="009C4E36">
      <w:pPr>
        <w:pStyle w:val="a"/>
      </w:pPr>
      <w:bookmarkStart w:id="45" w:name="_Toc233668294"/>
      <w:r>
        <w:t>ESGMiner</w:t>
      </w:r>
      <w:r>
        <w:t>平台设计与实现</w:t>
      </w:r>
      <w:bookmarkEnd w:id="45"/>
    </w:p>
    <w:p w14:paraId="626B2AE0" w14:textId="691228E9" w:rsidR="00A02BAC" w:rsidRDefault="00000000" w:rsidP="00651E63">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w:t>
      </w:r>
      <w:r w:rsidR="009D2A51">
        <w:rPr>
          <w:rFonts w:hint="eastAsia"/>
        </w:rPr>
        <w:t>模型</w:t>
      </w:r>
      <w:r>
        <w:rPr>
          <w:rFonts w:hint="eastAsia"/>
        </w:rPr>
        <w:t>部署于阿里云服务器，</w:t>
      </w:r>
      <w:r w:rsidRPr="00C03B6D">
        <w:rPr>
          <w:rFonts w:hint="eastAsia"/>
        </w:rPr>
        <w:t>域名为</w:t>
      </w:r>
      <w:hyperlink r:id="rId79" w:history="1">
        <w:r w:rsidR="00C03B6D" w:rsidRPr="00C03B6D">
          <w:t>https://esgminer.fun</w:t>
        </w:r>
      </w:hyperlink>
      <w:r w:rsidR="00C03B6D">
        <w:rPr>
          <w:rFonts w:hint="eastAsia"/>
        </w:rPr>
        <w:t>。</w:t>
      </w:r>
    </w:p>
    <w:p w14:paraId="6B6B00AF" w14:textId="77777777" w:rsidR="00A02BAC" w:rsidRDefault="00000000" w:rsidP="001200A3">
      <w:pPr>
        <w:pStyle w:val="a0"/>
      </w:pPr>
      <w:bookmarkStart w:id="46" w:name="_Toc233668295"/>
      <w:r>
        <w:t>首页模块设计</w:t>
      </w:r>
      <w:bookmarkEnd w:id="46"/>
    </w:p>
    <w:p w14:paraId="3D11C6A8" w14:textId="4FB06E02" w:rsidR="00625676" w:rsidRDefault="00BB3341" w:rsidP="00651E63">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2754E9" w:rsidRPr="00FE34EA">
        <w:rPr>
          <w:rFonts w:hint="eastAsia"/>
        </w:rPr>
        <w:t>图</w:t>
      </w:r>
      <w:r w:rsidR="002754E9" w:rsidRPr="00FE34EA">
        <w:rPr>
          <w:rFonts w:hint="eastAsia"/>
        </w:rPr>
        <w:t xml:space="preserve"> </w:t>
      </w:r>
      <w:r w:rsidR="002754E9">
        <w:t>8</w:t>
      </w:r>
      <w:r w:rsidR="00FE34EA">
        <w:fldChar w:fldCharType="end"/>
      </w:r>
      <w:r w:rsidR="00FE34EA">
        <w:rPr>
          <w:rFonts w:hint="eastAsia"/>
        </w:rPr>
        <w:t>）</w:t>
      </w:r>
      <w:r>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4B824753" w14:textId="29847BFC" w:rsidR="00BB3341" w:rsidRDefault="00BB3341" w:rsidP="00651E63">
      <w:pPr>
        <w:ind w:firstLineChars="0" w:firstLine="0"/>
        <w:jc w:val="center"/>
      </w:pPr>
      <w:r>
        <w:rPr>
          <w:noProof/>
        </w:rPr>
        <w:drawing>
          <wp:inline distT="0" distB="0" distL="0" distR="0" wp14:anchorId="00CBED85" wp14:editId="7F4F87D0">
            <wp:extent cx="3551555" cy="1960960"/>
            <wp:effectExtent l="0" t="0" r="0" b="1270"/>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2925" t="4130" r="2466"/>
                    <a:stretch>
                      <a:fillRect/>
                    </a:stretch>
                  </pic:blipFill>
                  <pic:spPr bwMode="auto">
                    <a:xfrm>
                      <a:off x="0" y="0"/>
                      <a:ext cx="3769293" cy="2081182"/>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7340AA97" w:rsidR="00FE34EA" w:rsidRPr="00FE34EA" w:rsidRDefault="00FE34EA" w:rsidP="00651E63">
      <w:pPr>
        <w:ind w:firstLineChars="0" w:firstLine="0"/>
        <w:jc w:val="center"/>
      </w:pPr>
      <w:bookmarkStart w:id="47" w:name="_Ref233572772"/>
      <w:bookmarkStart w:id="48" w:name="_Toc233659583"/>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2754E9">
        <w:rPr>
          <w:noProof/>
        </w:rPr>
        <w:t>8</w:t>
      </w:r>
      <w:r w:rsidRPr="00FE34EA">
        <w:fldChar w:fldCharType="end"/>
      </w:r>
      <w:bookmarkEnd w:id="47"/>
      <w:r w:rsidRPr="00FE34EA">
        <w:rPr>
          <w:rFonts w:hint="eastAsia"/>
        </w:rPr>
        <w:t xml:space="preserve">  ESGMiner</w:t>
      </w:r>
      <w:r w:rsidRPr="00FE34EA">
        <w:rPr>
          <w:rFonts w:hint="eastAsia"/>
        </w:rPr>
        <w:t>首页</w:t>
      </w:r>
      <w:bookmarkEnd w:id="48"/>
    </w:p>
    <w:p w14:paraId="1074941B" w14:textId="735DC615" w:rsidR="00A02BAC" w:rsidRDefault="00BB3341" w:rsidP="00625676">
      <w:pPr>
        <w:spacing w:beforeLines="50" w:before="156"/>
      </w:pPr>
      <w:r>
        <w:rPr>
          <w:rFonts w:hint="eastAsia"/>
        </w:rPr>
        <w:lastRenderedPageBreak/>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9</w:t>
      </w:r>
      <w:r w:rsidR="00D1660D">
        <w:fldChar w:fldCharType="end"/>
      </w:r>
      <w:r w:rsidR="00D1660D">
        <w:rPr>
          <w:rFonts w:hint="eastAsia"/>
        </w:rPr>
        <w:t>）</w:t>
      </w:r>
      <w:r>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rsidP="00651E63">
      <w:pPr>
        <w:spacing w:beforeLines="50" w:before="156"/>
        <w:ind w:firstLineChars="0" w:firstLine="0"/>
        <w:jc w:val="center"/>
      </w:pPr>
      <w:r>
        <w:rPr>
          <w:noProof/>
        </w:rPr>
        <w:drawing>
          <wp:inline distT="0" distB="0" distL="0" distR="0" wp14:anchorId="7C7EEE8F" wp14:editId="0734E766">
            <wp:extent cx="5110926" cy="2596661"/>
            <wp:effectExtent l="0" t="0" r="0" b="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81"/>
                    <a:stretch>
                      <a:fillRect/>
                    </a:stretch>
                  </pic:blipFill>
                  <pic:spPr>
                    <a:xfrm>
                      <a:off x="0" y="0"/>
                      <a:ext cx="5122198" cy="2602388"/>
                    </a:xfrm>
                    <a:prstGeom prst="rect">
                      <a:avLst/>
                    </a:prstGeom>
                  </pic:spPr>
                </pic:pic>
              </a:graphicData>
            </a:graphic>
          </wp:inline>
        </w:drawing>
      </w:r>
    </w:p>
    <w:p w14:paraId="2C12048C" w14:textId="1ECC311E" w:rsidR="00FE34EA" w:rsidRDefault="00FE34EA" w:rsidP="00FE34EA">
      <w:pPr>
        <w:ind w:firstLineChars="0" w:firstLine="0"/>
        <w:jc w:val="center"/>
      </w:pPr>
      <w:bookmarkStart w:id="49" w:name="_Ref233572860"/>
      <w:bookmarkStart w:id="50" w:name="_Toc2336595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9</w:t>
      </w:r>
      <w:r>
        <w:fldChar w:fldCharType="end"/>
      </w:r>
      <w:bookmarkEnd w:id="49"/>
      <w:r>
        <w:rPr>
          <w:rFonts w:hint="eastAsia"/>
        </w:rPr>
        <w:t xml:space="preserve">  </w:t>
      </w:r>
      <w:r>
        <w:rPr>
          <w:rFonts w:hint="eastAsia"/>
        </w:rPr>
        <w:t>项目总览页</w:t>
      </w:r>
      <w:bookmarkEnd w:id="50"/>
    </w:p>
    <w:p w14:paraId="4197BEA7" w14:textId="77777777" w:rsidR="00A02BAC" w:rsidRDefault="00000000" w:rsidP="00C74738">
      <w:pPr>
        <w:spacing w:beforeLines="50" w:before="156"/>
      </w:pPr>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rsidP="00C74738">
      <w:pPr>
        <w:spacing w:beforeLines="50" w:before="156"/>
        <w:ind w:firstLineChars="0" w:firstLine="0"/>
        <w:jc w:val="center"/>
      </w:pPr>
      <w:r>
        <w:rPr>
          <w:noProof/>
        </w:rPr>
        <w:lastRenderedPageBreak/>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82"/>
                    <a:stretch>
                      <a:fillRect/>
                    </a:stretch>
                  </pic:blipFill>
                  <pic:spPr>
                    <a:xfrm>
                      <a:off x="0" y="0"/>
                      <a:ext cx="5007421" cy="2571183"/>
                    </a:xfrm>
                    <a:prstGeom prst="rect">
                      <a:avLst/>
                    </a:prstGeom>
                  </pic:spPr>
                </pic:pic>
              </a:graphicData>
            </a:graphic>
          </wp:inline>
        </w:drawing>
      </w:r>
    </w:p>
    <w:p w14:paraId="3550275C" w14:textId="2E57683C" w:rsidR="00D1660D" w:rsidRDefault="00D1660D" w:rsidP="00D1660D">
      <w:pPr>
        <w:ind w:firstLineChars="0" w:firstLine="0"/>
        <w:jc w:val="center"/>
      </w:pPr>
      <w:bookmarkStart w:id="51" w:name="_Ref233572978"/>
      <w:bookmarkStart w:id="52" w:name="_Toc23365958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10</w:t>
      </w:r>
      <w:r>
        <w:fldChar w:fldCharType="end"/>
      </w:r>
      <w:bookmarkEnd w:id="51"/>
      <w:r>
        <w:rPr>
          <w:rFonts w:hint="eastAsia"/>
        </w:rPr>
        <w:t xml:space="preserve">  </w:t>
      </w:r>
      <w:r w:rsidR="00B162C8">
        <w:rPr>
          <w:rFonts w:hint="eastAsia"/>
        </w:rPr>
        <w:t>橙色预警效果</w:t>
      </w:r>
      <w:bookmarkEnd w:id="52"/>
    </w:p>
    <w:p w14:paraId="55FCE08A" w14:textId="7BBFB95B" w:rsidR="00A02BAC" w:rsidRDefault="00D1660D" w:rsidP="00C74738">
      <w:pPr>
        <w:spacing w:beforeLines="50" w:before="156"/>
      </w:pPr>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sidR="002754E9">
        <w:rPr>
          <w:rFonts w:hint="eastAsia"/>
        </w:rPr>
        <w:t>图</w:t>
      </w:r>
      <w:r w:rsidR="002754E9">
        <w:rPr>
          <w:rFonts w:hint="eastAsia"/>
        </w:rPr>
        <w:t xml:space="preserve"> </w:t>
      </w:r>
      <w:r w:rsidR="002754E9">
        <w:rPr>
          <w:noProof/>
        </w:rPr>
        <w:t>10</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1200A3">
      <w:pPr>
        <w:pStyle w:val="a0"/>
      </w:pPr>
      <w:bookmarkStart w:id="53" w:name="_Toc233668296"/>
      <w:r>
        <w:t>报告管理模块</w:t>
      </w:r>
      <w:bookmarkEnd w:id="53"/>
    </w:p>
    <w:p w14:paraId="3A6E6BA7" w14:textId="69A9FEFD" w:rsidR="00A02BAC" w:rsidRDefault="00000000" w:rsidP="00651E63">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11</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1AB71B5" w14:textId="77777777" w:rsidR="00A02BAC" w:rsidRDefault="00000000" w:rsidP="00651E63">
      <w:pPr>
        <w:spacing w:beforeLines="50" w:before="156"/>
        <w:ind w:firstLineChars="0" w:firstLine="0"/>
        <w:jc w:val="center"/>
      </w:pPr>
      <w:r>
        <w:rPr>
          <w:noProof/>
        </w:rPr>
        <w:drawing>
          <wp:inline distT="0" distB="0" distL="0" distR="0" wp14:anchorId="66DBECF1" wp14:editId="666F44BA">
            <wp:extent cx="5046785" cy="2542822"/>
            <wp:effectExtent l="0" t="0" r="190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83"/>
                    <a:stretch>
                      <a:fillRect/>
                    </a:stretch>
                  </pic:blipFill>
                  <pic:spPr>
                    <a:xfrm>
                      <a:off x="0" y="0"/>
                      <a:ext cx="5056551" cy="2547743"/>
                    </a:xfrm>
                    <a:prstGeom prst="rect">
                      <a:avLst/>
                    </a:prstGeom>
                  </pic:spPr>
                </pic:pic>
              </a:graphicData>
            </a:graphic>
          </wp:inline>
        </w:drawing>
      </w:r>
    </w:p>
    <w:p w14:paraId="1D32D8DA" w14:textId="3515B86C" w:rsidR="00D1660D" w:rsidRDefault="00D1660D" w:rsidP="00D1660D">
      <w:pPr>
        <w:ind w:firstLineChars="0" w:firstLine="0"/>
        <w:jc w:val="center"/>
      </w:pPr>
      <w:bookmarkStart w:id="54" w:name="_Ref233573014"/>
      <w:bookmarkStart w:id="55" w:name="_Toc2336595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11</w:t>
      </w:r>
      <w:r>
        <w:fldChar w:fldCharType="end"/>
      </w:r>
      <w:bookmarkEnd w:id="54"/>
      <w:r>
        <w:rPr>
          <w:rFonts w:hint="eastAsia"/>
        </w:rPr>
        <w:t xml:space="preserve">  </w:t>
      </w:r>
      <w:r>
        <w:rPr>
          <w:rFonts w:hint="eastAsia"/>
        </w:rPr>
        <w:t>报告管理页</w:t>
      </w:r>
      <w:bookmarkEnd w:id="55"/>
    </w:p>
    <w:p w14:paraId="3B2AB04A" w14:textId="77777777" w:rsidR="00A02BAC" w:rsidRDefault="00000000" w:rsidP="00C74738">
      <w:pPr>
        <w:spacing w:beforeLines="50" w:before="156"/>
      </w:pPr>
      <w:r>
        <w:lastRenderedPageBreak/>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sidP="00651E63">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1200A3">
      <w:pPr>
        <w:pStyle w:val="a0"/>
      </w:pPr>
      <w:bookmarkStart w:id="56" w:name="_Toc233668297"/>
      <w:r>
        <w:t>结果复核模块</w:t>
      </w:r>
      <w:bookmarkEnd w:id="56"/>
    </w:p>
    <w:p w14:paraId="284460A1" w14:textId="1E737E93" w:rsidR="00B162C8" w:rsidRDefault="00000000" w:rsidP="00C74738">
      <w:pPr>
        <w:spacing w:beforeLines="50" w:before="156"/>
      </w:pPr>
      <w:r>
        <w:rPr>
          <w:rFonts w:hint="eastAsia"/>
        </w:rPr>
        <w:t>结果复核页面</w:t>
      </w:r>
      <w:r w:rsidR="00B162C8">
        <w:rPr>
          <w:rFonts w:hint="eastAsia"/>
        </w:rPr>
        <w:t>（如</w:t>
      </w:r>
      <w:r w:rsidR="00C74738">
        <w:fldChar w:fldCharType="begin"/>
      </w:r>
      <w:r w:rsidR="00C74738">
        <w:instrText xml:space="preserve"> </w:instrText>
      </w:r>
      <w:r w:rsidR="00C74738">
        <w:rPr>
          <w:rFonts w:hint="eastAsia"/>
        </w:rPr>
        <w:instrText>REF _Ref233658499 \h</w:instrText>
      </w:r>
      <w:r w:rsidR="00C74738">
        <w:instrText xml:space="preserve"> </w:instrText>
      </w:r>
      <w:r w:rsidR="00C74738">
        <w:fldChar w:fldCharType="separate"/>
      </w:r>
      <w:r w:rsidR="002754E9">
        <w:rPr>
          <w:rFonts w:hint="eastAsia"/>
        </w:rPr>
        <w:t>图</w:t>
      </w:r>
      <w:r w:rsidR="002754E9">
        <w:rPr>
          <w:rFonts w:hint="eastAsia"/>
        </w:rPr>
        <w:t xml:space="preserve"> </w:t>
      </w:r>
      <w:r w:rsidR="002754E9">
        <w:rPr>
          <w:noProof/>
        </w:rPr>
        <w:t>12</w:t>
      </w:r>
      <w:r w:rsidR="00C74738">
        <w:fldChar w:fldCharType="end"/>
      </w:r>
      <w:r w:rsidR="00B162C8">
        <w:rPr>
          <w:rFonts w:hint="eastAsia"/>
        </w:rPr>
        <w:t>）</w:t>
      </w:r>
      <w:r>
        <w:rPr>
          <w:rFonts w:hint="eastAsia"/>
        </w:rPr>
        <w:t>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03561143" w14:textId="4D054CA8" w:rsidR="00B162C8" w:rsidRDefault="00000000" w:rsidP="00C74738">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84"/>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85"/>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86"/>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57" w:name="_Ref233573895"/>
    </w:p>
    <w:p w14:paraId="2D5E4C02" w14:textId="3A197C1F" w:rsidR="00B162C8" w:rsidRDefault="00B162C8" w:rsidP="00B162C8">
      <w:pPr>
        <w:ind w:firstLineChars="0" w:firstLine="0"/>
        <w:jc w:val="center"/>
      </w:pPr>
      <w:bookmarkStart w:id="58" w:name="_Ref233658499"/>
      <w:bookmarkStart w:id="59" w:name="_Toc2336595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12</w:t>
      </w:r>
      <w:r>
        <w:fldChar w:fldCharType="end"/>
      </w:r>
      <w:bookmarkEnd w:id="57"/>
      <w:bookmarkEnd w:id="58"/>
      <w:r>
        <w:rPr>
          <w:rFonts w:hint="eastAsia"/>
        </w:rPr>
        <w:t xml:space="preserve">  </w:t>
      </w:r>
      <w:r>
        <w:rPr>
          <w:rFonts w:hint="eastAsia"/>
        </w:rPr>
        <w:t>结果复核页</w:t>
      </w:r>
      <w:bookmarkEnd w:id="59"/>
    </w:p>
    <w:p w14:paraId="7F1C1310" w14:textId="410306F8" w:rsidR="00A02BAC" w:rsidRDefault="00000000" w:rsidP="00C74738">
      <w:r>
        <w:rPr>
          <w:rFonts w:hint="eastAsia"/>
        </w:rPr>
        <w:t>右侧证据面板在用户点击字段后动态渲染该字段的详细抽取上下文，依次展示抽取值与单位年份、包含来源页码的原文短证据、大语言模型返回的证据原文，</w:t>
      </w:r>
      <w:r>
        <w:rPr>
          <w:rFonts w:hint="eastAsia"/>
        </w:rPr>
        <w:lastRenderedPageBreak/>
        <w:t>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Default="00000000" w:rsidP="001200A3">
      <w:pPr>
        <w:pStyle w:val="a0"/>
      </w:pPr>
      <w:bookmarkStart w:id="60" w:name="_Toc233668298"/>
      <w:r>
        <w:t>指标对比与导出模块</w:t>
      </w:r>
      <w:bookmarkEnd w:id="60"/>
    </w:p>
    <w:p w14:paraId="635FE270" w14:textId="4B7DF0F7"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13</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rsidP="001876E6">
      <w:pPr>
        <w:spacing w:line="240" w:lineRule="auto"/>
        <w:ind w:firstLineChars="0" w:firstLine="0"/>
        <w:jc w:val="center"/>
      </w:pPr>
      <w:r>
        <w:rPr>
          <w:noProof/>
        </w:rPr>
        <w:drawing>
          <wp:inline distT="0" distB="0" distL="0" distR="0" wp14:anchorId="547AD79E" wp14:editId="7A69AEBD">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87"/>
                    <a:stretch>
                      <a:fillRect/>
                    </a:stretch>
                  </pic:blipFill>
                  <pic:spPr>
                    <a:xfrm>
                      <a:off x="0" y="0"/>
                      <a:ext cx="4682988" cy="2400652"/>
                    </a:xfrm>
                    <a:prstGeom prst="rect">
                      <a:avLst/>
                    </a:prstGeom>
                  </pic:spPr>
                </pic:pic>
              </a:graphicData>
            </a:graphic>
          </wp:inline>
        </w:drawing>
      </w:r>
    </w:p>
    <w:p w14:paraId="1573C7D2" w14:textId="77777777" w:rsidR="00A02BAC" w:rsidRDefault="00000000" w:rsidP="001876E6">
      <w:pPr>
        <w:spacing w:line="240" w:lineRule="auto"/>
        <w:ind w:firstLineChars="0" w:firstLine="0"/>
        <w:jc w:val="center"/>
      </w:pPr>
      <w:r>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88"/>
                    <a:stretch>
                      <a:fillRect/>
                    </a:stretch>
                  </pic:blipFill>
                  <pic:spPr>
                    <a:xfrm>
                      <a:off x="0" y="0"/>
                      <a:ext cx="4688351" cy="2387608"/>
                    </a:xfrm>
                    <a:prstGeom prst="rect">
                      <a:avLst/>
                    </a:prstGeom>
                  </pic:spPr>
                </pic:pic>
              </a:graphicData>
            </a:graphic>
          </wp:inline>
        </w:drawing>
      </w:r>
    </w:p>
    <w:p w14:paraId="29AF8E98" w14:textId="36F0098A" w:rsidR="00DA6AA7" w:rsidRDefault="00DA6AA7" w:rsidP="00DA6AA7">
      <w:pPr>
        <w:ind w:firstLineChars="0" w:firstLine="0"/>
        <w:jc w:val="center"/>
      </w:pPr>
      <w:bookmarkStart w:id="61" w:name="_Ref233574474"/>
      <w:bookmarkStart w:id="62" w:name="_Toc2336595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13</w:t>
      </w:r>
      <w:r>
        <w:fldChar w:fldCharType="end"/>
      </w:r>
      <w:bookmarkEnd w:id="61"/>
      <w:r>
        <w:rPr>
          <w:rFonts w:hint="eastAsia"/>
        </w:rPr>
        <w:t xml:space="preserve">  </w:t>
      </w:r>
      <w:r>
        <w:rPr>
          <w:rFonts w:hint="eastAsia"/>
        </w:rPr>
        <w:t>指标对比页</w:t>
      </w:r>
      <w:bookmarkEnd w:id="62"/>
    </w:p>
    <w:p w14:paraId="0124722E" w14:textId="1DA19929" w:rsidR="00A02BAC" w:rsidRDefault="00000000" w:rsidP="001876E6">
      <w:pPr>
        <w:spacing w:afterLines="50" w:after="156"/>
      </w:pPr>
      <w:r>
        <w:rPr>
          <w:rFonts w:hint="eastAsia"/>
        </w:rPr>
        <w:lastRenderedPageBreak/>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14</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24E1E2FB">
            <wp:extent cx="5011615" cy="2553440"/>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89"/>
                    <a:stretch>
                      <a:fillRect/>
                    </a:stretch>
                  </pic:blipFill>
                  <pic:spPr>
                    <a:xfrm>
                      <a:off x="0" y="0"/>
                      <a:ext cx="5017719" cy="2556550"/>
                    </a:xfrm>
                    <a:prstGeom prst="rect">
                      <a:avLst/>
                    </a:prstGeom>
                  </pic:spPr>
                </pic:pic>
              </a:graphicData>
            </a:graphic>
          </wp:inline>
        </w:drawing>
      </w:r>
    </w:p>
    <w:p w14:paraId="50463B44" w14:textId="7AD9312E" w:rsidR="00DA6AA7" w:rsidRDefault="00DA6AA7" w:rsidP="00DA6AA7">
      <w:pPr>
        <w:ind w:firstLineChars="0" w:firstLine="0"/>
        <w:jc w:val="center"/>
      </w:pPr>
      <w:bookmarkStart w:id="63" w:name="_Ref233574513"/>
      <w:bookmarkStart w:id="64" w:name="_Toc23365958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14</w:t>
      </w:r>
      <w:r>
        <w:fldChar w:fldCharType="end"/>
      </w:r>
      <w:bookmarkEnd w:id="63"/>
      <w:r>
        <w:rPr>
          <w:rFonts w:hint="eastAsia"/>
        </w:rPr>
        <w:t xml:space="preserve">  </w:t>
      </w:r>
      <w:r>
        <w:rPr>
          <w:rFonts w:hint="eastAsia"/>
        </w:rPr>
        <w:t>导出中心</w:t>
      </w:r>
      <w:bookmarkEnd w:id="64"/>
    </w:p>
    <w:p w14:paraId="1ED803C8" w14:textId="77777777" w:rsidR="00A02BAC" w:rsidRDefault="00000000" w:rsidP="00462EB6">
      <w:pPr>
        <w:spacing w:beforeLines="50" w:before="156"/>
      </w:pPr>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446E29B5" w14:textId="77777777" w:rsidR="00A02BAC" w:rsidRDefault="00000000" w:rsidP="009C4E36">
      <w:pPr>
        <w:pStyle w:val="a"/>
      </w:pPr>
      <w:bookmarkStart w:id="65" w:name="_Toc233668299"/>
      <w:r>
        <w:rPr>
          <w:rFonts w:hint="eastAsia"/>
        </w:rPr>
        <w:t>应用价值</w:t>
      </w:r>
      <w:bookmarkEnd w:id="65"/>
    </w:p>
    <w:p w14:paraId="74D1D4E8" w14:textId="1483E688" w:rsidR="00A02BAC" w:rsidRDefault="00000000" w:rsidP="001200A3">
      <w:pPr>
        <w:pStyle w:val="a0"/>
        <w:rPr>
          <w:lang w:val="zh-CN"/>
        </w:rPr>
      </w:pPr>
      <w:bookmarkStart w:id="66" w:name="_Toc233668300"/>
      <w:r>
        <w:rPr>
          <w:rFonts w:hint="eastAsia"/>
          <w:lang w:val="zh-CN"/>
        </w:rPr>
        <w:t>经济效益</w:t>
      </w:r>
      <w:r w:rsidR="006C7C42">
        <w:rPr>
          <w:rFonts w:hint="eastAsia"/>
          <w:lang w:val="zh-CN"/>
        </w:rPr>
        <w:t>分析</w:t>
      </w:r>
      <w:bookmarkEnd w:id="66"/>
    </w:p>
    <w:p w14:paraId="785F6E9F" w14:textId="77777777" w:rsidR="006C7C42" w:rsidRPr="006C7C42" w:rsidRDefault="006C7C42" w:rsidP="00462EB6">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0023C459" w14:textId="77777777" w:rsidR="006C7C42" w:rsidRPr="006C7C42" w:rsidRDefault="006C7C42" w:rsidP="00D6050D">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w:t>
      </w:r>
      <w:r w:rsidRPr="006C7C42">
        <w:rPr>
          <w:rFonts w:hint="eastAsia"/>
          <w:lang w:val="zh-CN"/>
        </w:rPr>
        <w:lastRenderedPageBreak/>
        <w:t>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77304419"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11B17503"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E2B49A"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6AF87314" w14:textId="173760D9"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lastRenderedPageBreak/>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数据服务平台提供稳定、规范的数据来源，降低数据维护成本，提高数据服务能力和平台运营效率。</w:t>
      </w:r>
    </w:p>
    <w:p w14:paraId="50D929EB" w14:textId="1CEE0D19" w:rsidR="00A02BAC" w:rsidRDefault="00000000" w:rsidP="001200A3">
      <w:pPr>
        <w:pStyle w:val="a0"/>
        <w:rPr>
          <w:lang w:val="zh-CN"/>
        </w:rPr>
      </w:pPr>
      <w:bookmarkStart w:id="67" w:name="_Toc233668301"/>
      <w:r>
        <w:rPr>
          <w:rFonts w:hint="eastAsia"/>
          <w:lang w:val="zh-CN"/>
        </w:rPr>
        <w:t>社会效益</w:t>
      </w:r>
      <w:r w:rsidR="006C7C42">
        <w:rPr>
          <w:rFonts w:hint="eastAsia"/>
          <w:lang w:val="zh-CN"/>
        </w:rPr>
        <w:t>分析</w:t>
      </w:r>
      <w:bookmarkEnd w:id="67"/>
    </w:p>
    <w:p w14:paraId="4D6AFE5B"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1CACD6E9"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2DBD57B3"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）支撑研究机构数据分析，促进科研创新</w:t>
      </w:r>
    </w:p>
    <w:p w14:paraId="53DA4A90"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w:t>
      </w:r>
      <w:r w:rsidRPr="006C7C42">
        <w:rPr>
          <w:rFonts w:hint="eastAsia"/>
          <w:lang w:val="zh-CN"/>
        </w:rPr>
        <w:lastRenderedPageBreak/>
        <w:t>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786B5CA9"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4DDF4AE" w14:textId="49CEC43E" w:rsidR="00A02BAC" w:rsidRDefault="006C7C42" w:rsidP="006C7C42">
      <w:pPr>
        <w:rPr>
          <w:lang w:val="zh-CN"/>
        </w:rPr>
      </w:pPr>
      <w:r w:rsidRPr="006C7C42">
        <w:rPr>
          <w:rFonts w:hint="eastAsia"/>
          <w:lang w:val="zh-CN"/>
        </w:rPr>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0993EA0A" w:rsidR="00A02BAC" w:rsidRDefault="00000000" w:rsidP="009C4E36">
      <w:pPr>
        <w:pStyle w:val="a"/>
      </w:pPr>
      <w:bookmarkStart w:id="68" w:name="_Toc233668302"/>
      <w:r>
        <w:rPr>
          <w:rFonts w:hint="eastAsia"/>
        </w:rPr>
        <w:t>优化与展望</w:t>
      </w:r>
      <w:bookmarkEnd w:id="68"/>
    </w:p>
    <w:p w14:paraId="61543569" w14:textId="77777777" w:rsidR="006C7C42" w:rsidRPr="006C7C42" w:rsidRDefault="006C7C42" w:rsidP="00D6050D">
      <w:pPr>
        <w:spacing w:beforeLines="50" w:before="156"/>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7691E07F"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w:t>
      </w:r>
      <w:r w:rsidRPr="006C7C42">
        <w:rPr>
          <w:rFonts w:hint="eastAsia"/>
          <w:lang w:val="zh-CN"/>
        </w:rPr>
        <w:lastRenderedPageBreak/>
        <w:t>升环境指标、治理指标等表格类信息的自动提取效果，减少人工复核工作量。</w:t>
      </w:r>
    </w:p>
    <w:p w14:paraId="555E62CB"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2100ECED"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Default="006C7C42" w:rsidP="006C7C42">
      <w:pPr>
        <w:rPr>
          <w:lang w:val="zh-CN"/>
        </w:rPr>
      </w:pPr>
      <w:r w:rsidRPr="006C7C42">
        <w:rPr>
          <w:rFonts w:hint="eastAsia"/>
          <w:lang w:val="zh-CN"/>
        </w:rPr>
        <w:t>随着大语言模型、多模态文档理解和知识增强技术的不断发展，平台还将进一步提升复杂文档的理解能力和跨文档知识关联能力，探索多年度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7E8E12CD" w14:textId="77777777" w:rsidR="00A02BAC" w:rsidRDefault="00000000" w:rsidP="00DA6AA7">
      <w:pPr>
        <w:pStyle w:val="af"/>
      </w:pPr>
      <w:bookmarkStart w:id="69" w:name="_Toc233668303"/>
      <w:r>
        <w:lastRenderedPageBreak/>
        <w:t>参考文献</w:t>
      </w:r>
      <w:bookmarkEnd w:id="69"/>
    </w:p>
    <w:p w14:paraId="6480D072" w14:textId="47CB66A5" w:rsidR="0024575B" w:rsidRDefault="00AB0F35" w:rsidP="0024575B">
      <w:pPr>
        <w:pStyle w:val="afb"/>
        <w:numPr>
          <w:ilvl w:val="0"/>
          <w:numId w:val="2"/>
        </w:numPr>
        <w:ind w:firstLineChars="0"/>
      </w:pPr>
      <w:bookmarkStart w:id="70" w:name="_Ref233580931"/>
      <w:r w:rsidRPr="00AB0F35">
        <w:rPr>
          <w:rFonts w:hint="eastAsia"/>
        </w:rPr>
        <w:t>黄珺</w:t>
      </w:r>
      <w:r w:rsidRPr="00AB0F35">
        <w:rPr>
          <w:rFonts w:hint="eastAsia"/>
        </w:rPr>
        <w:t xml:space="preserve">, </w:t>
      </w:r>
      <w:r w:rsidRPr="00AB0F35">
        <w:rPr>
          <w:rFonts w:hint="eastAsia"/>
        </w:rPr>
        <w:t>汪玉荷</w:t>
      </w:r>
      <w:r w:rsidRPr="00AB0F35">
        <w:rPr>
          <w:rFonts w:hint="eastAsia"/>
        </w:rPr>
        <w:t xml:space="preserve">, </w:t>
      </w:r>
      <w:r w:rsidRPr="00AB0F35">
        <w:rPr>
          <w:rFonts w:hint="eastAsia"/>
        </w:rPr>
        <w:t>韩菲菲</w:t>
      </w:r>
      <w:r w:rsidRPr="00AB0F35">
        <w:rPr>
          <w:rFonts w:hint="eastAsia"/>
        </w:rPr>
        <w:t xml:space="preserve">, </w:t>
      </w:r>
      <w:r w:rsidRPr="00AB0F35">
        <w:rPr>
          <w:rFonts w:hint="eastAsia"/>
        </w:rPr>
        <w:t>等</w:t>
      </w:r>
      <w:r w:rsidRPr="00AB0F35">
        <w:rPr>
          <w:rFonts w:hint="eastAsia"/>
        </w:rPr>
        <w:t>. ESG</w:t>
      </w:r>
      <w:r w:rsidRPr="00AB0F35">
        <w:rPr>
          <w:rFonts w:hint="eastAsia"/>
        </w:rPr>
        <w:t>信息披露：内涵辨析、评价方法与作用机制</w:t>
      </w:r>
      <w:r w:rsidRPr="00AB0F35">
        <w:rPr>
          <w:rFonts w:hint="eastAsia"/>
        </w:rPr>
        <w:t xml:space="preserve">[J]. </w:t>
      </w:r>
      <w:r w:rsidRPr="00AB0F35">
        <w:rPr>
          <w:rFonts w:hint="eastAsia"/>
        </w:rPr>
        <w:t>外国经济与管理</w:t>
      </w:r>
      <w:r w:rsidRPr="00AB0F35">
        <w:rPr>
          <w:rFonts w:hint="eastAsia"/>
        </w:rPr>
        <w:t>, 2023, 45(6): 3-18</w:t>
      </w:r>
      <w:r w:rsidR="0024575B" w:rsidRPr="004A4EEF">
        <w:rPr>
          <w:rFonts w:hint="eastAsia"/>
        </w:rPr>
        <w:t>.</w:t>
      </w:r>
      <w:bookmarkEnd w:id="70"/>
    </w:p>
    <w:p w14:paraId="3CC99DC0" w14:textId="6B3952A6" w:rsidR="0024575B" w:rsidRDefault="00AB0F35" w:rsidP="0024575B">
      <w:pPr>
        <w:pStyle w:val="afb"/>
        <w:numPr>
          <w:ilvl w:val="0"/>
          <w:numId w:val="2"/>
        </w:numPr>
        <w:ind w:firstLineChars="0"/>
      </w:pPr>
      <w:bookmarkStart w:id="71" w:name="_Ref233580954"/>
      <w:r w:rsidRPr="00AB0F35">
        <w:t>SHEN H T, LIN H H, XIE R Y, et al. ESG in China: A review of practice and research, and future research avenues[J]. China Journal of Accounting Research, 2023, 16(4): 100325</w:t>
      </w:r>
      <w:r w:rsidR="0024575B" w:rsidRPr="00C92990">
        <w:t>.</w:t>
      </w:r>
      <w:bookmarkEnd w:id="71"/>
    </w:p>
    <w:p w14:paraId="1DB59DA7" w14:textId="606FE674" w:rsidR="0024575B" w:rsidRDefault="00FB4FA9" w:rsidP="0024575B">
      <w:pPr>
        <w:pStyle w:val="afb"/>
        <w:numPr>
          <w:ilvl w:val="0"/>
          <w:numId w:val="2"/>
        </w:numPr>
        <w:ind w:firstLineChars="0"/>
      </w:pPr>
      <w:bookmarkStart w:id="72" w:name="_Ref233580971"/>
      <w:r w:rsidRPr="00FB4FA9">
        <w:t>财政部</w:t>
      </w:r>
      <w:r w:rsidRPr="00FB4FA9">
        <w:t xml:space="preserve">. </w:t>
      </w:r>
      <w:r w:rsidRPr="00FB4FA9">
        <w:t>企业可持续披露准则</w:t>
      </w:r>
      <w:r w:rsidRPr="00FB4FA9">
        <w:t>——</w:t>
      </w:r>
      <w:r w:rsidRPr="00FB4FA9">
        <w:t>基本准则</w:t>
      </w:r>
      <w:r w:rsidRPr="00FB4FA9">
        <w:t>(</w:t>
      </w:r>
      <w:r w:rsidRPr="00FB4FA9">
        <w:t>试行</w:t>
      </w:r>
      <w:r w:rsidRPr="00FB4FA9">
        <w:t xml:space="preserve">)[S]. </w:t>
      </w:r>
      <w:r w:rsidRPr="00FB4FA9">
        <w:t>北京</w:t>
      </w:r>
      <w:r w:rsidRPr="00FB4FA9">
        <w:t xml:space="preserve">: </w:t>
      </w:r>
      <w:r w:rsidRPr="00FB4FA9">
        <w:t>财政部</w:t>
      </w:r>
      <w:r w:rsidRPr="00FB4FA9">
        <w:t>, 2024</w:t>
      </w:r>
      <w:r w:rsidR="0024575B">
        <w:rPr>
          <w:rFonts w:hint="eastAsia"/>
        </w:rPr>
        <w:t>.</w:t>
      </w:r>
      <w:bookmarkEnd w:id="72"/>
    </w:p>
    <w:p w14:paraId="5B6DCD68" w14:textId="489F61B0" w:rsidR="0024575B" w:rsidRDefault="00193BA0" w:rsidP="0024575B">
      <w:pPr>
        <w:pStyle w:val="afb"/>
        <w:numPr>
          <w:ilvl w:val="0"/>
          <w:numId w:val="2"/>
        </w:numPr>
        <w:ind w:firstLineChars="0"/>
      </w:pPr>
      <w:bookmarkStart w:id="73" w:name="_Ref233580998"/>
      <w:r w:rsidRPr="00193BA0">
        <w:rPr>
          <w:rFonts w:hint="eastAsia"/>
        </w:rPr>
        <w:t>上海证券交易所</w:t>
      </w:r>
      <w:r w:rsidRPr="00193BA0">
        <w:rPr>
          <w:rFonts w:hint="eastAsia"/>
        </w:rPr>
        <w:t xml:space="preserve">. </w:t>
      </w:r>
      <w:r w:rsidRPr="00193BA0">
        <w:rPr>
          <w:rFonts w:hint="eastAsia"/>
        </w:rPr>
        <w:t>上市公司自律监管指引第</w:t>
      </w:r>
      <w:r w:rsidRPr="00193BA0">
        <w:rPr>
          <w:rFonts w:hint="eastAsia"/>
        </w:rPr>
        <w:t>4</w:t>
      </w:r>
      <w:r w:rsidRPr="00193BA0">
        <w:rPr>
          <w:rFonts w:hint="eastAsia"/>
        </w:rPr>
        <w:t>号——可持续发展报告编制指南</w:t>
      </w:r>
      <w:r w:rsidRPr="00193BA0">
        <w:rPr>
          <w:rFonts w:hint="eastAsia"/>
        </w:rPr>
        <w:t xml:space="preserve">[S]. </w:t>
      </w:r>
      <w:r w:rsidRPr="00193BA0">
        <w:rPr>
          <w:rFonts w:hint="eastAsia"/>
        </w:rPr>
        <w:t>上海</w:t>
      </w:r>
      <w:r w:rsidRPr="00193BA0">
        <w:rPr>
          <w:rFonts w:hint="eastAsia"/>
        </w:rPr>
        <w:t xml:space="preserve">: </w:t>
      </w:r>
      <w:r w:rsidRPr="00193BA0">
        <w:rPr>
          <w:rFonts w:hint="eastAsia"/>
        </w:rPr>
        <w:t>上海证券交易所</w:t>
      </w:r>
      <w:r w:rsidRPr="00193BA0">
        <w:rPr>
          <w:rFonts w:hint="eastAsia"/>
        </w:rPr>
        <w:t>, 2024</w:t>
      </w:r>
      <w:r w:rsidR="0024575B" w:rsidRPr="00201647">
        <w:rPr>
          <w:rFonts w:hint="eastAsia"/>
        </w:rPr>
        <w:t>.</w:t>
      </w:r>
      <w:bookmarkEnd w:id="73"/>
    </w:p>
    <w:p w14:paraId="1E6E0266" w14:textId="21A728C7" w:rsidR="0024575B" w:rsidRDefault="00193BA0" w:rsidP="0024575B">
      <w:pPr>
        <w:pStyle w:val="afb"/>
        <w:numPr>
          <w:ilvl w:val="0"/>
          <w:numId w:val="2"/>
        </w:numPr>
        <w:ind w:firstLineChars="0"/>
      </w:pPr>
      <w:bookmarkStart w:id="74" w:name="_Ref233581006"/>
      <w:r w:rsidRPr="00193BA0">
        <w:rPr>
          <w:rFonts w:hint="eastAsia"/>
        </w:rPr>
        <w:t>深圳证券交易所</w:t>
      </w:r>
      <w:r w:rsidRPr="00193BA0">
        <w:rPr>
          <w:rFonts w:hint="eastAsia"/>
        </w:rPr>
        <w:t xml:space="preserve">. </w:t>
      </w:r>
      <w:r w:rsidRPr="00193BA0">
        <w:rPr>
          <w:rFonts w:hint="eastAsia"/>
        </w:rPr>
        <w:t>上市公司自律监管指南第</w:t>
      </w:r>
      <w:r w:rsidRPr="00193BA0">
        <w:rPr>
          <w:rFonts w:hint="eastAsia"/>
        </w:rPr>
        <w:t>3</w:t>
      </w:r>
      <w:r w:rsidRPr="00193BA0">
        <w:rPr>
          <w:rFonts w:hint="eastAsia"/>
        </w:rPr>
        <w:t>号——可持续发展报告编制</w:t>
      </w:r>
      <w:r w:rsidRPr="00193BA0">
        <w:rPr>
          <w:rFonts w:hint="eastAsia"/>
        </w:rPr>
        <w:t xml:space="preserve">[S]. </w:t>
      </w:r>
      <w:r w:rsidRPr="00193BA0">
        <w:rPr>
          <w:rFonts w:hint="eastAsia"/>
        </w:rPr>
        <w:t>深圳</w:t>
      </w:r>
      <w:r w:rsidRPr="00193BA0">
        <w:rPr>
          <w:rFonts w:hint="eastAsia"/>
        </w:rPr>
        <w:t xml:space="preserve">: </w:t>
      </w:r>
      <w:r w:rsidRPr="00193BA0">
        <w:rPr>
          <w:rFonts w:hint="eastAsia"/>
        </w:rPr>
        <w:t>深圳证券交易所</w:t>
      </w:r>
      <w:r w:rsidRPr="00193BA0">
        <w:rPr>
          <w:rFonts w:hint="eastAsia"/>
        </w:rPr>
        <w:t>, 2024</w:t>
      </w:r>
      <w:r w:rsidR="0024575B">
        <w:rPr>
          <w:rFonts w:hint="eastAsia"/>
        </w:rPr>
        <w:t>.</w:t>
      </w:r>
      <w:bookmarkEnd w:id="74"/>
    </w:p>
    <w:p w14:paraId="7D5EC0F1" w14:textId="75A9BDEC" w:rsidR="0024575B" w:rsidRDefault="00193BA0" w:rsidP="0024575B">
      <w:pPr>
        <w:pStyle w:val="afb"/>
        <w:numPr>
          <w:ilvl w:val="0"/>
          <w:numId w:val="2"/>
        </w:numPr>
        <w:ind w:firstLineChars="0"/>
      </w:pPr>
      <w:bookmarkStart w:id="75" w:name="_Ref233581014"/>
      <w:r w:rsidRPr="00193BA0">
        <w:rPr>
          <w:rFonts w:hint="eastAsia"/>
        </w:rPr>
        <w:t>中国上市公司协会</w:t>
      </w:r>
      <w:r w:rsidRPr="00193BA0">
        <w:rPr>
          <w:rFonts w:hint="eastAsia"/>
        </w:rPr>
        <w:t xml:space="preserve">, </w:t>
      </w:r>
      <w:r w:rsidRPr="00193BA0">
        <w:rPr>
          <w:rFonts w:hint="eastAsia"/>
        </w:rPr>
        <w:t>中证指数有限公司</w:t>
      </w:r>
      <w:r w:rsidRPr="00193BA0">
        <w:rPr>
          <w:rFonts w:hint="eastAsia"/>
        </w:rPr>
        <w:t xml:space="preserve">. </w:t>
      </w:r>
      <w:r w:rsidRPr="00193BA0">
        <w:rPr>
          <w:rFonts w:hint="eastAsia"/>
        </w:rPr>
        <w:t>上市公司</w:t>
      </w:r>
      <w:r w:rsidRPr="00193BA0">
        <w:rPr>
          <w:rFonts w:hint="eastAsia"/>
        </w:rPr>
        <w:t>ESG</w:t>
      </w:r>
      <w:r w:rsidRPr="00193BA0">
        <w:rPr>
          <w:rFonts w:hint="eastAsia"/>
        </w:rPr>
        <w:t>发展报告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中国上市公司协会</w:t>
      </w:r>
      <w:r w:rsidRPr="00193BA0">
        <w:rPr>
          <w:rFonts w:hint="eastAsia"/>
        </w:rPr>
        <w:t>, 2024</w:t>
      </w:r>
      <w:r w:rsidR="0024575B">
        <w:rPr>
          <w:rFonts w:hint="eastAsia"/>
        </w:rPr>
        <w:t>.</w:t>
      </w:r>
      <w:bookmarkEnd w:id="75"/>
    </w:p>
    <w:p w14:paraId="371CDF1A" w14:textId="789458AB" w:rsidR="0024575B" w:rsidRDefault="00193BA0" w:rsidP="0024575B">
      <w:pPr>
        <w:pStyle w:val="afb"/>
        <w:numPr>
          <w:ilvl w:val="0"/>
          <w:numId w:val="2"/>
        </w:numPr>
        <w:ind w:firstLineChars="0"/>
      </w:pPr>
      <w:bookmarkStart w:id="76" w:name="_Ref233581024"/>
      <w:r w:rsidRPr="00193BA0">
        <w:rPr>
          <w:rFonts w:hint="eastAsia"/>
        </w:rPr>
        <w:t>中国信息通信研究院</w:t>
      </w:r>
      <w:r w:rsidRPr="00193BA0">
        <w:rPr>
          <w:rFonts w:hint="eastAsia"/>
        </w:rPr>
        <w:t xml:space="preserve">. </w:t>
      </w:r>
      <w:r w:rsidRPr="00193BA0">
        <w:rPr>
          <w:rFonts w:hint="eastAsia"/>
        </w:rPr>
        <w:t>大模型赋能产业发展研究报告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中国信息通信研究院</w:t>
      </w:r>
      <w:r w:rsidRPr="00193BA0">
        <w:rPr>
          <w:rFonts w:hint="eastAsia"/>
        </w:rPr>
        <w:t>, 2024</w:t>
      </w:r>
      <w:r w:rsidR="0024575B">
        <w:rPr>
          <w:rFonts w:hint="eastAsia"/>
        </w:rPr>
        <w:t>.</w:t>
      </w:r>
      <w:bookmarkEnd w:id="76"/>
    </w:p>
    <w:p w14:paraId="69A7C488" w14:textId="6E5FA846" w:rsidR="0024575B" w:rsidRDefault="007F1129" w:rsidP="0024575B">
      <w:pPr>
        <w:pStyle w:val="afb"/>
        <w:numPr>
          <w:ilvl w:val="0"/>
          <w:numId w:val="2"/>
        </w:numPr>
        <w:ind w:firstLineChars="0"/>
      </w:pPr>
      <w:bookmarkStart w:id="77" w:name="_Ref233581067"/>
      <w:r w:rsidRPr="007F1129">
        <w:rPr>
          <w:rFonts w:hint="eastAsia"/>
        </w:rPr>
        <w:t>中国电子技术标准化研究院</w:t>
      </w:r>
      <w:r w:rsidRPr="007F1129">
        <w:rPr>
          <w:rFonts w:hint="eastAsia"/>
        </w:rPr>
        <w:t xml:space="preserve">. </w:t>
      </w:r>
      <w:r w:rsidRPr="007F1129">
        <w:rPr>
          <w:rFonts w:hint="eastAsia"/>
        </w:rPr>
        <w:t>人工智能大模型产业发展研究报告</w:t>
      </w:r>
      <w:r w:rsidRPr="007F1129">
        <w:rPr>
          <w:rFonts w:hint="eastAsia"/>
        </w:rPr>
        <w:t xml:space="preserve">(2024)[R]. </w:t>
      </w:r>
      <w:r w:rsidRPr="007F1129">
        <w:rPr>
          <w:rFonts w:hint="eastAsia"/>
        </w:rPr>
        <w:t>北京</w:t>
      </w:r>
      <w:r w:rsidRPr="007F1129">
        <w:rPr>
          <w:rFonts w:hint="eastAsia"/>
        </w:rPr>
        <w:t xml:space="preserve">: </w:t>
      </w:r>
      <w:r w:rsidRPr="007F1129">
        <w:rPr>
          <w:rFonts w:hint="eastAsia"/>
        </w:rPr>
        <w:t>中国电子技术标准化研究院</w:t>
      </w:r>
      <w:r w:rsidRPr="007F1129">
        <w:rPr>
          <w:rFonts w:hint="eastAsia"/>
        </w:rPr>
        <w:t>, 2024</w:t>
      </w:r>
      <w:r w:rsidR="0024575B">
        <w:rPr>
          <w:rFonts w:hint="eastAsia"/>
        </w:rPr>
        <w:t>.</w:t>
      </w:r>
      <w:bookmarkEnd w:id="77"/>
    </w:p>
    <w:p w14:paraId="642B784F" w14:textId="70495CA4" w:rsidR="0024575B" w:rsidRDefault="007F1129" w:rsidP="0024575B">
      <w:pPr>
        <w:pStyle w:val="afb"/>
        <w:numPr>
          <w:ilvl w:val="0"/>
          <w:numId w:val="2"/>
        </w:numPr>
        <w:ind w:firstLineChars="0"/>
      </w:pPr>
      <w:bookmarkStart w:id="78" w:name="_Ref233581113"/>
      <w:r w:rsidRPr="007F1129">
        <w:t>LEE J, KIM M. ESG information extraction with cross-sectoral and multi-source adaptation based on domain-tuned language models[J]. Expert Systems with Applications, 2023, 221: 119726</w:t>
      </w:r>
      <w:r w:rsidR="0024575B">
        <w:t>.</w:t>
      </w:r>
      <w:bookmarkEnd w:id="78"/>
    </w:p>
    <w:p w14:paraId="72B365E8" w14:textId="21CC0167" w:rsidR="0024575B" w:rsidRDefault="007F1129" w:rsidP="0024575B">
      <w:pPr>
        <w:pStyle w:val="afb"/>
        <w:numPr>
          <w:ilvl w:val="0"/>
          <w:numId w:val="2"/>
        </w:numPr>
        <w:ind w:firstLineChars="0"/>
      </w:pPr>
      <w:bookmarkStart w:id="79" w:name="_Ref233581122"/>
      <w:r w:rsidRPr="007F1129">
        <w:t>ZOU Y, SHI M Y, CHEN Z J, et al. ESGReveal: An LLM-based approach for extracting structured data from ESG reports[J]. Journal of Cleaner Production, 2025, 489: 144572</w:t>
      </w:r>
      <w:r w:rsidR="0024575B">
        <w:t>.</w:t>
      </w:r>
      <w:bookmarkEnd w:id="79"/>
    </w:p>
    <w:p w14:paraId="6759751B" w14:textId="59710C41" w:rsidR="0024575B" w:rsidRDefault="007F1129" w:rsidP="0024575B">
      <w:pPr>
        <w:pStyle w:val="afb"/>
        <w:numPr>
          <w:ilvl w:val="0"/>
          <w:numId w:val="2"/>
        </w:numPr>
        <w:ind w:firstLineChars="0"/>
      </w:pPr>
      <w:bookmarkStart w:id="80" w:name="_Ref233581129"/>
      <w:r w:rsidRPr="007F1129">
        <w:t>KANNAN N, SEKI Y. Textual Evidence Extraction for ESG Scores[C]//Proceedings of the Fifth Workshop on Financial Technology and Natural Language Processing. Macau: Association for Computational Linguistics, 2023: 45-54</w:t>
      </w:r>
      <w:r w:rsidR="0024575B">
        <w:t>.</w:t>
      </w:r>
      <w:bookmarkEnd w:id="80"/>
    </w:p>
    <w:p w14:paraId="6DEE8883" w14:textId="14F6811B" w:rsidR="0024575B" w:rsidRDefault="006C758F" w:rsidP="0024575B">
      <w:pPr>
        <w:pStyle w:val="afb"/>
        <w:numPr>
          <w:ilvl w:val="0"/>
          <w:numId w:val="2"/>
        </w:numPr>
        <w:ind w:firstLineChars="0"/>
      </w:pPr>
      <w:bookmarkStart w:id="81" w:name="_Ref233581167"/>
      <w:r w:rsidRPr="006C758F">
        <w:lastRenderedPageBreak/>
        <w:t>HUANG Y P, LV T C, CUI L, et al. LayoutLMv3: Pre-training for Document AI with Unified Text and Image Masking[J]. IEEE Transactions on Pattern Analysis and Machine Intelligence, 2023, 45(10): 11966-11984</w:t>
      </w:r>
      <w:r w:rsidR="0024575B" w:rsidRPr="00C915AE">
        <w:t>.</w:t>
      </w:r>
      <w:bookmarkEnd w:id="81"/>
    </w:p>
    <w:p w14:paraId="72F80585" w14:textId="51BFB245" w:rsidR="0024575B" w:rsidRDefault="006C758F" w:rsidP="0024575B">
      <w:pPr>
        <w:pStyle w:val="afb"/>
        <w:numPr>
          <w:ilvl w:val="0"/>
          <w:numId w:val="2"/>
        </w:numPr>
        <w:ind w:firstLineChars="0"/>
      </w:pPr>
      <w:bookmarkStart w:id="82" w:name="_Ref233581178"/>
      <w:r w:rsidRPr="006C758F">
        <w:t>KIM G, HONG T, YIM M, et al. OCR-free Document Understanding Transformer[C]//Computer Vision – ECCV 2022. Cham: Springer, 2022</w:t>
      </w:r>
      <w:r w:rsidR="0024575B">
        <w:t>.</w:t>
      </w:r>
      <w:bookmarkEnd w:id="82"/>
    </w:p>
    <w:p w14:paraId="2FF8A9F1" w14:textId="107108E7" w:rsidR="0024575B" w:rsidRDefault="006C758F" w:rsidP="0024575B">
      <w:pPr>
        <w:pStyle w:val="afb"/>
        <w:numPr>
          <w:ilvl w:val="0"/>
          <w:numId w:val="2"/>
        </w:numPr>
        <w:ind w:firstLineChars="0"/>
      </w:pPr>
      <w:bookmarkStart w:id="83" w:name="_Ref233581183"/>
      <w:r w:rsidRPr="006C758F">
        <w:t>LEWIS P, PEREZ E, PIKTUS A, et al. Retrieval-Augmented Generation for Knowledge-Intensive NLP Tasks[C]//Advances in Neural Information Processing Systems. Vancouver: NeurIPS, 2020, 33: 9459-9474</w:t>
      </w:r>
      <w:r w:rsidR="0024575B" w:rsidRPr="00B55E76">
        <w:t>.</w:t>
      </w:r>
      <w:bookmarkEnd w:id="83"/>
    </w:p>
    <w:p w14:paraId="719C484E" w14:textId="4CF23889" w:rsidR="0024575B" w:rsidRDefault="00872B66" w:rsidP="0024575B">
      <w:pPr>
        <w:pStyle w:val="afb"/>
        <w:numPr>
          <w:ilvl w:val="0"/>
          <w:numId w:val="2"/>
        </w:numPr>
        <w:ind w:firstLineChars="0"/>
      </w:pPr>
      <w:bookmarkStart w:id="84" w:name="_Ref233581191"/>
      <w:r w:rsidRPr="00872B66">
        <w:t>OpenAI. GPT-4 Technical Report[EB/OL]. (2023-03-14)[2026-06-28]</w:t>
      </w:r>
      <w:r w:rsidR="0024575B">
        <w:t>.</w:t>
      </w:r>
      <w:bookmarkEnd w:id="84"/>
    </w:p>
    <w:p w14:paraId="138EDCAA" w14:textId="2B2E2AA0" w:rsidR="0024575B" w:rsidRDefault="00872B66" w:rsidP="0024575B">
      <w:pPr>
        <w:pStyle w:val="afb"/>
        <w:numPr>
          <w:ilvl w:val="0"/>
          <w:numId w:val="2"/>
        </w:numPr>
        <w:ind w:firstLineChars="0"/>
      </w:pPr>
      <w:bookmarkStart w:id="85" w:name="_Ref233581244"/>
      <w:r w:rsidRPr="00872B66">
        <w:t>BRONZINI M, NICOLINI C, LEPRI B, et al. Glitter or Gold? Deriving Structured Insights from Sustainability Reports via Large Language Models[J]. EPJ Data Science, 2024, 13(1): 27</w:t>
      </w:r>
      <w:r w:rsidR="0024575B">
        <w:t>.</w:t>
      </w:r>
      <w:bookmarkEnd w:id="85"/>
    </w:p>
    <w:p w14:paraId="6AB410D7" w14:textId="0BC3311E" w:rsidR="0024575B" w:rsidRDefault="00872B66" w:rsidP="0024575B">
      <w:pPr>
        <w:pStyle w:val="afb"/>
        <w:numPr>
          <w:ilvl w:val="0"/>
          <w:numId w:val="2"/>
        </w:numPr>
        <w:ind w:firstLineChars="0"/>
      </w:pPr>
      <w:bookmarkStart w:id="86" w:name="_Ref233730714"/>
      <w:r w:rsidRPr="00872B66">
        <w:t>KANOKOGI M, MORIYAMA H. Extracting ESG Information from Corporate Annual Reports Using Large Language Models[R]. Tokyo: Japanese Society for Artificial Intelligence, 2024</w:t>
      </w:r>
      <w:r>
        <w:rPr>
          <w:rFonts w:hint="eastAsia"/>
        </w:rPr>
        <w:t>.</w:t>
      </w:r>
      <w:bookmarkEnd w:id="86"/>
    </w:p>
    <w:p w14:paraId="47A37308" w14:textId="7A65BD9C" w:rsidR="0024575B" w:rsidRDefault="005503EB" w:rsidP="00665BEB">
      <w:pPr>
        <w:pStyle w:val="afb"/>
        <w:numPr>
          <w:ilvl w:val="0"/>
          <w:numId w:val="2"/>
        </w:numPr>
        <w:ind w:firstLineChars="0"/>
      </w:pPr>
      <w:bookmarkStart w:id="87" w:name="_Ref233581280"/>
      <w:r w:rsidRPr="005503EB">
        <w:t>PERONA M, SCALVINI L. Automatic Extraction of Suppliers' ESG Compliance Information from Textual Sources: A Literature Review[J]. Applied Sciences, 2026, 16(8): 4024</w:t>
      </w:r>
      <w:r w:rsidR="0024575B">
        <w:t>.</w:t>
      </w:r>
      <w:bookmarkEnd w:id="87"/>
    </w:p>
    <w:p w14:paraId="5B9AEBF1" w14:textId="2886235E" w:rsidR="00B064E5" w:rsidRPr="0024575B" w:rsidRDefault="005503EB" w:rsidP="00665BEB">
      <w:pPr>
        <w:pStyle w:val="afb"/>
        <w:numPr>
          <w:ilvl w:val="0"/>
          <w:numId w:val="2"/>
        </w:numPr>
        <w:ind w:firstLineChars="0"/>
      </w:pPr>
      <w:bookmarkStart w:id="88" w:name="_Ref233581686"/>
      <w:r w:rsidRPr="005503EB">
        <w:t>WANG B, XU C, ZHAO X M, et al. MinerU: An Open-Source Solution for Precise Document Content Extraction[EB/OL]. (2024-09-27)[2026-06-28]</w:t>
      </w:r>
      <w:r w:rsidR="00B064E5" w:rsidRPr="00B064E5">
        <w:t>.</w:t>
      </w:r>
      <w:bookmarkEnd w:id="88"/>
    </w:p>
    <w:sectPr w:rsidR="00B064E5" w:rsidRPr="0024575B">
      <w:footerReference w:type="default" r:id="rId90"/>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5B70" w14:textId="77777777" w:rsidR="001A5B7E" w:rsidRDefault="001A5B7E">
      <w:pPr>
        <w:spacing w:line="240" w:lineRule="auto"/>
      </w:pPr>
      <w:r>
        <w:separator/>
      </w:r>
    </w:p>
  </w:endnote>
  <w:endnote w:type="continuationSeparator" w:id="0">
    <w:p w14:paraId="73E78115" w14:textId="77777777" w:rsidR="001A5B7E" w:rsidRDefault="001A5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F097" w14:textId="77777777" w:rsidR="001A5B7E" w:rsidRDefault="001A5B7E">
      <w:r>
        <w:separator/>
      </w:r>
    </w:p>
  </w:footnote>
  <w:footnote w:type="continuationSeparator" w:id="0">
    <w:p w14:paraId="7A979863" w14:textId="77777777" w:rsidR="001A5B7E" w:rsidRDefault="001A5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87016657"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5685158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824"/>
    <w:rsid w:val="00030C67"/>
    <w:rsid w:val="00030EF9"/>
    <w:rsid w:val="00033053"/>
    <w:rsid w:val="0003708F"/>
    <w:rsid w:val="00037E95"/>
    <w:rsid w:val="000405A0"/>
    <w:rsid w:val="0004574F"/>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704B2"/>
    <w:rsid w:val="00070C4A"/>
    <w:rsid w:val="00073106"/>
    <w:rsid w:val="00074468"/>
    <w:rsid w:val="00074F10"/>
    <w:rsid w:val="0008285B"/>
    <w:rsid w:val="00083830"/>
    <w:rsid w:val="00083883"/>
    <w:rsid w:val="00086119"/>
    <w:rsid w:val="00086780"/>
    <w:rsid w:val="0008682B"/>
    <w:rsid w:val="000901DE"/>
    <w:rsid w:val="0009080F"/>
    <w:rsid w:val="00093776"/>
    <w:rsid w:val="00094482"/>
    <w:rsid w:val="00096113"/>
    <w:rsid w:val="00096BD4"/>
    <w:rsid w:val="00096DDC"/>
    <w:rsid w:val="000A06F5"/>
    <w:rsid w:val="000A3DC1"/>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792"/>
    <w:rsid w:val="00183CD5"/>
    <w:rsid w:val="00184342"/>
    <w:rsid w:val="001866DE"/>
    <w:rsid w:val="001876E6"/>
    <w:rsid w:val="00187800"/>
    <w:rsid w:val="00193BA0"/>
    <w:rsid w:val="00196AE4"/>
    <w:rsid w:val="001A0974"/>
    <w:rsid w:val="001A2C40"/>
    <w:rsid w:val="001A2DD3"/>
    <w:rsid w:val="001A33A3"/>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1458"/>
    <w:rsid w:val="001E2312"/>
    <w:rsid w:val="001E25DB"/>
    <w:rsid w:val="001F006F"/>
    <w:rsid w:val="001F0ACC"/>
    <w:rsid w:val="001F1CC5"/>
    <w:rsid w:val="001F48CF"/>
    <w:rsid w:val="001F5126"/>
    <w:rsid w:val="001F68FF"/>
    <w:rsid w:val="001F6B2D"/>
    <w:rsid w:val="001F7F55"/>
    <w:rsid w:val="0020220D"/>
    <w:rsid w:val="002068F7"/>
    <w:rsid w:val="00210FC4"/>
    <w:rsid w:val="002121AF"/>
    <w:rsid w:val="0021483E"/>
    <w:rsid w:val="00220D85"/>
    <w:rsid w:val="00221442"/>
    <w:rsid w:val="00222176"/>
    <w:rsid w:val="00222908"/>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6374"/>
    <w:rsid w:val="002A7F9C"/>
    <w:rsid w:val="002B07AF"/>
    <w:rsid w:val="002B0E44"/>
    <w:rsid w:val="002B2401"/>
    <w:rsid w:val="002B3313"/>
    <w:rsid w:val="002B7413"/>
    <w:rsid w:val="002B77B5"/>
    <w:rsid w:val="002C2071"/>
    <w:rsid w:val="002C2785"/>
    <w:rsid w:val="002C694E"/>
    <w:rsid w:val="002D0F6B"/>
    <w:rsid w:val="002D2FC2"/>
    <w:rsid w:val="002D3633"/>
    <w:rsid w:val="002E1868"/>
    <w:rsid w:val="002E3DA6"/>
    <w:rsid w:val="002E44BC"/>
    <w:rsid w:val="002E62FF"/>
    <w:rsid w:val="002F09B1"/>
    <w:rsid w:val="002F1FA6"/>
    <w:rsid w:val="002F3118"/>
    <w:rsid w:val="002F33B8"/>
    <w:rsid w:val="002F479D"/>
    <w:rsid w:val="002F5135"/>
    <w:rsid w:val="002F5605"/>
    <w:rsid w:val="002F62FC"/>
    <w:rsid w:val="00300C14"/>
    <w:rsid w:val="00302535"/>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7173"/>
    <w:rsid w:val="003428B4"/>
    <w:rsid w:val="00343BBD"/>
    <w:rsid w:val="0034462E"/>
    <w:rsid w:val="003450F1"/>
    <w:rsid w:val="003469E9"/>
    <w:rsid w:val="00350304"/>
    <w:rsid w:val="00352FA6"/>
    <w:rsid w:val="00353652"/>
    <w:rsid w:val="003544A3"/>
    <w:rsid w:val="003547F5"/>
    <w:rsid w:val="00354BC0"/>
    <w:rsid w:val="00355B8E"/>
    <w:rsid w:val="00360E19"/>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811EF"/>
    <w:rsid w:val="00381A18"/>
    <w:rsid w:val="00382B24"/>
    <w:rsid w:val="00383E25"/>
    <w:rsid w:val="003845B2"/>
    <w:rsid w:val="003861D1"/>
    <w:rsid w:val="00390FD1"/>
    <w:rsid w:val="00391349"/>
    <w:rsid w:val="00394A87"/>
    <w:rsid w:val="00396F79"/>
    <w:rsid w:val="0039771E"/>
    <w:rsid w:val="00397882"/>
    <w:rsid w:val="003A05CA"/>
    <w:rsid w:val="003A2596"/>
    <w:rsid w:val="003A3DD0"/>
    <w:rsid w:val="003A6481"/>
    <w:rsid w:val="003A65DC"/>
    <w:rsid w:val="003A6EFF"/>
    <w:rsid w:val="003A7E0B"/>
    <w:rsid w:val="003B129C"/>
    <w:rsid w:val="003B1C9D"/>
    <w:rsid w:val="003B23C8"/>
    <w:rsid w:val="003B2537"/>
    <w:rsid w:val="003B4630"/>
    <w:rsid w:val="003B5DD4"/>
    <w:rsid w:val="003C035F"/>
    <w:rsid w:val="003C0E23"/>
    <w:rsid w:val="003C2812"/>
    <w:rsid w:val="003C28F0"/>
    <w:rsid w:val="003C5595"/>
    <w:rsid w:val="003C674E"/>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1621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7F63"/>
    <w:rsid w:val="004809BC"/>
    <w:rsid w:val="0048107D"/>
    <w:rsid w:val="00481257"/>
    <w:rsid w:val="00481C6F"/>
    <w:rsid w:val="00482578"/>
    <w:rsid w:val="00484DF8"/>
    <w:rsid w:val="004875AE"/>
    <w:rsid w:val="00490E37"/>
    <w:rsid w:val="0049193C"/>
    <w:rsid w:val="00492836"/>
    <w:rsid w:val="00492868"/>
    <w:rsid w:val="00492CBD"/>
    <w:rsid w:val="00492D8D"/>
    <w:rsid w:val="00493F5D"/>
    <w:rsid w:val="0049504B"/>
    <w:rsid w:val="0049544A"/>
    <w:rsid w:val="004962C7"/>
    <w:rsid w:val="00496620"/>
    <w:rsid w:val="00496BD6"/>
    <w:rsid w:val="00496C10"/>
    <w:rsid w:val="00496F33"/>
    <w:rsid w:val="004A0E34"/>
    <w:rsid w:val="004A5A78"/>
    <w:rsid w:val="004A76E5"/>
    <w:rsid w:val="004A77F3"/>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232C"/>
    <w:rsid w:val="004D2D0D"/>
    <w:rsid w:val="004D6A3E"/>
    <w:rsid w:val="004D7943"/>
    <w:rsid w:val="004D7D5A"/>
    <w:rsid w:val="004E0D4A"/>
    <w:rsid w:val="004E1E83"/>
    <w:rsid w:val="004E1F7D"/>
    <w:rsid w:val="004E4BB9"/>
    <w:rsid w:val="004E5832"/>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5725"/>
    <w:rsid w:val="00517395"/>
    <w:rsid w:val="00517FAE"/>
    <w:rsid w:val="0052528F"/>
    <w:rsid w:val="00526CEC"/>
    <w:rsid w:val="00530AA6"/>
    <w:rsid w:val="00532987"/>
    <w:rsid w:val="00532FAC"/>
    <w:rsid w:val="0053443A"/>
    <w:rsid w:val="005345A8"/>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75D0"/>
    <w:rsid w:val="005678C8"/>
    <w:rsid w:val="00567C65"/>
    <w:rsid w:val="00572C43"/>
    <w:rsid w:val="005742EB"/>
    <w:rsid w:val="00575C31"/>
    <w:rsid w:val="00580960"/>
    <w:rsid w:val="00581900"/>
    <w:rsid w:val="005837D4"/>
    <w:rsid w:val="00584301"/>
    <w:rsid w:val="00587490"/>
    <w:rsid w:val="00592279"/>
    <w:rsid w:val="0059331E"/>
    <w:rsid w:val="005950A6"/>
    <w:rsid w:val="005962D7"/>
    <w:rsid w:val="005976B8"/>
    <w:rsid w:val="00597FF7"/>
    <w:rsid w:val="005A0AB1"/>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6990"/>
    <w:rsid w:val="005F011C"/>
    <w:rsid w:val="005F48A1"/>
    <w:rsid w:val="005F4C5E"/>
    <w:rsid w:val="005F4DFA"/>
    <w:rsid w:val="00600EC5"/>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845"/>
    <w:rsid w:val="006902EF"/>
    <w:rsid w:val="00691376"/>
    <w:rsid w:val="00693DCC"/>
    <w:rsid w:val="00693E88"/>
    <w:rsid w:val="006974F3"/>
    <w:rsid w:val="00697BC1"/>
    <w:rsid w:val="006A14FD"/>
    <w:rsid w:val="006A1A6D"/>
    <w:rsid w:val="006A1BE5"/>
    <w:rsid w:val="006A24E8"/>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5218C"/>
    <w:rsid w:val="00753745"/>
    <w:rsid w:val="00753957"/>
    <w:rsid w:val="00754E05"/>
    <w:rsid w:val="00760182"/>
    <w:rsid w:val="00760E63"/>
    <w:rsid w:val="00764D14"/>
    <w:rsid w:val="0076601B"/>
    <w:rsid w:val="007670CD"/>
    <w:rsid w:val="007717CA"/>
    <w:rsid w:val="0077404C"/>
    <w:rsid w:val="00781686"/>
    <w:rsid w:val="0078281A"/>
    <w:rsid w:val="0078435D"/>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1B89"/>
    <w:rsid w:val="007A2306"/>
    <w:rsid w:val="007A384D"/>
    <w:rsid w:val="007B1589"/>
    <w:rsid w:val="007B3610"/>
    <w:rsid w:val="007B3834"/>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3504"/>
    <w:rsid w:val="00864716"/>
    <w:rsid w:val="008654A4"/>
    <w:rsid w:val="00865931"/>
    <w:rsid w:val="008661D5"/>
    <w:rsid w:val="0086628A"/>
    <w:rsid w:val="00867FFC"/>
    <w:rsid w:val="008721EF"/>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FBF"/>
    <w:rsid w:val="009112FA"/>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157A"/>
    <w:rsid w:val="00941FA2"/>
    <w:rsid w:val="0094280F"/>
    <w:rsid w:val="009444D9"/>
    <w:rsid w:val="0094459B"/>
    <w:rsid w:val="009452FC"/>
    <w:rsid w:val="009517E0"/>
    <w:rsid w:val="009524FB"/>
    <w:rsid w:val="009528A4"/>
    <w:rsid w:val="0095383A"/>
    <w:rsid w:val="00954303"/>
    <w:rsid w:val="0096057C"/>
    <w:rsid w:val="00961946"/>
    <w:rsid w:val="00964E11"/>
    <w:rsid w:val="00964F15"/>
    <w:rsid w:val="00965A3B"/>
    <w:rsid w:val="009677A1"/>
    <w:rsid w:val="0097138A"/>
    <w:rsid w:val="00971AFD"/>
    <w:rsid w:val="009730F1"/>
    <w:rsid w:val="00974148"/>
    <w:rsid w:val="009755C0"/>
    <w:rsid w:val="0097587F"/>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5803"/>
    <w:rsid w:val="009B5A33"/>
    <w:rsid w:val="009B6271"/>
    <w:rsid w:val="009B77D9"/>
    <w:rsid w:val="009B7B59"/>
    <w:rsid w:val="009C07BA"/>
    <w:rsid w:val="009C4E36"/>
    <w:rsid w:val="009C595D"/>
    <w:rsid w:val="009C67B9"/>
    <w:rsid w:val="009C6856"/>
    <w:rsid w:val="009C6B5D"/>
    <w:rsid w:val="009C7A62"/>
    <w:rsid w:val="009D2A51"/>
    <w:rsid w:val="009D2FF8"/>
    <w:rsid w:val="009D31BB"/>
    <w:rsid w:val="009D6FA1"/>
    <w:rsid w:val="009D74DC"/>
    <w:rsid w:val="009D7CE4"/>
    <w:rsid w:val="009E11D9"/>
    <w:rsid w:val="009E19D6"/>
    <w:rsid w:val="009E46A6"/>
    <w:rsid w:val="009F02D8"/>
    <w:rsid w:val="009F06FF"/>
    <w:rsid w:val="009F0F95"/>
    <w:rsid w:val="009F4121"/>
    <w:rsid w:val="009F66BE"/>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72938"/>
    <w:rsid w:val="00A72F7A"/>
    <w:rsid w:val="00A73920"/>
    <w:rsid w:val="00A74939"/>
    <w:rsid w:val="00A75F66"/>
    <w:rsid w:val="00A767A8"/>
    <w:rsid w:val="00A76F74"/>
    <w:rsid w:val="00A77867"/>
    <w:rsid w:val="00A77CE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53F5"/>
    <w:rsid w:val="00BB664F"/>
    <w:rsid w:val="00BB678B"/>
    <w:rsid w:val="00BC166D"/>
    <w:rsid w:val="00BC184C"/>
    <w:rsid w:val="00BC3065"/>
    <w:rsid w:val="00BC562E"/>
    <w:rsid w:val="00BC5641"/>
    <w:rsid w:val="00BC65F7"/>
    <w:rsid w:val="00BC7260"/>
    <w:rsid w:val="00BD02C7"/>
    <w:rsid w:val="00BD2472"/>
    <w:rsid w:val="00BD28E9"/>
    <w:rsid w:val="00BD4253"/>
    <w:rsid w:val="00BD494D"/>
    <w:rsid w:val="00BD6C41"/>
    <w:rsid w:val="00BE4731"/>
    <w:rsid w:val="00BE759F"/>
    <w:rsid w:val="00BF0A2A"/>
    <w:rsid w:val="00BF2810"/>
    <w:rsid w:val="00BF2D94"/>
    <w:rsid w:val="00BF3213"/>
    <w:rsid w:val="00BF3BAC"/>
    <w:rsid w:val="00BF55D1"/>
    <w:rsid w:val="00BF5B4C"/>
    <w:rsid w:val="00C020A5"/>
    <w:rsid w:val="00C03070"/>
    <w:rsid w:val="00C030E4"/>
    <w:rsid w:val="00C0392A"/>
    <w:rsid w:val="00C03B6D"/>
    <w:rsid w:val="00C058F3"/>
    <w:rsid w:val="00C0601F"/>
    <w:rsid w:val="00C062A5"/>
    <w:rsid w:val="00C07784"/>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52AC"/>
    <w:rsid w:val="00CA62B2"/>
    <w:rsid w:val="00CA7478"/>
    <w:rsid w:val="00CB3F5E"/>
    <w:rsid w:val="00CC0EB9"/>
    <w:rsid w:val="00CC1495"/>
    <w:rsid w:val="00CC300E"/>
    <w:rsid w:val="00CC31FC"/>
    <w:rsid w:val="00CC4664"/>
    <w:rsid w:val="00CC772B"/>
    <w:rsid w:val="00CD193E"/>
    <w:rsid w:val="00CD372C"/>
    <w:rsid w:val="00CD52D0"/>
    <w:rsid w:val="00CE2826"/>
    <w:rsid w:val="00CE3D10"/>
    <w:rsid w:val="00CE5095"/>
    <w:rsid w:val="00CE5A67"/>
    <w:rsid w:val="00CE5AE4"/>
    <w:rsid w:val="00CF05BB"/>
    <w:rsid w:val="00CF09F0"/>
    <w:rsid w:val="00CF2A07"/>
    <w:rsid w:val="00CF2C45"/>
    <w:rsid w:val="00CF39E8"/>
    <w:rsid w:val="00CF423C"/>
    <w:rsid w:val="00CF4EFF"/>
    <w:rsid w:val="00CF7560"/>
    <w:rsid w:val="00D00433"/>
    <w:rsid w:val="00D02091"/>
    <w:rsid w:val="00D03C98"/>
    <w:rsid w:val="00D04E17"/>
    <w:rsid w:val="00D04FC4"/>
    <w:rsid w:val="00D05CCB"/>
    <w:rsid w:val="00D0732E"/>
    <w:rsid w:val="00D07D7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630D"/>
    <w:rsid w:val="00D470D5"/>
    <w:rsid w:val="00D50C4F"/>
    <w:rsid w:val="00D515CC"/>
    <w:rsid w:val="00D52E1F"/>
    <w:rsid w:val="00D532FE"/>
    <w:rsid w:val="00D538AD"/>
    <w:rsid w:val="00D563D9"/>
    <w:rsid w:val="00D5689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1F24"/>
    <w:rsid w:val="00E22450"/>
    <w:rsid w:val="00E24DA9"/>
    <w:rsid w:val="00E253A5"/>
    <w:rsid w:val="00E26917"/>
    <w:rsid w:val="00E27791"/>
    <w:rsid w:val="00E30051"/>
    <w:rsid w:val="00E305C3"/>
    <w:rsid w:val="00E30785"/>
    <w:rsid w:val="00E318CD"/>
    <w:rsid w:val="00E332EF"/>
    <w:rsid w:val="00E359C5"/>
    <w:rsid w:val="00E361D4"/>
    <w:rsid w:val="00E4027E"/>
    <w:rsid w:val="00E402B1"/>
    <w:rsid w:val="00E417AA"/>
    <w:rsid w:val="00E45801"/>
    <w:rsid w:val="00E51C0D"/>
    <w:rsid w:val="00E51CAD"/>
    <w:rsid w:val="00E534CA"/>
    <w:rsid w:val="00E53876"/>
    <w:rsid w:val="00E54345"/>
    <w:rsid w:val="00E55C43"/>
    <w:rsid w:val="00E5674C"/>
    <w:rsid w:val="00E64CB4"/>
    <w:rsid w:val="00E660F5"/>
    <w:rsid w:val="00E671FA"/>
    <w:rsid w:val="00E7111F"/>
    <w:rsid w:val="00E711C6"/>
    <w:rsid w:val="00E71FF1"/>
    <w:rsid w:val="00E72A95"/>
    <w:rsid w:val="00E72CA0"/>
    <w:rsid w:val="00E7713E"/>
    <w:rsid w:val="00E813CE"/>
    <w:rsid w:val="00E8214B"/>
    <w:rsid w:val="00E844F3"/>
    <w:rsid w:val="00E8497C"/>
    <w:rsid w:val="00E85335"/>
    <w:rsid w:val="00E86016"/>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6B1C"/>
    <w:rsid w:val="00F07589"/>
    <w:rsid w:val="00F111D9"/>
    <w:rsid w:val="00F119A0"/>
    <w:rsid w:val="00F13B40"/>
    <w:rsid w:val="00F1635C"/>
    <w:rsid w:val="00F16502"/>
    <w:rsid w:val="00F1704A"/>
    <w:rsid w:val="00F1735D"/>
    <w:rsid w:val="00F205F8"/>
    <w:rsid w:val="00F24313"/>
    <w:rsid w:val="00F243B1"/>
    <w:rsid w:val="00F25130"/>
    <w:rsid w:val="00F26D24"/>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80365"/>
    <w:rsid w:val="00F82A00"/>
    <w:rsid w:val="00F8523E"/>
    <w:rsid w:val="00F85A54"/>
    <w:rsid w:val="00F875D8"/>
    <w:rsid w:val="00F90CA7"/>
    <w:rsid w:val="00F91F7D"/>
    <w:rsid w:val="00F92A88"/>
    <w:rsid w:val="00F93D6C"/>
    <w:rsid w:val="00FA0BC3"/>
    <w:rsid w:val="00FB0EB0"/>
    <w:rsid w:val="00FB4FA9"/>
    <w:rsid w:val="00FB5A1D"/>
    <w:rsid w:val="00FB664C"/>
    <w:rsid w:val="00FB71B2"/>
    <w:rsid w:val="00FB7744"/>
    <w:rsid w:val="00FB774C"/>
    <w:rsid w:val="00FC012A"/>
    <w:rsid w:val="00FC0F45"/>
    <w:rsid w:val="00FC127B"/>
    <w:rsid w:val="00FC2697"/>
    <w:rsid w:val="00FC349C"/>
    <w:rsid w:val="00FC364A"/>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oleObject" Target="embeddings/oleObject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wmf"/><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16.bin"/><Relationship Id="rId74" Type="http://schemas.openxmlformats.org/officeDocument/2006/relationships/image" Target="media/image35.wmf"/><Relationship Id="rId79" Type="http://schemas.openxmlformats.org/officeDocument/2006/relationships/hyperlink" Target="https://esgminer.fun/" TargetMode="External"/><Relationship Id="rId5" Type="http://schemas.openxmlformats.org/officeDocument/2006/relationships/webSettings" Target="webSettings.xml"/><Relationship Id="rId90" Type="http://schemas.openxmlformats.org/officeDocument/2006/relationships/footer" Target="footer5.xml"/><Relationship Id="rId14" Type="http://schemas.openxmlformats.org/officeDocument/2006/relationships/footer" Target="footer3.xml"/><Relationship Id="rId22" Type="http://schemas.openxmlformats.org/officeDocument/2006/relationships/image" Target="media/image6.svg"/><Relationship Id="rId27" Type="http://schemas.openxmlformats.org/officeDocument/2006/relationships/image" Target="media/image11.wmf"/><Relationship Id="rId30" Type="http://schemas.openxmlformats.org/officeDocument/2006/relationships/oleObject" Target="embeddings/oleObject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1.bin"/><Relationship Id="rId56" Type="http://schemas.openxmlformats.org/officeDocument/2006/relationships/oleObject" Target="embeddings/oleObject15.bin"/><Relationship Id="rId64" Type="http://schemas.openxmlformats.org/officeDocument/2006/relationships/oleObject" Target="embeddings/oleObject19.bin"/><Relationship Id="rId69" Type="http://schemas.openxmlformats.org/officeDocument/2006/relationships/oleObject" Target="embeddings/oleObject21.bin"/><Relationship Id="rId77" Type="http://schemas.openxmlformats.org/officeDocument/2006/relationships/image" Target="media/image37.svg"/><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9.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4.wmf"/><Relationship Id="rId38" Type="http://schemas.openxmlformats.org/officeDocument/2006/relationships/oleObject" Target="embeddings/oleObject6.bin"/><Relationship Id="rId46" Type="http://schemas.openxmlformats.org/officeDocument/2006/relationships/oleObject" Target="embeddings/oleObject10.bin"/><Relationship Id="rId59" Type="http://schemas.openxmlformats.org/officeDocument/2006/relationships/image" Target="media/image27.wmf"/><Relationship Id="rId67" Type="http://schemas.openxmlformats.org/officeDocument/2006/relationships/image" Target="media/image31.png"/><Relationship Id="rId20" Type="http://schemas.openxmlformats.org/officeDocument/2006/relationships/image" Target="media/image4.svg"/><Relationship Id="rId41" Type="http://schemas.openxmlformats.org/officeDocument/2006/relationships/image" Target="media/image18.wmf"/><Relationship Id="rId54" Type="http://schemas.openxmlformats.org/officeDocument/2006/relationships/oleObject" Target="embeddings/oleObject14.bin"/><Relationship Id="rId62" Type="http://schemas.openxmlformats.org/officeDocument/2006/relationships/oleObject" Target="embeddings/oleObject18.bin"/><Relationship Id="rId70" Type="http://schemas.openxmlformats.org/officeDocument/2006/relationships/image" Target="media/image33.wmf"/><Relationship Id="rId75" Type="http://schemas.openxmlformats.org/officeDocument/2006/relationships/oleObject" Target="embeddings/oleObject24.bin"/><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9.bin"/><Relationship Id="rId52" Type="http://schemas.openxmlformats.org/officeDocument/2006/relationships/oleObject" Target="embeddings/oleObject13.bin"/><Relationship Id="rId60" Type="http://schemas.openxmlformats.org/officeDocument/2006/relationships/oleObject" Target="embeddings/oleObject17.bin"/><Relationship Id="rId65" Type="http://schemas.openxmlformats.org/officeDocument/2006/relationships/image" Target="media/image30.wmf"/><Relationship Id="rId73" Type="http://schemas.openxmlformats.org/officeDocument/2006/relationships/oleObject" Target="embeddings/oleObject23.bin"/><Relationship Id="rId78" Type="http://schemas.openxmlformats.org/officeDocument/2006/relationships/image" Target="media/image38.png"/><Relationship Id="rId81" Type="http://schemas.openxmlformats.org/officeDocument/2006/relationships/image" Target="media/image40.png"/><Relationship Id="rId86"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7.wmf"/><Relationship Id="rId34" Type="http://schemas.openxmlformats.org/officeDocument/2006/relationships/oleObject" Target="embeddings/oleObject4.bin"/><Relationship Id="rId50" Type="http://schemas.openxmlformats.org/officeDocument/2006/relationships/oleObject" Target="embeddings/oleObject12.bin"/><Relationship Id="rId55" Type="http://schemas.openxmlformats.org/officeDocument/2006/relationships/image" Target="media/image25.wmf"/><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oleObject" Target="embeddings/oleObject22.bin"/><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image" Target="media/image8.svg"/><Relationship Id="rId40" Type="http://schemas.openxmlformats.org/officeDocument/2006/relationships/oleObject" Target="embeddings/oleObject7.bin"/><Relationship Id="rId45" Type="http://schemas.openxmlformats.org/officeDocument/2006/relationships/image" Target="media/image20.wmf"/><Relationship Id="rId66" Type="http://schemas.openxmlformats.org/officeDocument/2006/relationships/oleObject" Target="embeddings/oleObject20.bin"/><Relationship Id="rId87" Type="http://schemas.openxmlformats.org/officeDocument/2006/relationships/image" Target="media/image46.png"/><Relationship Id="rId61" Type="http://schemas.openxmlformats.org/officeDocument/2006/relationships/image" Target="media/image28.wmf"/><Relationship Id="rId82" Type="http://schemas.openxmlformats.org/officeDocument/2006/relationships/image" Target="media/image41.png"/><Relationship Id="rId19"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13813</Words>
  <Characters>15748</Characters>
  <Application>Microsoft Office Word</Application>
  <DocSecurity>0</DocSecurity>
  <Lines>583</Lines>
  <Paragraphs>388</Paragraphs>
  <ScaleCrop>false</ScaleCrop>
  <Company>gcd</Company>
  <LinksUpToDate>false</LinksUpToDate>
  <CharactersWithSpaces>29173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Twelve Wu</cp:lastModifiedBy>
  <cp:revision>88</cp:revision>
  <cp:lastPrinted>2026-06-30T09:04:00Z</cp:lastPrinted>
  <dcterms:created xsi:type="dcterms:W3CDTF">2026-06-29T05:19:00Z</dcterms:created>
  <dcterms:modified xsi:type="dcterms:W3CDTF">2026-06-30T09:05:00Z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