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1D2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临床事实错误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与指南不一致）</w:t>
      </w:r>
      <w:r>
        <w:t xml:space="preserve">； </w:t>
      </w:r>
    </w:p>
    <w:p w14:paraId="5586F0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答案不唯一； </w:t>
      </w:r>
    </w:p>
    <w:p w14:paraId="69DE63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答案键错误，缺少或过多（答案键必须只有ABCDE）</w:t>
      </w:r>
    </w:p>
    <w:p w14:paraId="2D862B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题干信息不足； </w:t>
      </w:r>
    </w:p>
    <w:p w14:paraId="265A61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与蓝图不符； </w:t>
      </w:r>
    </w:p>
    <w:p w14:paraId="30B09E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诱导危险临床行为； </w:t>
      </w:r>
    </w:p>
    <w:p w14:paraId="463F7B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超出住培/出科考试范围； </w:t>
      </w:r>
    </w:p>
    <w:p w14:paraId="620B62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选项质量不合格； </w:t>
      </w:r>
    </w:p>
    <w:p w14:paraId="64578E5D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>每个排除项都要记录数量和比例，形成类似 CONSORT flow diagram 的题目流图。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从原始题库开始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p w14:paraId="22442F4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DCBFC7"/>
    <w:multiLevelType w:val="multilevel"/>
    <w:tmpl w:val="49DCBF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D9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2026-05-26T14:28:47Z</dcterms:created>
  <dc:creator>cheny</dc:creator>
  <cp:lastModifiedBy>陈亚龙</cp:lastModifiedBy>
  <dcterms:modified xsi:type="dcterms:W3CDTF">2026-05-26T14:34:49Z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eyJoZGlkIjoiN2ZkN2U0NTE2ZWZjNGNkOGYwMTY5ODIwZjEyYjUxNGMiLCJ1c2VySWQiOiIxNjQxNDUyNjA5In0=</vt:lpwstr>
  </property>
  <property fmtid="{D5CDD505-2E9C-101B-9397-08002B2CF9AE}" pid="4" name="ICV">
    <vt:lpwstr>5B8391108A3A4D05B6D56A7F63C8E61D_12</vt:lpwstr>
  </property>
</Properties>
</file>