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  <w:rFonts w:eastAsia="Microsoft YaHei" w:ascii="Arial" w:hAnsi="Arial"/>
        </w:rPr>
        <w:t>Figure 3 修改建议说明书</w:t>
      </w:r>
    </w:p>
    <w:p>
      <w:pPr>
        <w:jc w:val="center"/>
      </w:pPr>
      <w:r>
        <w:rPr>
          <w:color w:val="595959"/>
          <w:sz w:val="22"/>
          <w:rFonts w:eastAsia="Microsoft YaHei" w:ascii="Arial" w:hAnsi="Arial"/>
        </w:rPr>
        <w:t>UroMAS 辅助泌尿外科住院医闭卷考试命题研究 · 图件修订与审稿风险控制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用途：将前次针对 Figure 3A-C 的修改建议整理为可直接交付给研究生、统计师、作图人员与通讯作者讨论的 Word 版说明书。本文重点不是重新解释研究结果，而是把图件改到更符合 Nature Communications / npj Digital Medicine 等期刊的快速筛读、统计审稿和方法学审稿预期。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保密说明：本文不包含真实题目来源揭盲信息或原始数据；所有建议均基于当前 Figure 3A-C 的版式、坐标轴与研究设计叙事提出。</w:t>
      </w:r>
    </w:p>
    <w:p>
      <w:pPr>
        <w:pStyle w:val="Heading1"/>
        <w:spacing w:before="200" w:after="80"/>
      </w:pPr>
      <w:r>
        <w:rPr>
          <w:b/>
          <w:color w:val="1F4E79"/>
          <w:sz w:val="32"/>
          <w:rFonts w:eastAsia="Microsoft YaHei" w:ascii="Arial" w:hAnsi="Arial"/>
        </w:rPr>
        <w:t>0. 当前图件的总体判断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Figure 3 的总体方向正确：用按认知层级分层的差值图来表达 MAS 与人工专家题目在专家质量评分、缺陷风险和学生作答表现上的差异。这一形式适合支撑“能力边界”和“非劣效/相近性”叙事。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但目前最主要的问题是图件尚未充分自解释：差值方向不清、Figure 3B 的 panel label 与横轴内容疑似导出错误、非劣效界值或等效区间未显示、样本量未标注，容易在快速审稿中被误读为“只是在画三张接近 0 的点图”。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问题类别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当前风险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建议处理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优先级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差值方向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读者无法判断正值代表 MAS 更好还是 Human 更好。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所有横轴统一写明 Difference = MAS - Human。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最高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Figure 3B 导出错误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B 图文件名应为 defect risk，但画面可能显示 Correct-rate difference，且 panel label 与 C 重复。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重新导出 Figure 3B，确认数据源、横轴和 panel label。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最高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非劣效叙事不足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若正文写 noninferior，但图中没有 margin，审稿人会追问预设界值。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在 A 图或整组图中加入 prespecified non-inferiority margin / equivalence band。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统计粒度不明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专家×题目、题目级裁决、考生×题目三种粒度混在一组图中，未说明会造成误解。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图注逐一说明 panel 的分析粒度与模型。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样本量缺失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reasoning 层级区间宽时，读者无法判断是样本量小还是系统不稳定。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每个 cognitive level 标注 n，必要时列出 MAS/Human 分子分母。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高</w:t>
            </w:r>
          </w:p>
        </w:tc>
      </w:tr>
    </w:tbl>
    <w:p/>
    <w:p>
      <w:pPr>
        <w:pStyle w:val="Heading1"/>
        <w:spacing w:before="200" w:after="80"/>
      </w:pPr>
      <w:r>
        <w:rPr>
          <w:b/>
          <w:color w:val="1F4E79"/>
          <w:sz w:val="32"/>
          <w:rFonts w:eastAsia="Microsoft YaHei" w:ascii="Arial" w:hAnsi="Arial"/>
        </w:rPr>
        <w:t>1. Figure 3 的推荐定位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推荐标题：Figure 3. Performance boundaries by cognitive level.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统计视角：认知层级能力边界。Figure 3 回答的不是“MAS 总体是否能出题”，而是“MAS 在 knowledge、clinical application、clinical reasoning 三个认知复杂度层级上的表现是否不同”。这应成为数字医学叙事中最重要的能力边界分析之一。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Panel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建议标题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分析粒度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数据来源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设计目的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Expert-rated quality difference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专家×题目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expert_ratings + item_master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比较每个认知层级内 MAS-Human 盲法专家质量评分差，并与非劣效界值比较。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Item-writing defect-risk difference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题目级裁决；敏感性可用专家×题目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defect_adjudication + item_master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比较不同认知层级内 major/critical defect 风险差，强调安全底线。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Student correct-answer rate difference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考生×题目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responses + item_master + exam_form_assignment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评估实际考试中 MAS 与人工题的难度校准是否随认知层级变化。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D 可选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Source × cognitive level interaction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专家×题目或考生×题目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expert_ratings 或 responses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正式检验 MAS-Human 差距是否随认知层级升高而扩大。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E 可选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Order/fatigue effect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考生×题块或考生×题目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responses + exam_form_assignment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单独展示 Form A/B 与 block position 对结果的影响，避免把疲劳效应塞进 C 图解释。</w:t>
            </w:r>
          </w:p>
        </w:tc>
      </w:tr>
    </w:tbl>
    <w:p/>
    <w:p>
      <w:pPr>
        <w:pStyle w:val="Heading1"/>
        <w:spacing w:before="200" w:after="80"/>
      </w:pPr>
      <w:r>
        <w:rPr>
          <w:b/>
          <w:color w:val="1F4E79"/>
          <w:sz w:val="32"/>
          <w:rFonts w:eastAsia="Microsoft YaHei" w:ascii="Arial" w:hAnsi="Arial"/>
        </w:rPr>
        <w:t>2. 全组图的统一修改原则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修改点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推荐写法或操作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理由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差值方向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所有横轴或图注写明：All differences were calculated as MAS-generated items minus human-authored items.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避免正负方向被误读；这是差值图的最低自解释要求。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认知层级命名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Knowledge；Clinical application；Clinical reasoning。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application / reasoning 单独出现略泛，加 clinical 更贴合泌尿外科规培考试语境。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零线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保留 x=0 的竖线，并在图注写明 vertical line denotes no difference。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帮助读者快速理解所有点估计是否围绕 0。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非劣效/等效界值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若主文使用 noninferiority，A 图应标注 -delta；若强调 comparable，可加 equivalence band。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使图件和主终点判定规则一致。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置信区间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所有 panel 使用相同的点估计 + 95%CI 视觉语法；来源辨识若另图展示可用 90%CI。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减少审稿人对“为什么不同图用不同区间”的疑问。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样本量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在 y 轴标签或右侧标注 n，例如 Clinical reasoning, n = xx；B 图最好列 MAS x/n vs Human x/n。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缺陷风险与 reasoning 层级常受样本量影响，必须让不确定性可解释。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颜色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三张图可使用不同但克制的颜色；不要用颜色承担方向意义。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色彩服务于分组识别，不应替代轴标签和图注。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导出质量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统一字体、字号、panel label 位置；确认 B 图不是 C 图的重复导出。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当前最容易被编辑或审稿人发现的是 panel label/横轴错误。</w:t>
            </w:r>
          </w:p>
        </w:tc>
      </w:tr>
    </w:tbl>
    <w:p/>
    <w:p>
      <w:pPr>
        <w:pStyle w:val="Heading1"/>
        <w:spacing w:before="200" w:after="80"/>
      </w:pPr>
      <w:r>
        <w:rPr>
          <w:b/>
          <w:color w:val="1F4E79"/>
          <w:sz w:val="32"/>
          <w:rFonts w:eastAsia="Microsoft YaHei" w:ascii="Arial" w:hAnsi="Arial"/>
        </w:rPr>
        <w:t>3. Figure 3A 修改建议：专家质量评分差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当前问题：Figure 3A 展示了 knowledge、application、reasoning 三个认知层级上的 quality difference，点估计和区间均接近 0。作为主叙事的一部分，这是合理的；但横轴“Quality difference”过于笼统，不能说明差值方向、评分尺度和非劣效解释。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项目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当前表达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推荐修改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审稿理由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横轴标题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Quality difference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Mean quality score difference, MAS - Human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明确这是均值差，且说明 MAS 减 Human。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图注方向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未明确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Positive values indicate higher expert-rated quality for MAS-generated items.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避免读者把正值理解为 Human 更好。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非劣效界值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未显示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加入 dashed vertical line at -delta，或加入 shaded non-inferiority/equivalence region。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若正文使用 noninferior，图中应可视化判定规则。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层级命名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knowledge / application / reasoning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Knowledge / Clinical application / Clinical reasoning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更符合临床教育与考试蓝图语境。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模型说明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未显示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图注写明 adjusted estimates from mixed-effects model 或 item-level summaries。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审稿人需要知道是否控制 topic、item_type、rater/item clustering。</w:t>
            </w:r>
          </w:p>
        </w:tc>
      </w:tr>
    </w:tbl>
    <w:p/>
    <w:p>
      <w:pPr>
        <w:spacing w:after="80" w:line="252" w:lineRule="auto"/>
      </w:pPr>
      <w:r>
        <w:rPr>
          <w:sz w:val="20"/>
          <w:rFonts w:eastAsia="Microsoft YaHei" w:ascii="Arial" w:hAnsi="Arial"/>
        </w:rPr>
        <w:t>建议图注句式：Panel A shows adjusted mean differences in blinded expert-rated composite quality scores across cognitive levels. Positive values favor MAS-generated items. The dashed line indicates the prespecified non-inferiority margin.</w:t>
      </w:r>
    </w:p>
    <w:p>
      <w:pPr>
        <w:pStyle w:val="Heading1"/>
        <w:spacing w:before="200" w:after="80"/>
      </w:pPr>
      <w:r>
        <w:rPr>
          <w:b/>
          <w:color w:val="1F4E79"/>
          <w:sz w:val="32"/>
          <w:rFonts w:eastAsia="Microsoft YaHei" w:ascii="Arial" w:hAnsi="Arial"/>
        </w:rPr>
        <w:t>4. Figure 3B 修改建议：缺陷风险差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当前问题：Figure 3B 是最需要优先修正的 panel。文件命名和设计目的提示它应展示 defect risk difference，但当前导出版本可能显示 Correct-rate difference，并且 panel label 与 Figure 3C 重复。这类错误会显著降低整组图的可信度。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项目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必须修改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推荐写法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解释边界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Panel label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左上角必须为 B，不能显示 C。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B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这是图件质控问题，不是审美问题。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横轴标题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不能写 Correct-rate difference。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Item-writing defect-risk difference, MAS - Human (percentage points)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B 图应承担安全/缺陷风险分析，而不是重复 C 图。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方向说明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必须说明正值含义。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Positive values indicate higher defect risk among MAS-generated items.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defect risk 是负向指标；正值不代表 MAS 更好。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事件数展示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建议显示分子分母。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MAS x/n vs Human x/n, by cognitive level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缺陷事件稀少时，仅画 risk difference 会掩盖不确定性来源。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统计方法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事件少时不要强行复杂模型。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若事件数足够可用 mixed logistic；否则用 item-level RD、Fisher exact 或 bootstrap CI。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避免因模型不收敛或稀疏事件导致不稳结论。</w:t>
            </w:r>
          </w:p>
        </w:tc>
      </w:tr>
    </w:tbl>
    <w:p/>
    <w:p>
      <w:pPr>
        <w:spacing w:after="80" w:line="252" w:lineRule="auto"/>
      </w:pPr>
      <w:r>
        <w:rPr>
          <w:sz w:val="20"/>
          <w:rFonts w:eastAsia="Microsoft YaHei" w:ascii="Arial" w:hAnsi="Arial"/>
        </w:rPr>
        <w:t>建议图注句式：Panel B shows item-level adjudicated major/critical defect-risk differences across cognitive levels. Positive values indicate a higher defect risk among MAS-generated items. Because defect events were sparse, raw event counts and denominators are reported alongside risk differences.</w:t>
      </w:r>
    </w:p>
    <w:p>
      <w:pPr>
        <w:pStyle w:val="Heading1"/>
        <w:spacing w:before="200" w:after="80"/>
      </w:pPr>
      <w:r>
        <w:rPr>
          <w:b/>
          <w:color w:val="1F4E79"/>
          <w:sz w:val="32"/>
          <w:rFonts w:eastAsia="Microsoft YaHei" w:ascii="Arial" w:hAnsi="Arial"/>
        </w:rPr>
        <w:t>5. Figure 3C 修改建议：学生正确率差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当前问题：Figure 3C 用于说明学生在 MAS 与 Human 题目上的作答正确率相近，适合支持“题目难度与考试表现相仿”。但它不能被直接解释为“题目质量相同”，也不应单独承担“疲劳效应不明显”的证明。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项目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推荐修改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理由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横轴标题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Correct-answer rate difference, MAS - Human (percentage points)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比 Correct-rate difference 更自然，也明确方向和单位。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统计单位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图注说明是 item-level mean、student-item mixed model，还是其他估计。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学生正确率涉及同一考生回答多题、同一道题被多人回答，不能当独立样本堆叠。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模型建议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correct ~ source*cognitive_level + block_position + order_group + training_setting + training_year + topic + (1|student_id) + (1|item_id)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该模型与 two-sequence block-order 设计一致，可控制题目、考生、顺序和 setting。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疲劳效应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不要只靠 C 图说明，应另设 panel 或补充图展示 block_position/order_group。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C 图是认知层级正确率差；疲劳/顺序效应是设计效应，应单独展示。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解释边界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写 comparable difficulty calibration，不写 equivalent educational quality。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正确率接近可能表示难度接近，不等价于测量质量完全相同。</w:t>
            </w:r>
          </w:p>
        </w:tc>
      </w:tr>
    </w:tbl>
    <w:p/>
    <w:p>
      <w:pPr>
        <w:spacing w:after="80" w:line="252" w:lineRule="auto"/>
      </w:pPr>
      <w:r>
        <w:rPr>
          <w:sz w:val="20"/>
          <w:rFonts w:eastAsia="Microsoft YaHei" w:ascii="Arial" w:hAnsi="Arial"/>
        </w:rPr>
        <w:t>建议图注句式：Panel C shows adjusted correct-answer rate differences by cognitive level. Positive values indicate higher student accuracy on MAS-generated items. Estimates were adjusted for block position, order group, training setting, training year, topic, and participant/item clustering.</w:t>
      </w:r>
    </w:p>
    <w:p>
      <w:pPr>
        <w:pStyle w:val="Heading1"/>
        <w:spacing w:before="200" w:after="80"/>
      </w:pPr>
      <w:r>
        <w:rPr>
          <w:b/>
          <w:color w:val="1F4E79"/>
          <w:sz w:val="32"/>
          <w:rFonts w:eastAsia="Microsoft YaHei" w:ascii="Arial" w:hAnsi="Arial"/>
        </w:rPr>
        <w:t>6. 建议的 Figure 3 图注整合版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Figure 3. Cognitive-level stratified comparison between MAS-generated and human-authored examination items.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(A) Mean expert-rated quality score differences across knowledge, clinical application, and clinical reasoning items. (B) Item-writing defect-risk differences across cognitive levels. (C) Student correct-answer rate differences across cognitive levels. All differences were calculated as MAS-generated items minus human-authored items. Points indicate estimated differences, and horizontal bars indicate 95% confidence intervals. For quality scores, positive values indicate higher ratings for MAS-generated items. For defect risk, positive values indicate higher risk among MAS-generated items. For correct-answer rates, positive values indicate higher student accuracy on MAS-generated items. The vertical line denotes no difference. Dashed vertical lines indicate prespecified non-inferiority or equivalence margins where applicable.</w:t>
      </w:r>
    </w:p>
    <w:p>
      <w:pPr>
        <w:pStyle w:val="Heading1"/>
        <w:spacing w:before="200" w:after="80"/>
      </w:pPr>
      <w:r>
        <w:rPr>
          <w:b/>
          <w:color w:val="1F4E79"/>
          <w:sz w:val="32"/>
          <w:rFonts w:eastAsia="Microsoft YaHei" w:ascii="Arial" w:hAnsi="Arial"/>
        </w:rPr>
        <w:t>7. 推荐论文正文表述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结果类型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推荐表达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  <w:rFonts w:eastAsia="Microsoft YaHei" w:ascii="Arial" w:hAnsi="Arial"/>
              </w:rPr>
              <w:t>避免表达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专家质量评分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MAS-generated items showed comparable, noninferior expert-rated quality across prespecified cognitive levels, with estimates centered near the null difference.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MAS 题目质量优于人工题。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缺陷风险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No clear excess in adjudicated defect risk was observed, although sparse events require cautious interpretation.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MAS 缺陷风险更低，或完全无安全问题。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学生正确率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Student correct-answer rates were similar between MAS-generated and human-authored items after accounting for cognitive level and block-order design.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学生答题一样，证明两类题教育质量完全相同。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认知边界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Cognitive-level analyses were used to identify potential performance boundaries, particularly for high-complexity clinical reasoning items.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AI 已经能够完全替代临床专家命题。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疲劳/顺序效应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Order and block-position effects should be reported separately from cognitive-level comparisons.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  <w:rFonts w:eastAsia="Microsoft YaHei" w:ascii="Arial" w:hAnsi="Arial"/>
              </w:rPr>
              <w:t>仅凭 Figure 3C 就证明无疲劳效应。</w:t>
            </w:r>
          </w:p>
        </w:tc>
      </w:tr>
    </w:tbl>
    <w:p/>
    <w:p>
      <w:pPr>
        <w:pStyle w:val="Heading1"/>
        <w:spacing w:before="200" w:after="80"/>
      </w:pPr>
      <w:r>
        <w:rPr>
          <w:b/>
          <w:color w:val="1F4E79"/>
          <w:sz w:val="32"/>
          <w:rFonts w:eastAsia="Microsoft YaHei" w:ascii="Arial" w:hAnsi="Arial"/>
        </w:rPr>
        <w:t>8. 作图人员交付前检查清单</w:t>
      </w:r>
    </w:p>
    <w:p>
      <w:pPr>
        <w:pStyle w:val="ListBullet"/>
        <w:spacing w:after="40"/>
      </w:pPr>
      <w:r>
        <w:rPr>
          <w:sz w:val="19"/>
          <w:rFonts w:eastAsia="Microsoft YaHei" w:ascii="Arial" w:hAnsi="Arial"/>
        </w:rPr>
        <w:t>确认 Figure 3A-C 的 panel label 分别为 A、B、C，位置和字号一致。</w:t>
      </w:r>
    </w:p>
    <w:p>
      <w:pPr>
        <w:pStyle w:val="ListBullet"/>
        <w:spacing w:after="40"/>
      </w:pPr>
      <w:r>
        <w:rPr>
          <w:sz w:val="19"/>
          <w:rFonts w:eastAsia="Microsoft YaHei" w:ascii="Arial" w:hAnsi="Arial"/>
        </w:rPr>
        <w:t>确认 Figure 3B 数据源来自 defect_adjudication / defect risk，而不是 responses / correct rate。</w:t>
      </w:r>
    </w:p>
    <w:p>
      <w:pPr>
        <w:pStyle w:val="ListBullet"/>
        <w:spacing w:after="40"/>
      </w:pPr>
      <w:r>
        <w:rPr>
          <w:sz w:val="19"/>
          <w:rFonts w:eastAsia="Microsoft YaHei" w:ascii="Arial" w:hAnsi="Arial"/>
        </w:rPr>
        <w:t>所有横轴均写明 MAS - Human；单位分别为 score units 或 percentage points。</w:t>
      </w:r>
    </w:p>
    <w:p>
      <w:pPr>
        <w:pStyle w:val="ListBullet"/>
        <w:spacing w:after="40"/>
      </w:pPr>
      <w:r>
        <w:rPr>
          <w:sz w:val="19"/>
          <w:rFonts w:eastAsia="Microsoft YaHei" w:ascii="Arial" w:hAnsi="Arial"/>
        </w:rPr>
        <w:t>每个认知层级均标注 n；缺陷风险图尽量标注 MAS x/n 与 Human x/n。</w:t>
      </w:r>
    </w:p>
    <w:p>
      <w:pPr>
        <w:pStyle w:val="ListBullet"/>
        <w:spacing w:after="40"/>
      </w:pPr>
      <w:r>
        <w:rPr>
          <w:sz w:val="19"/>
          <w:rFonts w:eastAsia="Microsoft YaHei" w:ascii="Arial" w:hAnsi="Arial"/>
        </w:rPr>
        <w:t>若正文写 noninferiority，图中或图注必须出现 prespecified margin。</w:t>
      </w:r>
    </w:p>
    <w:p>
      <w:pPr>
        <w:pStyle w:val="ListBullet"/>
        <w:spacing w:after="40"/>
      </w:pPr>
      <w:r>
        <w:rPr>
          <w:sz w:val="19"/>
          <w:rFonts w:eastAsia="Microsoft YaHei" w:ascii="Arial" w:hAnsi="Arial"/>
        </w:rPr>
        <w:t>图注说明点估计、置信区间、零线、正负方向和分析粒度。</w:t>
      </w:r>
    </w:p>
    <w:p>
      <w:pPr>
        <w:pStyle w:val="ListBullet"/>
        <w:spacing w:after="40"/>
      </w:pPr>
      <w:r>
        <w:rPr>
          <w:sz w:val="19"/>
          <w:rFonts w:eastAsia="Microsoft YaHei" w:ascii="Arial" w:hAnsi="Arial"/>
        </w:rPr>
        <w:t>导出前检查嵌入字体、字号、线宽、颜色，以及 PDF/SVG/PNG 三种格式的一致性。</w:t>
      </w:r>
    </w:p>
    <w:p>
      <w:pPr>
        <w:pStyle w:val="Heading1"/>
        <w:spacing w:before="200" w:after="80"/>
      </w:pPr>
      <w:r>
        <w:rPr>
          <w:b/>
          <w:color w:val="1F4E79"/>
          <w:sz w:val="32"/>
          <w:rFonts w:eastAsia="Microsoft YaHei" w:ascii="Arial" w:hAnsi="Arial"/>
        </w:rPr>
        <w:t>9. 最终建议</w:t>
      </w:r>
    </w:p>
    <w:p>
      <w:pPr>
        <w:spacing w:after="80" w:line="252" w:lineRule="auto"/>
      </w:pPr>
      <w:r>
        <w:rPr>
          <w:sz w:val="20"/>
          <w:rFonts w:eastAsia="Microsoft YaHei" w:ascii="Arial" w:hAnsi="Arial"/>
        </w:rPr>
        <w:t>Figure 3 不应被设计成“MAS 与人工题差不多”的描述性展示，而应被设计成“认知层级边界 + 安全底线 + 难度校准”的验证图。最关键的修订是先纠正 Figure 3B 的导出错误，再统一 MAS - Human 的差值方向、非劣效/等效界值和统计粒度说明。这样修改后，Figure 3 会更能服务于整篇文章的核心主线：UroMAS 是一个经盲法专家评价、随机双顺序考试验证、并具有可审计安全门控的 digital medical AI workflow verification system，而不是一个单纯展示 AI 出题能力的工具。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UroMAS Figure 3 revision memo | Generated for manuscript figure improvement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3 修改建议说明书</dc:title>
  <dc:subject>UroMAS figure revision recommendations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