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33690">
      <w:pPr>
        <w:pStyle w:val="3"/>
      </w:pPr>
      <w:r>
        <w:t>Supplementary Table: Critical Defect Standards for AI-Generated Exam Items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592E9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D5E7FA">
            <w:pPr>
              <w:spacing w:after="0" w:line="240" w:lineRule="auto"/>
            </w:pPr>
            <w:r>
              <w:t>序号</w:t>
            </w:r>
          </w:p>
        </w:tc>
        <w:tc>
          <w:tcPr>
            <w:tcW w:w="1728" w:type="dxa"/>
          </w:tcPr>
          <w:p w14:paraId="18AAD968">
            <w:pPr>
              <w:spacing w:after="0" w:line="240" w:lineRule="auto"/>
            </w:pPr>
            <w:r>
              <w:t>致命缺陷类型</w:t>
            </w:r>
          </w:p>
        </w:tc>
        <w:tc>
          <w:tcPr>
            <w:tcW w:w="1728" w:type="dxa"/>
          </w:tcPr>
          <w:p w14:paraId="25813CD5">
            <w:pPr>
              <w:spacing w:after="0" w:line="240" w:lineRule="auto"/>
            </w:pPr>
            <w:r>
              <w:t>定义</w:t>
            </w:r>
          </w:p>
        </w:tc>
        <w:tc>
          <w:tcPr>
            <w:tcW w:w="1728" w:type="dxa"/>
          </w:tcPr>
          <w:p w14:paraId="218C97BC">
            <w:pPr>
              <w:spacing w:after="0" w:line="240" w:lineRule="auto"/>
            </w:pPr>
            <w:r>
              <w:t>判断标准</w:t>
            </w:r>
          </w:p>
        </w:tc>
        <w:tc>
          <w:tcPr>
            <w:tcW w:w="1728" w:type="dxa"/>
          </w:tcPr>
          <w:p w14:paraId="15775556">
            <w:pPr>
              <w:spacing w:after="0" w:line="240" w:lineRule="auto"/>
            </w:pPr>
            <w:r>
              <w:t>参考文献</w:t>
            </w:r>
          </w:p>
        </w:tc>
      </w:tr>
      <w:tr w14:paraId="56B44A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0C8FF5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794B5C84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单选题</w:t>
            </w:r>
            <w:r>
              <w:t>正确答案不唯一 / 双解题</w:t>
            </w:r>
          </w:p>
        </w:tc>
        <w:tc>
          <w:tcPr>
            <w:tcW w:w="1728" w:type="dxa"/>
          </w:tcPr>
          <w:p w14:paraId="143983EA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单选题</w:t>
            </w:r>
            <w:r>
              <w:t>题干与选项逻辑不一致，导致两个或多个选项均可被合理选择</w:t>
            </w:r>
          </w:p>
        </w:tc>
        <w:tc>
          <w:tcPr>
            <w:tcW w:w="1728" w:type="dxa"/>
          </w:tcPr>
          <w:p w14:paraId="38590C9C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对于单选题</w:t>
            </w:r>
            <w:r>
              <w:t>任何情况下有 ≥2 个选项可作为合理答案即判定为致命缺陷</w:t>
            </w:r>
          </w:p>
        </w:tc>
        <w:tc>
          <w:tcPr>
            <w:tcW w:w="1728" w:type="dxa"/>
          </w:tcPr>
          <w:p w14:paraId="695192A2">
            <w:pPr>
              <w:spacing w:after="0" w:line="240" w:lineRule="auto"/>
            </w:pPr>
            <w:r>
              <w:t>NBME Item Writing Guide, 2021</w:t>
            </w:r>
          </w:p>
        </w:tc>
      </w:tr>
      <w:tr w14:paraId="5C7FD3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A885EA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6A93EECC">
            <w:pPr>
              <w:spacing w:after="0" w:line="240" w:lineRule="auto"/>
            </w:pPr>
            <w:r>
              <w:t>正确答案错误 (Keying Error)</w:t>
            </w:r>
          </w:p>
        </w:tc>
        <w:tc>
          <w:tcPr>
            <w:tcW w:w="1728" w:type="dxa"/>
          </w:tcPr>
          <w:p w14:paraId="63A14BD4">
            <w:pPr>
              <w:spacing w:after="0" w:line="240" w:lineRule="auto"/>
            </w:pPr>
            <w:r>
              <w:t>标记为正确的选项与权威知识或指南不符</w:t>
            </w:r>
          </w:p>
        </w:tc>
        <w:tc>
          <w:tcPr>
            <w:tcW w:w="1728" w:type="dxa"/>
          </w:tcPr>
          <w:p w14:paraId="2D424552">
            <w:pPr>
              <w:spacing w:after="0" w:line="240" w:lineRule="auto"/>
            </w:pPr>
            <w:r>
              <w:t>标记正确答案与权威文献/指南冲突即判定</w:t>
            </w:r>
          </w:p>
        </w:tc>
        <w:tc>
          <w:tcPr>
            <w:tcW w:w="1728" w:type="dxa"/>
          </w:tcPr>
          <w:p w14:paraId="514C5D67">
            <w:pPr>
              <w:spacing w:after="0" w:line="240" w:lineRule="auto"/>
            </w:pPr>
            <w:r>
              <w:t>NBME Item Writing Guide, 2021</w:t>
            </w:r>
          </w:p>
        </w:tc>
      </w:tr>
      <w:tr w14:paraId="642D9A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88484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</w:t>
            </w:r>
          </w:p>
        </w:tc>
        <w:tc>
          <w:tcPr>
            <w:tcW w:w="1728" w:type="dxa"/>
          </w:tcPr>
          <w:p w14:paraId="765E9759">
            <w:pPr>
              <w:spacing w:after="0" w:line="240" w:lineRule="auto"/>
            </w:pPr>
            <w:r>
              <w:t>术语定义错误 / 测试错误知识点</w:t>
            </w:r>
          </w:p>
        </w:tc>
        <w:tc>
          <w:tcPr>
            <w:tcW w:w="1728" w:type="dxa"/>
          </w:tcPr>
          <w:p w14:paraId="78538FC3">
            <w:pPr>
              <w:spacing w:after="0" w:line="240" w:lineRule="auto"/>
            </w:pPr>
            <w:r>
              <w:t>答案或选项基于错误医学知识或过时指南</w:t>
            </w:r>
          </w:p>
        </w:tc>
        <w:tc>
          <w:tcPr>
            <w:tcW w:w="1728" w:type="dxa"/>
          </w:tcPr>
          <w:p w14:paraId="379D2F5F">
            <w:pPr>
              <w:spacing w:after="0" w:line="240" w:lineRule="auto"/>
            </w:pPr>
            <w:r>
              <w:t>与当前权威教材/指南不一致即判定</w:t>
            </w:r>
          </w:p>
        </w:tc>
        <w:tc>
          <w:tcPr>
            <w:tcW w:w="1728" w:type="dxa"/>
          </w:tcPr>
          <w:p w14:paraId="0BE65C5D">
            <w:pPr>
              <w:spacing w:after="0" w:line="240" w:lineRule="auto"/>
            </w:pPr>
            <w:r>
              <w:t>NBME Item Writing Guide, 2021</w:t>
            </w:r>
          </w:p>
        </w:tc>
      </w:tr>
      <w:tr w14:paraId="39C4BD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22C1B3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</w:t>
            </w:r>
          </w:p>
        </w:tc>
        <w:tc>
          <w:tcPr>
            <w:tcW w:w="1728" w:type="dxa"/>
          </w:tcPr>
          <w:p w14:paraId="3780C282">
            <w:pPr>
              <w:spacing w:after="0" w:line="240" w:lineRule="auto"/>
            </w:pPr>
            <w:r>
              <w:t>题目与</w:t>
            </w:r>
            <w:r>
              <w:rPr>
                <w:rFonts w:hint="eastAsia" w:eastAsia="宋体"/>
                <w:lang w:val="en-US" w:eastAsia="zh-CN"/>
              </w:rPr>
              <w:t>预设考试蓝图</w:t>
            </w:r>
            <w:r>
              <w:t>不一致</w:t>
            </w:r>
          </w:p>
        </w:tc>
        <w:tc>
          <w:tcPr>
            <w:tcW w:w="1728" w:type="dxa"/>
          </w:tcPr>
          <w:p w14:paraId="3D8C1A4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题目考查内容不属于</w:t>
            </w:r>
            <w:r>
              <w:rPr>
                <w:rFonts w:hint="eastAsia" w:eastAsia="宋体"/>
                <w:lang w:val="en-US" w:eastAsia="zh-CN"/>
              </w:rPr>
              <w:t>预设的考试蓝图</w:t>
            </w:r>
          </w:p>
        </w:tc>
        <w:tc>
          <w:tcPr>
            <w:tcW w:w="1728" w:type="dxa"/>
          </w:tcPr>
          <w:p w14:paraId="7EBBD1F5">
            <w:pPr>
              <w:spacing w:after="0" w:line="240" w:lineRule="auto"/>
            </w:pPr>
            <w:r>
              <w:t>与</w:t>
            </w:r>
            <w:r>
              <w:rPr>
                <w:rFonts w:hint="eastAsia" w:eastAsia="宋体"/>
                <w:lang w:val="en-US" w:eastAsia="zh-CN"/>
              </w:rPr>
              <w:t>预设考试蓝图</w:t>
            </w:r>
            <w:r>
              <w:t>不符即判定</w:t>
            </w:r>
          </w:p>
        </w:tc>
        <w:tc>
          <w:tcPr>
            <w:tcW w:w="1728" w:type="dxa"/>
          </w:tcPr>
          <w:p w14:paraId="680C46A5">
            <w:pPr>
              <w:spacing w:after="0" w:line="240" w:lineRule="auto"/>
            </w:pPr>
            <w:r>
              <w:t>Downing SM, Med Educ, 2005</w:t>
            </w:r>
          </w:p>
        </w:tc>
      </w:tr>
      <w:tr w14:paraId="57B011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34DE2A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</w:t>
            </w:r>
          </w:p>
        </w:tc>
        <w:tc>
          <w:tcPr>
            <w:tcW w:w="1728" w:type="dxa"/>
          </w:tcPr>
          <w:p w14:paraId="1ACD5E8C">
            <w:pPr>
              <w:spacing w:after="0" w:line="240" w:lineRule="auto"/>
            </w:pPr>
            <w:r>
              <w:t>测验公平性或偏差性问题</w:t>
            </w:r>
          </w:p>
        </w:tc>
        <w:tc>
          <w:tcPr>
            <w:tcW w:w="1728" w:type="dxa"/>
          </w:tcPr>
          <w:p w14:paraId="776AEC1F">
            <w:pPr>
              <w:spacing w:after="0" w:line="240" w:lineRule="auto"/>
            </w:pPr>
            <w:r>
              <w:t>题目含</w:t>
            </w:r>
            <w:r>
              <w:rPr>
                <w:rFonts w:hint="eastAsia" w:eastAsia="宋体"/>
                <w:lang w:val="en-US" w:eastAsia="zh-CN"/>
              </w:rPr>
              <w:t>严重</w:t>
            </w:r>
            <w:r>
              <w:t>语言、文化或性别偏差</w:t>
            </w:r>
          </w:p>
        </w:tc>
        <w:tc>
          <w:tcPr>
            <w:tcW w:w="1728" w:type="dxa"/>
          </w:tcPr>
          <w:p w14:paraId="484327DA">
            <w:pPr>
              <w:spacing w:after="0" w:line="240" w:lineRule="auto"/>
            </w:pPr>
            <w:r>
              <w:t>题干或选项对特定群体产生潜在不公平</w:t>
            </w:r>
          </w:p>
        </w:tc>
        <w:tc>
          <w:tcPr>
            <w:tcW w:w="1728" w:type="dxa"/>
          </w:tcPr>
          <w:p w14:paraId="666843A9">
            <w:pPr>
              <w:spacing w:after="0" w:line="240" w:lineRule="auto"/>
            </w:pPr>
            <w:r>
              <w:t>BMC Med Educ, 2016</w:t>
            </w:r>
          </w:p>
        </w:tc>
      </w:tr>
      <w:tr w14:paraId="0E2168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4C54C4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</w:t>
            </w:r>
          </w:p>
        </w:tc>
        <w:tc>
          <w:tcPr>
            <w:tcW w:w="1728" w:type="dxa"/>
          </w:tcPr>
          <w:p w14:paraId="3A9263A8">
            <w:pPr>
              <w:spacing w:after="0" w:line="240" w:lineRule="auto"/>
            </w:pPr>
            <w:r>
              <w:t>矛盾或冗余信息</w:t>
            </w:r>
          </w:p>
        </w:tc>
        <w:tc>
          <w:tcPr>
            <w:tcW w:w="1728" w:type="dxa"/>
          </w:tcPr>
          <w:p w14:paraId="40889D53">
            <w:pPr>
              <w:spacing w:after="0" w:line="240" w:lineRule="auto"/>
            </w:pPr>
            <w:r>
              <w:t>题干含多余、矛盾信息，影响推理</w:t>
            </w:r>
          </w:p>
        </w:tc>
        <w:tc>
          <w:tcPr>
            <w:tcW w:w="1728" w:type="dxa"/>
          </w:tcPr>
          <w:p w14:paraId="0CC1B55C">
            <w:pPr>
              <w:spacing w:after="0" w:line="240" w:lineRule="auto"/>
            </w:pPr>
            <w:r>
              <w:t>题干存在逻辑矛盾或多余信息妨碍判断</w:t>
            </w:r>
          </w:p>
        </w:tc>
        <w:tc>
          <w:tcPr>
            <w:tcW w:w="1728" w:type="dxa"/>
          </w:tcPr>
          <w:p w14:paraId="7725A048">
            <w:pPr>
              <w:spacing w:after="0" w:line="240" w:lineRule="auto"/>
            </w:pPr>
            <w:r>
              <w:t>BMC Med Educ, 2016</w:t>
            </w:r>
          </w:p>
        </w:tc>
      </w:tr>
      <w:tr w14:paraId="7CA37D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4D8B27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</w:t>
            </w:r>
          </w:p>
        </w:tc>
        <w:tc>
          <w:tcPr>
            <w:tcW w:w="1728" w:type="dxa"/>
          </w:tcPr>
          <w:p w14:paraId="7648C3EA">
            <w:pPr>
              <w:spacing w:after="0" w:line="240" w:lineRule="auto"/>
            </w:pPr>
            <w:r>
              <w:t>事实性错误</w:t>
            </w:r>
          </w:p>
        </w:tc>
        <w:tc>
          <w:tcPr>
            <w:tcW w:w="1728" w:type="dxa"/>
          </w:tcPr>
          <w:p w14:paraId="16B7159B">
            <w:pPr>
              <w:spacing w:after="0" w:line="240" w:lineRule="auto"/>
            </w:pPr>
            <w:r>
              <w:rPr>
                <w:rFonts w:hint="eastAsia" w:eastAsia="宋体"/>
                <w:lang w:val="en-US" w:eastAsia="zh-CN"/>
              </w:rPr>
              <w:t>题目的</w:t>
            </w:r>
            <w:r>
              <w:t>医学知识或逻辑错误</w:t>
            </w:r>
          </w:p>
        </w:tc>
        <w:tc>
          <w:tcPr>
            <w:tcW w:w="1728" w:type="dxa"/>
          </w:tcPr>
          <w:p w14:paraId="54561DEF">
            <w:pPr>
              <w:spacing w:after="0" w:line="240" w:lineRule="auto"/>
            </w:pPr>
            <w:r>
              <w:t>与权威文献或指南不符</w:t>
            </w:r>
          </w:p>
        </w:tc>
        <w:tc>
          <w:tcPr>
            <w:tcW w:w="1728" w:type="dxa"/>
          </w:tcPr>
          <w:p w14:paraId="32178C1D">
            <w:pPr>
              <w:spacing w:after="0" w:line="240" w:lineRule="auto"/>
            </w:pPr>
            <w:r>
              <w:t>Guo D et al., Nature 2025</w:t>
            </w:r>
          </w:p>
        </w:tc>
      </w:tr>
      <w:tr w14:paraId="36CD71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A8AB34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</w:t>
            </w:r>
          </w:p>
        </w:tc>
        <w:tc>
          <w:tcPr>
            <w:tcW w:w="1728" w:type="dxa"/>
          </w:tcPr>
          <w:p w14:paraId="093FBE5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格式错误</w:t>
            </w:r>
          </w:p>
        </w:tc>
        <w:tc>
          <w:tcPr>
            <w:tcW w:w="1728" w:type="dxa"/>
          </w:tcPr>
          <w:p w14:paraId="2372684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例如答案键错误，缺少或过多（答案键必须只有ABCDE），或缺乏题目序号缺乏题目题型要求等题目格式错误</w:t>
            </w:r>
          </w:p>
        </w:tc>
        <w:tc>
          <w:tcPr>
            <w:tcW w:w="1728" w:type="dxa"/>
          </w:tcPr>
          <w:p w14:paraId="031C98EF">
            <w:pPr>
              <w:spacing w:after="0" w:line="24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违反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现有命题格式</w:t>
            </w:r>
            <w:r>
              <w:rPr>
                <w:rFonts w:ascii="宋体" w:hAnsi="宋体" w:eastAsia="宋体" w:cs="宋体"/>
                <w:sz w:val="24"/>
                <w:szCs w:val="24"/>
              </w:rPr>
              <w:t>标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准</w:t>
            </w:r>
          </w:p>
        </w:tc>
        <w:tc>
          <w:tcPr>
            <w:tcW w:w="1728" w:type="dxa"/>
            <w:shd w:val="clear"/>
            <w:vAlign w:val="top"/>
          </w:tcPr>
          <w:p w14:paraId="39B3AC46">
            <w:pPr>
              <w:spacing w:after="0" w:line="240" w:lineRule="auto"/>
            </w:pPr>
            <w:r>
              <w:t>Downing SM, Med Educ, 2005</w:t>
            </w:r>
          </w:p>
        </w:tc>
      </w:tr>
    </w:tbl>
    <w:p w14:paraId="52650E07">
      <w:bookmarkStart w:id="0" w:name="_GoBack"/>
      <w:bookmarkEnd w:id="0"/>
    </w:p>
    <w:p w14:paraId="14432293">
      <w:r>
        <w:rPr>
          <w:rFonts w:hint="eastAsia" w:eastAsia="宋体"/>
          <w:lang w:val="en-US" w:eastAsia="zh-CN"/>
        </w:rPr>
        <w:t>对于上述Critical Defect实行</w:t>
      </w:r>
      <w:r>
        <w:t>一票否决原则：出现任意一项致命缺陷，即判定该题目不合格。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D5AE4"/>
    <w:rsid w:val="14700951"/>
    <w:rsid w:val="43506CF8"/>
    <w:rsid w:val="592F7DE7"/>
    <w:rsid w:val="6655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651</Words>
  <Characters>936</Characters>
  <Lines>0</Lines>
  <Paragraphs>0</Paragraphs>
  <TotalTime>0</TotalTime>
  <ScaleCrop>false</ScaleCrop>
  <LinksUpToDate>false</LinksUpToDate>
  <CharactersWithSpaces>1008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陈亚龙</cp:lastModifiedBy>
  <dcterms:modified xsi:type="dcterms:W3CDTF">2026-06-05T07:30:16Z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eyJoZGlkIjoiN2ZkN2U0NTE2ZWZjNGNkOGYwMTY5ODIwZjEyYjUxNGMiLCJ1c2VySWQiOiIxNjQxNDUyNjA5In0=</vt:lpwstr>
  </property>
  <property fmtid="{D5CDD505-2E9C-101B-9397-08002B2CF9AE}" pid="3" name="KSOProductBuildVer">
    <vt:lpwstr>2052-12.1.0.23542</vt:lpwstr>
  </property>
  <property fmtid="{D5CDD505-2E9C-101B-9397-08002B2CF9AE}" pid="4" name="ICV">
    <vt:lpwstr>1885C9D7E65C48D6A9C31244D5A1314E_12</vt:lpwstr>
  </property>
</Properties>
</file>