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CDA1C">
      <w:pPr>
        <w:rPr>
          <w:rFonts w:hint="eastAsia"/>
          <w:lang w:val="en-US" w:eastAsia="zh-CN"/>
        </w:rPr>
      </w:pPr>
      <w:r>
        <w:rPr>
          <w:rFonts w:hint="eastAsia"/>
        </w:rPr>
        <w:t>重大命题缺陷（major defects） 指实质性威胁题目医学正确性、可回答性、评分效度、考试蓝图一致性、公平性、临床安全性或盲法来源辨识效度的题目层面缺陷。重大命题缺陷包括 critical defects（关键/致命缺陷） 和 moderate defects（中度缺陷）</w:t>
      </w:r>
      <w:r>
        <w:rPr>
          <w:rFonts w:hint="eastAsia"/>
          <w:lang w:val="en-US" w:eastAsia="zh-CN"/>
        </w:rPr>
        <w:t>以及</w:t>
      </w:r>
      <w:bookmarkStart w:id="0" w:name="_GoBack"/>
      <w:r>
        <w:rPr>
          <w:rFonts w:hint="eastAsia"/>
          <w:lang w:val="en-US" w:eastAsia="zh-CN"/>
        </w:rPr>
        <w:t>影响作答的Technical/Formatting Defects（技术/格式缺陷）</w:t>
      </w:r>
      <w:bookmarkEnd w:id="0"/>
      <w:r>
        <w:rPr>
          <w:rFonts w:hint="eastAsia"/>
          <w:lang w:val="en-US" w:eastAsia="zh-CN"/>
        </w:rPr>
        <w:t>（如选项编号缺失或重复，选项显示顺序与答案键不一致，题型标签错误等）</w:t>
      </w:r>
      <w:r>
        <w:rPr>
          <w:rFonts w:hint="eastAsia"/>
        </w:rPr>
        <w:t xml:space="preserve">。Critical defects </w:t>
      </w:r>
      <w:r>
        <w:rPr>
          <w:rFonts w:hint="eastAsia"/>
          <w:lang w:val="en-US" w:eastAsia="zh-CN"/>
        </w:rPr>
        <w:t>代表完全不可接受的缺陷</w:t>
      </w:r>
      <w:r>
        <w:rPr>
          <w:rFonts w:hint="eastAsia"/>
        </w:rPr>
        <w:t xml:space="preserve">；moderate defects </w:t>
      </w:r>
      <w:r>
        <w:rPr>
          <w:rFonts w:hint="eastAsia"/>
          <w:lang w:val="en-US" w:eastAsia="zh-CN"/>
        </w:rPr>
        <w:t>代表实质性缺陷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 xml:space="preserve">鉴于本研究要验证UroEmas系统的出题效果，因此只要出现任一major defect不得进入最终试卷。 </w:t>
      </w:r>
    </w:p>
    <w:p w14:paraId="429FB785">
      <w:pPr>
        <w:rPr>
          <w:rFonts w:hint="eastAsia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"/>
        <w:gridCol w:w="1439"/>
        <w:gridCol w:w="3809"/>
        <w:gridCol w:w="2696"/>
      </w:tblGrid>
      <w:tr w14:paraId="0BB4B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7567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2E74FD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建议纳入的 Critical defect</w:t>
            </w:r>
          </w:p>
        </w:tc>
        <w:tc>
          <w:tcPr>
            <w:tcW w:w="0" w:type="auto"/>
            <w:shd w:val="clear"/>
            <w:vAlign w:val="center"/>
          </w:tcPr>
          <w:p w14:paraId="6456B8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操作性判定标准</w:t>
            </w:r>
          </w:p>
        </w:tc>
        <w:tc>
          <w:tcPr>
            <w:tcW w:w="0" w:type="auto"/>
            <w:shd w:val="clear"/>
            <w:vAlign w:val="center"/>
          </w:tcPr>
          <w:p w14:paraId="222E19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主要参考依据</w:t>
            </w:r>
          </w:p>
        </w:tc>
      </w:tr>
      <w:tr w14:paraId="4E4B6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01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C1</w:t>
            </w:r>
          </w:p>
        </w:tc>
        <w:tc>
          <w:tcPr>
            <w:tcW w:w="0" w:type="auto"/>
            <w:shd w:val="clear"/>
            <w:vAlign w:val="center"/>
          </w:tcPr>
          <w:p w14:paraId="63F11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无正确答案</w:t>
            </w:r>
          </w:p>
        </w:tc>
        <w:tc>
          <w:tcPr>
            <w:tcW w:w="0" w:type="auto"/>
            <w:shd w:val="clear"/>
            <w:vAlign w:val="center"/>
          </w:tcPr>
          <w:p w14:paraId="3F2FE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所有选项均不符合指定教材、指南或泌尿外科共识；考生无法通过专业知识选出正确答案。</w:t>
            </w:r>
          </w:p>
        </w:tc>
        <w:tc>
          <w:tcPr>
            <w:tcW w:w="0" w:type="auto"/>
            <w:shd w:val="clear"/>
            <w:vAlign w:val="center"/>
          </w:tcPr>
          <w:p w14:paraId="75A88C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Downing 2005；NBME Item-Writing Guide；Haladyna et al. 2002</w:t>
            </w:r>
          </w:p>
        </w:tc>
      </w:tr>
      <w:tr w14:paraId="42E67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AA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C2</w:t>
            </w:r>
          </w:p>
        </w:tc>
        <w:tc>
          <w:tcPr>
            <w:tcW w:w="0" w:type="auto"/>
            <w:shd w:val="clear"/>
            <w:vAlign w:val="center"/>
          </w:tcPr>
          <w:p w14:paraId="4E029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正确答案标注错误</w:t>
            </w:r>
          </w:p>
        </w:tc>
        <w:tc>
          <w:tcPr>
            <w:tcW w:w="0" w:type="auto"/>
            <w:shd w:val="clear"/>
            <w:vAlign w:val="center"/>
          </w:tcPr>
          <w:p w14:paraId="40ED5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题目存在正确答案，但答案键标注为错误选项，导致评分错误。</w:t>
            </w:r>
          </w:p>
        </w:tc>
        <w:tc>
          <w:tcPr>
            <w:tcW w:w="0" w:type="auto"/>
            <w:shd w:val="clear"/>
            <w:vAlign w:val="center"/>
          </w:tcPr>
          <w:p w14:paraId="38CD5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Downing 2005；NBME Item-Writing Guide；AERA/APA/NCME Standards</w:t>
            </w:r>
          </w:p>
        </w:tc>
      </w:tr>
      <w:tr w14:paraId="6373C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F4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C3</w:t>
            </w:r>
          </w:p>
        </w:tc>
        <w:tc>
          <w:tcPr>
            <w:tcW w:w="0" w:type="auto"/>
            <w:shd w:val="clear"/>
            <w:vAlign w:val="center"/>
          </w:tcPr>
          <w:p w14:paraId="1CF6B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单选题存在多个同等正确答案</w:t>
            </w:r>
          </w:p>
        </w:tc>
        <w:tc>
          <w:tcPr>
            <w:tcW w:w="0" w:type="auto"/>
            <w:shd w:val="clear"/>
            <w:vAlign w:val="center"/>
          </w:tcPr>
          <w:p w14:paraId="58140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A1、A2、A3/A4 或 B 型单选题中，两个或以上选项均可被合理认为正确，违反 one-best-answer 原则。</w:t>
            </w:r>
          </w:p>
        </w:tc>
        <w:tc>
          <w:tcPr>
            <w:tcW w:w="0" w:type="auto"/>
            <w:shd w:val="clear"/>
            <w:vAlign w:val="center"/>
          </w:tcPr>
          <w:p w14:paraId="14C67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Guide；Case &amp; Swanson / NBME manual；Haladyna et al. 2002</w:t>
            </w:r>
          </w:p>
        </w:tc>
      </w:tr>
      <w:tr w14:paraId="310BC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B1F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C4</w:t>
            </w:r>
          </w:p>
        </w:tc>
        <w:tc>
          <w:tcPr>
            <w:tcW w:w="0" w:type="auto"/>
            <w:shd w:val="clear"/>
            <w:vAlign w:val="center"/>
          </w:tcPr>
          <w:p w14:paraId="152A8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题干与正确答案逻辑矛盾</w:t>
            </w:r>
          </w:p>
        </w:tc>
        <w:tc>
          <w:tcPr>
            <w:tcW w:w="0" w:type="auto"/>
            <w:shd w:val="clear"/>
            <w:vAlign w:val="center"/>
          </w:tcPr>
          <w:p w14:paraId="30A6D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病例信息、检查结果或设问逻辑支持的答案与标注答案不一致，或题干内部前后矛盾。</w:t>
            </w:r>
          </w:p>
        </w:tc>
        <w:tc>
          <w:tcPr>
            <w:tcW w:w="0" w:type="auto"/>
            <w:shd w:val="clear"/>
            <w:vAlign w:val="center"/>
          </w:tcPr>
          <w:p w14:paraId="1DCD2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Downing 2005；NBME Item-Writing Guide；Tarrant et al. 2006</w:t>
            </w:r>
          </w:p>
        </w:tc>
      </w:tr>
      <w:tr w14:paraId="12ACA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62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C5</w:t>
            </w:r>
          </w:p>
        </w:tc>
        <w:tc>
          <w:tcPr>
            <w:tcW w:w="0" w:type="auto"/>
            <w:shd w:val="clear"/>
            <w:vAlign w:val="center"/>
          </w:tcPr>
          <w:p w14:paraId="17C12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核心医学事实错误</w:t>
            </w:r>
          </w:p>
        </w:tc>
        <w:tc>
          <w:tcPr>
            <w:tcW w:w="0" w:type="auto"/>
            <w:shd w:val="clear"/>
            <w:vAlign w:val="center"/>
          </w:tcPr>
          <w:p w14:paraId="27A76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涉及诊断、治疗、分期、指南推荐、禁忌证、急症处理、药物使用或并发症处理等核心知识错误。</w:t>
            </w:r>
          </w:p>
        </w:tc>
        <w:tc>
          <w:tcPr>
            <w:tcW w:w="0" w:type="auto"/>
            <w:shd w:val="clear"/>
            <w:vAlign w:val="center"/>
          </w:tcPr>
          <w:p w14:paraId="1E5D9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Downing 2005；AERA/APA/NCME Standards；UroEMAS protocol</w:t>
            </w:r>
          </w:p>
        </w:tc>
      </w:tr>
      <w:tr w14:paraId="1137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22C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DD00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严重偏离考试蓝图或考查范围</w:t>
            </w:r>
          </w:p>
        </w:tc>
        <w:tc>
          <w:tcPr>
            <w:tcW w:w="0" w:type="auto"/>
            <w:shd w:val="clear"/>
            <w:vAlign w:val="center"/>
          </w:tcPr>
          <w:p w14:paraId="1AC5D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题目明显不属于泌尿外科住培考试范围，或与预设题型、考点、认知层级严重不一致。你的方案明确人工题和 UroEMAS 题均应遵循同一考试蓝图。</w:t>
            </w:r>
          </w:p>
        </w:tc>
        <w:tc>
          <w:tcPr>
            <w:tcW w:w="0" w:type="auto"/>
            <w:shd w:val="clear"/>
            <w:vAlign w:val="center"/>
          </w:tcPr>
          <w:p w14:paraId="41075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AERA/APA/NCME Standards；Haladyna et al. 2002；UroEMAS protocol</w:t>
            </w:r>
          </w:p>
        </w:tc>
      </w:tr>
      <w:tr w14:paraId="38450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83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2228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严重公平性、偏倚或歧视问题</w:t>
            </w:r>
          </w:p>
        </w:tc>
        <w:tc>
          <w:tcPr>
            <w:tcW w:w="0" w:type="auto"/>
            <w:shd w:val="clear"/>
            <w:vAlign w:val="center"/>
          </w:tcPr>
          <w:p w14:paraId="0F50F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题目包含基于性别、年龄、地域、职业、经济状况、文化背景等不当假设，或非医学背景因素决定作答结果。</w:t>
            </w:r>
          </w:p>
        </w:tc>
        <w:tc>
          <w:tcPr>
            <w:tcW w:w="0" w:type="auto"/>
            <w:shd w:val="clear"/>
            <w:vAlign w:val="center"/>
          </w:tcPr>
          <w:p w14:paraId="539CF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AERA/APA/NCME Standards；Downing 2005；UroEMAS protocol</w:t>
            </w:r>
          </w:p>
        </w:tc>
      </w:tr>
      <w:tr w14:paraId="1A665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E8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2E7FC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评分或考试系统错误导致结果不可用</w:t>
            </w:r>
          </w:p>
        </w:tc>
        <w:tc>
          <w:tcPr>
            <w:tcW w:w="0" w:type="auto"/>
            <w:shd w:val="clear"/>
            <w:vAlign w:val="center"/>
          </w:tcPr>
          <w:p w14:paraId="72501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答案键错位、选项导入错误、题目显示缺失、题号与答案表不匹配，导致无法可靠评分。</w:t>
            </w:r>
          </w:p>
        </w:tc>
        <w:tc>
          <w:tcPr>
            <w:tcW w:w="0" w:type="auto"/>
            <w:shd w:val="clear"/>
            <w:vAlign w:val="center"/>
          </w:tcPr>
          <w:p w14:paraId="2072F0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AERA/APA/NCME Standards；NBME Item-Writing Guide；UroEMAS protocol</w:t>
            </w:r>
          </w:p>
        </w:tc>
      </w:tr>
      <w:tr w14:paraId="5B54B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45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E8E5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A3/A4 连续病例题内部断裂</w:t>
            </w:r>
          </w:p>
        </w:tc>
        <w:tc>
          <w:tcPr>
            <w:tcW w:w="0" w:type="auto"/>
            <w:shd w:val="clear"/>
            <w:vAlign w:val="center"/>
          </w:tcPr>
          <w:p w14:paraId="74177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同一病例下子题的病情演进、检查结果、诊断前提或治疗阶段相互矛盾，导致后续子题不可解。</w:t>
            </w:r>
          </w:p>
        </w:tc>
        <w:tc>
          <w:tcPr>
            <w:tcW w:w="0" w:type="auto"/>
            <w:shd w:val="clear"/>
            <w:vAlign w:val="center"/>
          </w:tcPr>
          <w:p w14:paraId="76BD0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Guide；Case &amp; Swanson / NBME manual；UroEMAS protocol</w:t>
            </w:r>
          </w:p>
        </w:tc>
      </w:tr>
      <w:tr w14:paraId="18B5F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18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9A6B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 型题正确答案组合不可判定</w:t>
            </w:r>
          </w:p>
        </w:tc>
        <w:tc>
          <w:tcPr>
            <w:tcW w:w="0" w:type="auto"/>
            <w:shd w:val="clear"/>
            <w:vAlign w:val="center"/>
          </w:tcPr>
          <w:p w14:paraId="3743C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不定项选择题中多个选项“可能正确但非必选”，或正确答案组合无法由题干唯一推出。</w:t>
            </w:r>
          </w:p>
        </w:tc>
        <w:tc>
          <w:tcPr>
            <w:tcW w:w="0" w:type="auto"/>
            <w:shd w:val="clear"/>
            <w:vAlign w:val="center"/>
          </w:tcPr>
          <w:p w14:paraId="14C42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Haladyna et al. 2002；Tarrant et al. 2006；UroEMAS protocol</w:t>
            </w:r>
          </w:p>
        </w:tc>
      </w:tr>
    </w:tbl>
    <w:p w14:paraId="263B4538">
      <w:pPr>
        <w:rPr>
          <w:rFonts w:hint="default" w:eastAsiaTheme="minorEastAsia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"/>
        <w:gridCol w:w="1307"/>
        <w:gridCol w:w="4221"/>
        <w:gridCol w:w="2420"/>
      </w:tblGrid>
      <w:tr w14:paraId="71913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A44E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vAlign w:val="center"/>
          </w:tcPr>
          <w:p w14:paraId="4DF403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建议纳入的 Moderate defect</w:t>
            </w:r>
          </w:p>
        </w:tc>
        <w:tc>
          <w:tcPr>
            <w:tcW w:w="0" w:type="auto"/>
            <w:shd w:val="clear"/>
            <w:vAlign w:val="center"/>
          </w:tcPr>
          <w:p w14:paraId="2BCB85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操作性判定标准</w:t>
            </w:r>
          </w:p>
        </w:tc>
        <w:tc>
          <w:tcPr>
            <w:tcW w:w="0" w:type="auto"/>
            <w:shd w:val="clear"/>
            <w:vAlign w:val="center"/>
          </w:tcPr>
          <w:p w14:paraId="50DE82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主要参考依据</w:t>
            </w:r>
          </w:p>
        </w:tc>
      </w:tr>
      <w:tr w14:paraId="7FDE8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69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</w:t>
            </w:r>
          </w:p>
        </w:tc>
        <w:tc>
          <w:tcPr>
            <w:tcW w:w="0" w:type="auto"/>
            <w:shd w:val="clear"/>
            <w:vAlign w:val="center"/>
          </w:tcPr>
          <w:p w14:paraId="469BC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题干信息不足</w:t>
            </w:r>
          </w:p>
        </w:tc>
        <w:tc>
          <w:tcPr>
            <w:tcW w:w="0" w:type="auto"/>
            <w:shd w:val="clear"/>
            <w:vAlign w:val="center"/>
          </w:tcPr>
          <w:p w14:paraId="7D135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病例型题缺少必要临床信息，例如年龄、性别、主诉、阳性症状、体征、关键检查或病程，导致考生需猜测关键前提。</w:t>
            </w:r>
          </w:p>
        </w:tc>
        <w:tc>
          <w:tcPr>
            <w:tcW w:w="0" w:type="auto"/>
            <w:shd w:val="clear"/>
            <w:vAlign w:val="center"/>
          </w:tcPr>
          <w:p w14:paraId="3D2D2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Guide；Case &amp; Swanson / NBME manual；UroEMAS protocol</w:t>
            </w:r>
          </w:p>
        </w:tc>
      </w:tr>
      <w:tr w14:paraId="407B8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1A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M2</w:t>
            </w:r>
          </w:p>
        </w:tc>
        <w:tc>
          <w:tcPr>
            <w:tcW w:w="0" w:type="auto"/>
            <w:shd w:val="clear"/>
            <w:vAlign w:val="center"/>
          </w:tcPr>
          <w:p w14:paraId="227BF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题干信息冗余或无关信息过多</w:t>
            </w:r>
          </w:p>
        </w:tc>
        <w:tc>
          <w:tcPr>
            <w:tcW w:w="0" w:type="auto"/>
            <w:shd w:val="clear"/>
            <w:vAlign w:val="center"/>
          </w:tcPr>
          <w:p w14:paraId="0F2B0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题干堆砌大量与作答无关的信息，增加阅读负担并引入构念无关变异。</w:t>
            </w:r>
          </w:p>
        </w:tc>
        <w:tc>
          <w:tcPr>
            <w:tcW w:w="0" w:type="auto"/>
            <w:shd w:val="clear"/>
            <w:vAlign w:val="center"/>
          </w:tcPr>
          <w:p w14:paraId="14D8B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Downing 2005；Haladyna et al. 2002；Tarrant et al. 2006</w:t>
            </w:r>
          </w:p>
        </w:tc>
      </w:tr>
      <w:tr w14:paraId="76A17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B1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M3</w:t>
            </w:r>
          </w:p>
        </w:tc>
        <w:tc>
          <w:tcPr>
            <w:tcW w:w="0" w:type="auto"/>
            <w:shd w:val="clear"/>
            <w:vAlign w:val="center"/>
          </w:tcPr>
          <w:p w14:paraId="5CEDE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题干线索泄露答案</w:t>
            </w:r>
          </w:p>
        </w:tc>
        <w:tc>
          <w:tcPr>
            <w:tcW w:w="0" w:type="auto"/>
            <w:shd w:val="clear"/>
            <w:vAlign w:val="center"/>
          </w:tcPr>
          <w:p w14:paraId="5BE54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题干中出现与正确选项高度同义或直接提示答案的关键词，使题目主要考查文字匹配而非医学判断。</w:t>
            </w:r>
          </w:p>
        </w:tc>
        <w:tc>
          <w:tcPr>
            <w:tcW w:w="0" w:type="auto"/>
            <w:shd w:val="clear"/>
            <w:vAlign w:val="center"/>
          </w:tcPr>
          <w:p w14:paraId="04FD25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Haladyna et al. 2002；Tarrant et al. 2006；Downing 2005</w:t>
            </w:r>
          </w:p>
        </w:tc>
      </w:tr>
      <w:tr w14:paraId="5FDDC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DD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87C4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认知层级偏离预设目标</w:t>
            </w:r>
          </w:p>
        </w:tc>
        <w:tc>
          <w:tcPr>
            <w:tcW w:w="0" w:type="auto"/>
            <w:shd w:val="clear"/>
            <w:vAlign w:val="center"/>
          </w:tcPr>
          <w:p w14:paraId="2F770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预设为临床推理题但实际只考记忆；或预设为基础知识题却需要复杂病例综合判断。你的模型计划纳入 cognitive_level，因此应记录该类缺陷。</w:t>
            </w:r>
          </w:p>
        </w:tc>
        <w:tc>
          <w:tcPr>
            <w:tcW w:w="0" w:type="auto"/>
            <w:shd w:val="clear"/>
            <w:vAlign w:val="center"/>
          </w:tcPr>
          <w:p w14:paraId="31A36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AERA/APA/NCME Standards；Haladyna et al. 2002；UroEMAS protocol</w:t>
            </w:r>
          </w:p>
        </w:tc>
      </w:tr>
      <w:tr w14:paraId="33C3A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D8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7299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答案解析不能充分支持答案</w:t>
            </w:r>
          </w:p>
        </w:tc>
        <w:tc>
          <w:tcPr>
            <w:tcW w:w="0" w:type="auto"/>
            <w:shd w:val="clear"/>
            <w:vAlign w:val="center"/>
          </w:tcPr>
          <w:p w14:paraId="78ADC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解析与正确答案不一致、理由不足，或不能解释关键干扰项为什么错误。</w:t>
            </w:r>
          </w:p>
        </w:tc>
        <w:tc>
          <w:tcPr>
            <w:tcW w:w="0" w:type="auto"/>
            <w:shd w:val="clear"/>
            <w:vAlign w:val="center"/>
          </w:tcPr>
          <w:p w14:paraId="612C0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Guide；AERA/APA/NCME Standards；UroEMAS protocol</w:t>
            </w:r>
          </w:p>
        </w:tc>
      </w:tr>
      <w:tr w14:paraId="781BC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FC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1EDA5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依据材料或指南版本不清</w:t>
            </w:r>
          </w:p>
        </w:tc>
        <w:tc>
          <w:tcPr>
            <w:tcW w:w="0" w:type="auto"/>
            <w:shd w:val="clear"/>
            <w:vAlign w:val="center"/>
          </w:tcPr>
          <w:p w14:paraId="16B6E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题目答案可能成立，但依据与本研究指定教材/指南体系不一致，或使用过时指南。</w:t>
            </w:r>
          </w:p>
        </w:tc>
        <w:tc>
          <w:tcPr>
            <w:tcW w:w="0" w:type="auto"/>
            <w:shd w:val="clear"/>
            <w:vAlign w:val="center"/>
          </w:tcPr>
          <w:p w14:paraId="52555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AERA/APA/NCME Standards；NBME Item-Writing Guide；UroEMAS protocol</w:t>
            </w:r>
          </w:p>
        </w:tc>
      </w:tr>
      <w:tr w14:paraId="5489A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E5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651A67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病例真实性不足</w:t>
            </w:r>
          </w:p>
        </w:tc>
        <w:tc>
          <w:tcPr>
            <w:tcW w:w="0" w:type="auto"/>
            <w:shd w:val="clear"/>
            <w:vAlign w:val="center"/>
          </w:tcPr>
          <w:p w14:paraId="38F61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病例可以作答，但临床场景不自然、检查路径不符合常规、症状体征组合牵强，降低临床相关性。</w:t>
            </w:r>
          </w:p>
        </w:tc>
        <w:tc>
          <w:tcPr>
            <w:tcW w:w="0" w:type="auto"/>
            <w:shd w:val="clear"/>
            <w:vAlign w:val="center"/>
          </w:tcPr>
          <w:p w14:paraId="133AA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Guide；Case &amp; Swanson / NBME manual；UroEMAS protocol</w:t>
            </w:r>
          </w:p>
        </w:tc>
      </w:tr>
      <w:tr w14:paraId="51447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79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48A3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A3/A4 子题设计不良但仍可答</w:t>
            </w:r>
          </w:p>
        </w:tc>
        <w:tc>
          <w:tcPr>
            <w:tcW w:w="0" w:type="auto"/>
            <w:shd w:val="clear"/>
            <w:vAlign w:val="center"/>
          </w:tcPr>
          <w:p w14:paraId="4702F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子题之间缺乏合理递进，前一题直接泄露后一题答案，或后续题不依赖病例演进。</w:t>
            </w:r>
          </w:p>
        </w:tc>
        <w:tc>
          <w:tcPr>
            <w:tcW w:w="0" w:type="auto"/>
            <w:shd w:val="clear"/>
            <w:vAlign w:val="center"/>
          </w:tcPr>
          <w:p w14:paraId="17C890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Guide；Case &amp; Swanson / NBME manual；UroEMAS protocol</w:t>
            </w:r>
          </w:p>
        </w:tc>
      </w:tr>
      <w:tr w14:paraId="3EEC2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8F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02493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型题共享选项设计不良但仍可答</w:t>
            </w:r>
          </w:p>
        </w:tc>
        <w:tc>
          <w:tcPr>
            <w:tcW w:w="0" w:type="auto"/>
            <w:shd w:val="clear"/>
            <w:vAlign w:val="center"/>
          </w:tcPr>
          <w:p w14:paraId="36958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共享选项过宽、过窄或区分度弱，导致多个小题不能有效鉴别知识点。</w:t>
            </w:r>
          </w:p>
        </w:tc>
        <w:tc>
          <w:tcPr>
            <w:tcW w:w="0" w:type="auto"/>
            <w:shd w:val="clear"/>
            <w:vAlign w:val="center"/>
          </w:tcPr>
          <w:p w14:paraId="3C02D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Guide；Case &amp; Swanson / NBME manual；Haladyna et al. 2002</w:t>
            </w:r>
          </w:p>
        </w:tc>
      </w:tr>
      <w:tr w14:paraId="4BA4C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61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4B5E0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来源风格线索明显但未直接泄露</w:t>
            </w:r>
          </w:p>
        </w:tc>
        <w:tc>
          <w:tcPr>
            <w:tcW w:w="0" w:type="auto"/>
            <w:shd w:val="clear"/>
            <w:vAlign w:val="center"/>
          </w:tcPr>
          <w:p w14:paraId="07794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语言过度模板化、题干长度异常、病例结构过于机械，可能影响“MAS-like”来源判断。你的探索性分析已计划考察 language_style、stem_length、cognitive_level、distractor_quality 等线索。</w:t>
            </w:r>
          </w:p>
        </w:tc>
        <w:tc>
          <w:tcPr>
            <w:tcW w:w="0" w:type="auto"/>
            <w:shd w:val="clear"/>
            <w:vAlign w:val="center"/>
          </w:tcPr>
          <w:p w14:paraId="1D2C0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AERA/APA/NCME Standards；UroEMAS protocol</w:t>
            </w:r>
          </w:p>
        </w:tc>
      </w:tr>
      <w:tr w14:paraId="500D7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63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3E27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局部术语不规范且可能影响理解</w:t>
            </w:r>
          </w:p>
        </w:tc>
        <w:tc>
          <w:tcPr>
            <w:tcW w:w="0" w:type="auto"/>
            <w:shd w:val="clear"/>
            <w:vAlign w:val="center"/>
          </w:tcPr>
          <w:p w14:paraId="55422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专业术语、疾病名称、检查名称或指南术语使用不规范，虽未造成核心事实错误，但可能影响考生理解。</w:t>
            </w:r>
          </w:p>
        </w:tc>
        <w:tc>
          <w:tcPr>
            <w:tcW w:w="0" w:type="auto"/>
            <w:shd w:val="clear"/>
            <w:vAlign w:val="center"/>
          </w:tcPr>
          <w:p w14:paraId="21A6C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NBME Item-Writing Guide；Downing 2005；UroEMAS protocol</w:t>
            </w:r>
          </w:p>
        </w:tc>
      </w:tr>
    </w:tbl>
    <w:p w14:paraId="09300E99">
      <w:pPr>
        <w:rPr>
          <w:rFonts w:hint="default" w:eastAsiaTheme="minorEastAsia"/>
          <w:lang w:val="en-US" w:eastAsia="zh-CN"/>
        </w:rPr>
      </w:pPr>
    </w:p>
    <w:p w14:paraId="045B9107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A0F43"/>
    <w:rsid w:val="17C23271"/>
    <w:rsid w:val="45D66DB2"/>
    <w:rsid w:val="46A936CA"/>
    <w:rsid w:val="508F3931"/>
    <w:rsid w:val="5315509A"/>
    <w:rsid w:val="6DA2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2026-06-08T14:08:08Z</dcterms:created>
  <dc:creator>cheny</dc:creator>
  <cp:lastModifiedBy>陈亚龙</cp:lastModifiedBy>
  <dcterms:modified xsi:type="dcterms:W3CDTF">2026-06-09T06:09:05Z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A956A12E89E3472684022CC437B1CAE3_12</vt:lpwstr>
  </property>
</Properties>
</file>