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31293A">
      <w:pPr>
        <w:jc w:val="center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/>
          <w:b/>
          <w:bCs/>
          <w:sz w:val="30"/>
          <w:szCs w:val="30"/>
        </w:rPr>
        <w:t>邵逸夫医院泌尿外科出科考试蓝图（Exam Blueprint）</w:t>
      </w:r>
    </w:p>
    <w:p w14:paraId="42310125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一、 总体信息 (General Information)</w:t>
      </w:r>
    </w:p>
    <w:tbl>
      <w:tblPr>
        <w:tblStyle w:val="3"/>
        <w:tblpPr w:leftFromText="180" w:rightFromText="180" w:vertAnchor="page" w:horzAnchor="page" w:tblpX="1795" w:tblpY="2806"/>
        <w:tblOverlap w:val="never"/>
        <w:tblW w:w="5013" w:type="pct"/>
        <w:tblInd w:w="0" w:type="dxa"/>
        <w:tblBorders>
          <w:top w:val="single" w:color="E0E0E0" w:sz="2" w:space="0"/>
          <w:left w:val="single" w:color="E0E0E0" w:sz="2" w:space="0"/>
          <w:bottom w:val="single" w:color="E0E0E0" w:sz="2" w:space="0"/>
          <w:right w:val="single" w:color="E0E0E0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72"/>
        <w:gridCol w:w="7009"/>
      </w:tblGrid>
      <w:tr w14:paraId="13255994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</w:trPr>
        <w:tc>
          <w:tcPr>
            <w:tcW w:w="868" w:type="pct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3C711724">
            <w:pPr>
              <w:keepNext w:val="0"/>
              <w:keepLines w:val="0"/>
              <w:widowControl/>
              <w:suppressLineNumbers w:val="0"/>
              <w:wordWrap/>
              <w:snapToGrid w:val="0"/>
              <w:spacing w:before="0" w:beforeAutospacing="1" w:after="0" w:afterAutospacing="1" w:line="276" w:lineRule="auto"/>
              <w:ind w:left="0" w:right="0"/>
              <w:jc w:val="left"/>
              <w:rPr>
                <w:rFonts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24"/>
                <w:szCs w:val="22"/>
                <w:lang w:val="en-US" w:eastAsia="zh-CN" w:bidi="ar"/>
              </w:rPr>
              <w:t>项目</w:t>
            </w:r>
          </w:p>
        </w:tc>
        <w:tc>
          <w:tcPr>
            <w:tcW w:w="4131" w:type="pct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34A0BEDD">
            <w:pPr>
              <w:keepNext w:val="0"/>
              <w:keepLines w:val="0"/>
              <w:widowControl/>
              <w:suppressLineNumbers w:val="0"/>
              <w:wordWrap/>
              <w:snapToGrid w:val="0"/>
              <w:spacing w:before="0" w:beforeAutospacing="1" w:after="0" w:afterAutospacing="1" w:line="276" w:lineRule="auto"/>
              <w:ind w:left="0" w:right="0"/>
              <w:jc w:val="left"/>
              <w:rPr>
                <w:rFonts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24"/>
                <w:szCs w:val="22"/>
                <w:lang w:val="en-US" w:eastAsia="zh-CN" w:bidi="ar"/>
              </w:rPr>
              <w:t>内容</w:t>
            </w:r>
          </w:p>
        </w:tc>
      </w:tr>
      <w:tr w14:paraId="30ACE483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68" w:type="pct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top"/>
          </w:tcPr>
          <w:p w14:paraId="3CF7BB5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76" w:lineRule="auto"/>
              <w:ind w:left="0" w:right="0"/>
              <w:jc w:val="left"/>
              <w:rPr>
                <w:rFonts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21"/>
                <w:szCs w:val="22"/>
                <w:vertAlign w:val="baseline"/>
                <w:lang w:val="en-US" w:eastAsia="en-US" w:bidi="ar-SA"/>
              </w:rPr>
              <w:t>适用对象</w:t>
            </w: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​</w:t>
            </w:r>
          </w:p>
        </w:tc>
        <w:tc>
          <w:tcPr>
            <w:tcW w:w="4131" w:type="pct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top"/>
          </w:tcPr>
          <w:p w14:paraId="1F7C470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76" w:lineRule="auto"/>
              <w:ind w:left="0" w:right="0"/>
              <w:jc w:val="left"/>
              <w:rPr>
                <w:rFonts w:hint="default"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正在</w:t>
            </w: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轮转</w:t>
            </w: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的各年级</w:t>
            </w: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住院</w:t>
            </w: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规培医师</w:t>
            </w:r>
          </w:p>
        </w:tc>
      </w:tr>
      <w:tr w14:paraId="5183F9B0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68" w:type="pct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top"/>
          </w:tcPr>
          <w:p w14:paraId="0A7F4CB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76" w:lineRule="auto"/>
              <w:ind w:left="0" w:right="0"/>
              <w:jc w:val="left"/>
              <w:rPr>
                <w:rFonts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21"/>
                <w:szCs w:val="22"/>
                <w:vertAlign w:val="baseline"/>
                <w:lang w:val="en-US" w:eastAsia="en-US" w:bidi="ar-SA"/>
              </w:rPr>
              <w:t>考试时长</w:t>
            </w: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​</w:t>
            </w:r>
          </w:p>
        </w:tc>
        <w:tc>
          <w:tcPr>
            <w:tcW w:w="4131" w:type="pct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top"/>
          </w:tcPr>
          <w:p w14:paraId="7A75AA9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76" w:lineRule="auto"/>
              <w:ind w:left="0" w:right="0"/>
              <w:jc w:val="left"/>
              <w:rPr>
                <w:rFonts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90分钟</w:t>
            </w:r>
          </w:p>
        </w:tc>
      </w:tr>
      <w:tr w14:paraId="6E97656E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68" w:type="pct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top"/>
          </w:tcPr>
          <w:p w14:paraId="02EF3FF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76" w:lineRule="auto"/>
              <w:ind w:left="0" w:right="0"/>
              <w:jc w:val="left"/>
              <w:rPr>
                <w:rFonts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21"/>
                <w:szCs w:val="22"/>
                <w:vertAlign w:val="baseline"/>
                <w:lang w:val="en-US" w:eastAsia="en-US" w:bidi="ar-SA"/>
              </w:rPr>
              <w:t>总分</w:t>
            </w: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​</w:t>
            </w:r>
          </w:p>
        </w:tc>
        <w:tc>
          <w:tcPr>
            <w:tcW w:w="4131" w:type="pct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top"/>
          </w:tcPr>
          <w:p w14:paraId="34604D9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76" w:lineRule="auto"/>
              <w:ind w:left="0" w:right="0"/>
              <w:jc w:val="left"/>
              <w:rPr>
                <w:rFonts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100分</w:t>
            </w:r>
          </w:p>
        </w:tc>
      </w:tr>
      <w:tr w14:paraId="7779FE74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68" w:type="pct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top"/>
          </w:tcPr>
          <w:p w14:paraId="38389B9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76" w:lineRule="auto"/>
              <w:ind w:left="0" w:right="0"/>
              <w:jc w:val="left"/>
              <w:rPr>
                <w:rFonts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21"/>
                <w:szCs w:val="22"/>
                <w:vertAlign w:val="baseline"/>
                <w:lang w:val="en-US" w:eastAsia="en-US" w:bidi="ar-SA"/>
              </w:rPr>
              <w:t>合格标准</w:t>
            </w: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​</w:t>
            </w:r>
          </w:p>
        </w:tc>
        <w:tc>
          <w:tcPr>
            <w:tcW w:w="4131" w:type="pct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top"/>
          </w:tcPr>
          <w:p w14:paraId="5319547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76" w:lineRule="auto"/>
              <w:ind w:left="0" w:right="0"/>
              <w:jc w:val="left"/>
              <w:rPr>
                <w:rFonts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≥60分（或按医院教学办规定）</w:t>
            </w:r>
          </w:p>
        </w:tc>
      </w:tr>
    </w:tbl>
    <w:tbl>
      <w:tblPr>
        <w:tblStyle w:val="3"/>
        <w:tblpPr w:leftFromText="180" w:rightFromText="180" w:vertAnchor="page" w:horzAnchor="page" w:tblpX="1515" w:tblpY="6884"/>
        <w:tblOverlap w:val="never"/>
        <w:tblW w:w="8461" w:type="dxa"/>
        <w:tblInd w:w="0" w:type="dxa"/>
        <w:tblBorders>
          <w:top w:val="single" w:color="E0E0E0" w:sz="2" w:space="0"/>
          <w:left w:val="single" w:color="E0E0E0" w:sz="2" w:space="0"/>
          <w:bottom w:val="single" w:color="E0E0E0" w:sz="2" w:space="0"/>
          <w:right w:val="single" w:color="E0E0E0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61"/>
        <w:gridCol w:w="1425"/>
        <w:gridCol w:w="5375"/>
      </w:tblGrid>
      <w:tr w14:paraId="4BF251BF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</w:trPr>
        <w:tc>
          <w:tcPr>
            <w:tcW w:w="166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3D5E78EF">
            <w:pPr>
              <w:keepNext w:val="0"/>
              <w:keepLines w:val="0"/>
              <w:widowControl/>
              <w:suppressLineNumbers w:val="0"/>
              <w:wordWrap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Times New Roman"/>
                <w:b/>
                <w:bCs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24"/>
                <w:szCs w:val="22"/>
                <w:lang w:val="en-US" w:eastAsia="zh-CN" w:bidi="ar"/>
              </w:rPr>
              <w:t>知识领域</w:t>
            </w:r>
          </w:p>
          <w:p w14:paraId="24DF6BA7">
            <w:pPr>
              <w:keepNext w:val="0"/>
              <w:keepLines w:val="0"/>
              <w:widowControl/>
              <w:suppressLineNumbers w:val="0"/>
              <w:wordWrap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Times New Roman"/>
                <w:b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24"/>
                <w:szCs w:val="22"/>
                <w:lang w:val="en-US" w:eastAsia="zh-CN" w:bidi="ar"/>
              </w:rPr>
              <w:t>(Domain)</w:t>
            </w:r>
          </w:p>
        </w:tc>
        <w:tc>
          <w:tcPr>
            <w:tcW w:w="142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4D6372A2">
            <w:pPr>
              <w:keepNext w:val="0"/>
              <w:keepLines w:val="0"/>
              <w:widowControl/>
              <w:suppressLineNumbers w:val="0"/>
              <w:wordWrap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Times New Roman"/>
                <w:b/>
                <w:bCs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24"/>
                <w:szCs w:val="22"/>
                <w:lang w:val="en-US" w:eastAsia="zh-CN" w:bidi="ar"/>
              </w:rPr>
              <w:t>权重</w:t>
            </w:r>
          </w:p>
          <w:p w14:paraId="25E7B2C1">
            <w:pPr>
              <w:keepNext w:val="0"/>
              <w:keepLines w:val="0"/>
              <w:widowControl/>
              <w:suppressLineNumbers w:val="0"/>
              <w:wordWrap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Times New Roman"/>
                <w:b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24"/>
                <w:szCs w:val="22"/>
                <w:lang w:val="en-US" w:eastAsia="zh-CN" w:bidi="ar"/>
              </w:rPr>
              <w:t>(Weight)</w:t>
            </w:r>
          </w:p>
        </w:tc>
        <w:tc>
          <w:tcPr>
            <w:tcW w:w="537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0D343A45">
            <w:pPr>
              <w:keepNext w:val="0"/>
              <w:keepLines w:val="0"/>
              <w:widowControl/>
              <w:suppressLineNumbers w:val="0"/>
              <w:wordWrap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Times New Roman"/>
                <w:b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24"/>
                <w:szCs w:val="22"/>
                <w:lang w:val="en-US" w:eastAsia="zh-CN" w:bidi="ar"/>
              </w:rPr>
              <w:t>核心考点说明</w:t>
            </w:r>
          </w:p>
        </w:tc>
      </w:tr>
      <w:tr w14:paraId="50E41459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66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4756220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24"/>
                <w:szCs w:val="22"/>
                <w:vertAlign w:val="baseline"/>
                <w:lang w:val="en-US" w:eastAsia="en-US" w:bidi="ar-SA"/>
              </w:rPr>
              <w:t xml:space="preserve">A. </w:t>
            </w: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4"/>
                <w:szCs w:val="22"/>
                <w:vertAlign w:val="baseline"/>
                <w:lang w:val="en-US" w:eastAsia="zh-CN" w:bidi="ar-SA"/>
              </w:rPr>
              <w:t>泌尿外科肿瘤</w:t>
            </w:r>
          </w:p>
        </w:tc>
        <w:tc>
          <w:tcPr>
            <w:tcW w:w="142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1B71B80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right"/>
              <w:rPr>
                <w:rFonts w:hint="default"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30</w:t>
            </w: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%</w:t>
            </w: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-40%</w:t>
            </w:r>
          </w:p>
        </w:tc>
        <w:tc>
          <w:tcPr>
            <w:tcW w:w="537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3A085F4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4"/>
                <w:szCs w:val="22"/>
                <w:vertAlign w:val="baseline"/>
                <w:lang w:val="en-US" w:eastAsia="zh-CN" w:bidi="ar-SA"/>
              </w:rPr>
              <w:t>肾透明细胞癌，肾盂癌，膀胱癌</w:t>
            </w: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、</w:t>
            </w:r>
            <w:r>
              <w:rPr>
                <w:rFonts w:ascii="微软雅黑" w:hAnsi="微软雅黑" w:eastAsia="微软雅黑" w:cs="Times New Roman"/>
                <w:b/>
                <w:bCs/>
                <w:kern w:val="0"/>
                <w:sz w:val="24"/>
                <w:szCs w:val="22"/>
                <w:vertAlign w:val="baseline"/>
                <w:lang w:val="en-US" w:eastAsia="en-US" w:bidi="ar-SA"/>
              </w:rPr>
              <w:t>前列腺癌</w:t>
            </w: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以及一些其他泌尿外科肿瘤的临床表现，诊断与鉴别诊断，检查检验与治疗措施等</w:t>
            </w:r>
          </w:p>
        </w:tc>
      </w:tr>
      <w:tr w14:paraId="47F38A81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66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7F52FB8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24"/>
                <w:szCs w:val="22"/>
                <w:vertAlign w:val="baseline"/>
                <w:lang w:val="en-US" w:eastAsia="en-US" w:bidi="ar-SA"/>
              </w:rPr>
              <w:t>B.</w:t>
            </w: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4"/>
                <w:szCs w:val="22"/>
                <w:vertAlign w:val="baseline"/>
                <w:lang w:val="en-US" w:eastAsia="zh-CN" w:bidi="ar-SA"/>
              </w:rPr>
              <w:t>泌尿系统结石</w:t>
            </w:r>
          </w:p>
        </w:tc>
        <w:tc>
          <w:tcPr>
            <w:tcW w:w="142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3CF1B2F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right"/>
              <w:rPr>
                <w:rFonts w:hint="default"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10</w:t>
            </w: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%</w:t>
            </w: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-20%</w:t>
            </w:r>
          </w:p>
        </w:tc>
        <w:tc>
          <w:tcPr>
            <w:tcW w:w="537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0F8C3DB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4"/>
                <w:szCs w:val="22"/>
                <w:vertAlign w:val="baseline"/>
                <w:lang w:val="en-US" w:eastAsia="zh-CN" w:bidi="ar-SA"/>
              </w:rPr>
              <w:t>上尿路结石与下尿路结石的临床表现，特殊体征，不同情况下结石的治疗等</w:t>
            </w: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。</w:t>
            </w:r>
          </w:p>
        </w:tc>
      </w:tr>
      <w:tr w14:paraId="319B1958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66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5CB88E8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24"/>
                <w:szCs w:val="22"/>
                <w:vertAlign w:val="baseline"/>
                <w:lang w:val="en-US" w:eastAsia="en-US" w:bidi="ar-SA"/>
              </w:rPr>
              <w:t>C. 泌尿</w:t>
            </w: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4"/>
                <w:szCs w:val="22"/>
                <w:vertAlign w:val="baseline"/>
                <w:lang w:val="en-US" w:eastAsia="zh-CN" w:bidi="ar-SA"/>
              </w:rPr>
              <w:t>系统梗阻</w:t>
            </w: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​</w:t>
            </w:r>
          </w:p>
        </w:tc>
        <w:tc>
          <w:tcPr>
            <w:tcW w:w="142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151DA78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right"/>
              <w:rPr>
                <w:rFonts w:hint="default"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1</w:t>
            </w: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0</w:t>
            </w: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%</w:t>
            </w: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-15%</w:t>
            </w:r>
          </w:p>
        </w:tc>
        <w:tc>
          <w:tcPr>
            <w:tcW w:w="537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2EAAB6B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前列腺增生的临床表现，诊断治疗</w:t>
            </w: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。</w:t>
            </w: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其他情况下的泌尿系统梗阻，肾积水等</w:t>
            </w:r>
          </w:p>
        </w:tc>
      </w:tr>
      <w:tr w14:paraId="0ABDBBD8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66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3CE738F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24"/>
                <w:szCs w:val="22"/>
                <w:vertAlign w:val="baseline"/>
                <w:lang w:val="en-US" w:eastAsia="en-US" w:bidi="ar-SA"/>
              </w:rPr>
              <w:t xml:space="preserve">D. </w:t>
            </w: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4"/>
                <w:szCs w:val="22"/>
                <w:vertAlign w:val="baseline"/>
                <w:lang w:val="en-US" w:eastAsia="zh-CN" w:bidi="ar-SA"/>
              </w:rPr>
              <w:t>泌尿系统感染</w:t>
            </w: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​</w:t>
            </w:r>
          </w:p>
        </w:tc>
        <w:tc>
          <w:tcPr>
            <w:tcW w:w="142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4720B2A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right"/>
              <w:rPr>
                <w:rFonts w:hint="default"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8</w:t>
            </w: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%</w:t>
            </w: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-12%</w:t>
            </w:r>
          </w:p>
        </w:tc>
        <w:tc>
          <w:tcPr>
            <w:tcW w:w="537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5EAAB7A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前列腺炎，肾盂肾炎等常见泌尿系统感染的临床表现，诊断与治疗等</w:t>
            </w:r>
          </w:p>
        </w:tc>
      </w:tr>
      <w:tr w14:paraId="1E109A47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66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4987708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24"/>
                <w:szCs w:val="22"/>
                <w:vertAlign w:val="baseline"/>
                <w:lang w:val="en-US" w:eastAsia="en-US" w:bidi="ar-SA"/>
              </w:rPr>
              <w:t xml:space="preserve">E. </w:t>
            </w: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4"/>
                <w:szCs w:val="22"/>
                <w:vertAlign w:val="baseline"/>
                <w:lang w:val="en-US" w:eastAsia="zh-CN" w:bidi="ar-SA"/>
              </w:rPr>
              <w:t>泌尿系统损伤</w:t>
            </w: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​</w:t>
            </w:r>
          </w:p>
        </w:tc>
        <w:tc>
          <w:tcPr>
            <w:tcW w:w="142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67FDD8C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right"/>
              <w:rPr>
                <w:rFonts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8%-12</w:t>
            </w: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%</w:t>
            </w:r>
          </w:p>
        </w:tc>
        <w:tc>
          <w:tcPr>
            <w:tcW w:w="537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0972F2A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泌尿系统损伤的表现，诊断与治疗等</w:t>
            </w: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。</w:t>
            </w:r>
          </w:p>
        </w:tc>
      </w:tr>
      <w:tr w14:paraId="169CBB07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66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5EB2FD4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24"/>
                <w:szCs w:val="22"/>
                <w:vertAlign w:val="baseline"/>
                <w:lang w:val="en-US" w:eastAsia="en-US" w:bidi="ar-SA"/>
              </w:rPr>
              <w:t xml:space="preserve">F. </w:t>
            </w: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4"/>
                <w:szCs w:val="22"/>
                <w:vertAlign w:val="baseline"/>
                <w:lang w:val="en-US" w:eastAsia="zh-CN" w:bidi="ar-SA"/>
              </w:rPr>
              <w:t>男科学与盆底</w:t>
            </w:r>
          </w:p>
        </w:tc>
        <w:tc>
          <w:tcPr>
            <w:tcW w:w="142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2EB9F6E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right"/>
              <w:rPr>
                <w:rFonts w:hint="default"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8</w:t>
            </w: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%</w:t>
            </w: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-10%</w:t>
            </w:r>
          </w:p>
        </w:tc>
        <w:tc>
          <w:tcPr>
            <w:tcW w:w="537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2B67580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男性不育、性功能障碍、精索静脉曲张，先天畸形等</w:t>
            </w: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。</w:t>
            </w:r>
          </w:p>
        </w:tc>
      </w:tr>
      <w:tr w14:paraId="5CC888A1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66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5E06B80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24"/>
                <w:szCs w:val="22"/>
                <w:vertAlign w:val="baseline"/>
                <w:lang w:val="en-US" w:eastAsia="en-US" w:bidi="ar-SA"/>
              </w:rPr>
              <w:t>G. 结核</w:t>
            </w:r>
          </w:p>
        </w:tc>
        <w:tc>
          <w:tcPr>
            <w:tcW w:w="142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74BDD59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right"/>
              <w:rPr>
                <w:rFonts w:hint="default"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6</w:t>
            </w: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%</w:t>
            </w: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-8%</w:t>
            </w:r>
          </w:p>
        </w:tc>
        <w:tc>
          <w:tcPr>
            <w:tcW w:w="537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3FEF0B2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4"/>
                <w:szCs w:val="22"/>
                <w:vertAlign w:val="baseline"/>
                <w:lang w:val="en-US" w:eastAsia="zh-CN" w:bidi="ar-SA"/>
              </w:rPr>
              <w:t>泌尿系统结核的临床表现，诊断与治疗措施</w:t>
            </w:r>
          </w:p>
        </w:tc>
      </w:tr>
      <w:tr w14:paraId="5953AC1A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166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102008A9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4"/>
                <w:szCs w:val="22"/>
                <w:vertAlign w:val="baseline"/>
                <w:lang w:val="en-US" w:eastAsia="zh-CN" w:bidi="ar-SA"/>
              </w:rPr>
              <w:t>其他重要内容</w:t>
            </w:r>
          </w:p>
        </w:tc>
        <w:tc>
          <w:tcPr>
            <w:tcW w:w="142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7854A01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right"/>
              <w:rPr>
                <w:rFonts w:hint="default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5%-15%</w:t>
            </w:r>
          </w:p>
        </w:tc>
        <w:tc>
          <w:tcPr>
            <w:tcW w:w="537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7C355DE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4"/>
                <w:szCs w:val="22"/>
                <w:vertAlign w:val="baseline"/>
                <w:lang w:val="en-US" w:eastAsia="zh-CN" w:bidi="ar-SA"/>
              </w:rPr>
              <w:t>其他泌尿外科密切相关知识，如肾上腺疾病，泌尿系统解剖，肾功能不全等</w:t>
            </w:r>
          </w:p>
        </w:tc>
      </w:tr>
    </w:tbl>
    <w:p w14:paraId="3968C6C9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二、 考试内容权重分配 (Content Weighting)</w:t>
      </w:r>
    </w:p>
    <w:p w14:paraId="657F03F4">
      <w:p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三、 认知层级与技能要求 (Cognitive Levels)</w:t>
      </w:r>
    </w:p>
    <w:tbl>
      <w:tblPr>
        <w:tblStyle w:val="3"/>
        <w:tblW w:w="8522" w:type="dxa"/>
        <w:jc w:val="center"/>
        <w:tblBorders>
          <w:top w:val="single" w:color="E0E0E0" w:sz="2" w:space="0"/>
          <w:left w:val="single" w:color="E0E0E0" w:sz="2" w:space="0"/>
          <w:bottom w:val="single" w:color="E0E0E0" w:sz="2" w:space="0"/>
          <w:right w:val="single" w:color="E0E0E0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08"/>
        <w:gridCol w:w="5167"/>
        <w:gridCol w:w="747"/>
      </w:tblGrid>
      <w:tr w14:paraId="16DC644F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260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7593BFA3">
            <w:pPr>
              <w:pStyle w:val="2"/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层级</w:t>
            </w:r>
          </w:p>
        </w:tc>
        <w:tc>
          <w:tcPr>
            <w:tcW w:w="516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62EC4350">
            <w:pPr>
              <w:pStyle w:val="2"/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定义</w:t>
            </w:r>
          </w:p>
        </w:tc>
        <w:tc>
          <w:tcPr>
            <w:tcW w:w="74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6F0BD303">
            <w:pPr>
              <w:pStyle w:val="2"/>
              <w:keepNext w:val="0"/>
              <w:keepLines w:val="0"/>
              <w:widowControl/>
              <w:suppressLineNumbers w:val="0"/>
              <w:wordWrap/>
              <w:snapToGrid w:val="0"/>
              <w:ind w:left="0" w:leftChars="0" w:right="0" w:rightChars="0" w:firstLine="0" w:firstLineChars="0"/>
              <w:jc w:val="center"/>
              <w:rPr>
                <w:b/>
              </w:rPr>
            </w:pPr>
            <w:r>
              <w:rPr>
                <w:b/>
                <w:bCs/>
              </w:rPr>
              <w:t>占比</w:t>
            </w:r>
          </w:p>
        </w:tc>
      </w:tr>
      <w:tr w14:paraId="11F5BF81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60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2F74B386">
            <w:pPr>
              <w:pStyle w:val="2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rPr>
                <w:rStyle w:val="5"/>
                <w:vertAlign w:val="baseline"/>
              </w:rPr>
              <w:t>记忆 (Recall)</w:t>
            </w:r>
            <w:r>
              <w:rPr>
                <w:vertAlign w:val="baseline"/>
              </w:rPr>
              <w:t>​</w:t>
            </w:r>
          </w:p>
        </w:tc>
        <w:tc>
          <w:tcPr>
            <w:tcW w:w="516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3F7BB713">
            <w:pPr>
              <w:pStyle w:val="2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vertAlign w:val="baseline"/>
                <w:lang w:val="en-US" w:eastAsia="zh-CN"/>
              </w:rPr>
              <w:t>对于知识点的基础记忆</w:t>
            </w:r>
            <w:r>
              <w:rPr>
                <w:vertAlign w:val="baseline"/>
              </w:rPr>
              <w:t>。</w:t>
            </w:r>
          </w:p>
        </w:tc>
        <w:tc>
          <w:tcPr>
            <w:tcW w:w="74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42D9D6E9">
            <w:pPr>
              <w:pStyle w:val="2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  <w:r>
              <w:rPr>
                <w:vertAlign w:val="baseline"/>
              </w:rPr>
              <w:t>%</w:t>
            </w:r>
          </w:p>
        </w:tc>
      </w:tr>
      <w:tr w14:paraId="542BF833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60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069968ED">
            <w:pPr>
              <w:pStyle w:val="2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rPr>
                <w:rStyle w:val="5"/>
                <w:vertAlign w:val="baseline"/>
              </w:rPr>
              <w:t>理解 (Comprehension)</w:t>
            </w:r>
            <w:r>
              <w:rPr>
                <w:vertAlign w:val="baseline"/>
              </w:rPr>
              <w:t>​</w:t>
            </w:r>
          </w:p>
        </w:tc>
        <w:tc>
          <w:tcPr>
            <w:tcW w:w="516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65CE6655">
            <w:pPr>
              <w:pStyle w:val="2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vertAlign w:val="baseline"/>
                <w:lang w:val="en-US" w:eastAsia="zh-CN"/>
              </w:rPr>
              <w:t>对于特定知识点的深度理解与掌握</w:t>
            </w:r>
            <w:r>
              <w:rPr>
                <w:vertAlign w:val="baseline"/>
              </w:rPr>
              <w:t>。</w:t>
            </w:r>
          </w:p>
        </w:tc>
        <w:tc>
          <w:tcPr>
            <w:tcW w:w="74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265BDC88">
            <w:pPr>
              <w:pStyle w:val="2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  <w:r>
              <w:rPr>
                <w:vertAlign w:val="baseline"/>
              </w:rPr>
              <w:t>%</w:t>
            </w:r>
          </w:p>
        </w:tc>
      </w:tr>
      <w:tr w14:paraId="69E8E7DD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60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515C94CB">
            <w:pPr>
              <w:pStyle w:val="2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rPr>
                <w:rStyle w:val="5"/>
                <w:vertAlign w:val="baseline"/>
              </w:rPr>
              <w:t>应用 (Application)</w:t>
            </w:r>
            <w:r>
              <w:rPr>
                <w:vertAlign w:val="baseline"/>
              </w:rPr>
              <w:t>​</w:t>
            </w:r>
          </w:p>
        </w:tc>
        <w:tc>
          <w:tcPr>
            <w:tcW w:w="516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0A19EF56">
            <w:pPr>
              <w:pStyle w:val="2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rPr>
                <w:rFonts w:hint="eastAsia"/>
                <w:vertAlign w:val="baseline"/>
                <w:lang w:val="en-US" w:eastAsia="zh-CN"/>
              </w:rPr>
              <w:t>在题干</w:t>
            </w:r>
            <w:r>
              <w:rPr>
                <w:vertAlign w:val="baseline"/>
              </w:rPr>
              <w:t>病例</w:t>
            </w:r>
            <w:r>
              <w:rPr>
                <w:rFonts w:hint="eastAsia"/>
                <w:vertAlign w:val="baseline"/>
                <w:lang w:val="en-US" w:eastAsia="zh-CN"/>
              </w:rPr>
              <w:t>背景下</w:t>
            </w:r>
            <w:r>
              <w:rPr>
                <w:vertAlign w:val="baseline"/>
              </w:rPr>
              <w:t>分析</w:t>
            </w:r>
            <w:r>
              <w:rPr>
                <w:rFonts w:hint="eastAsia"/>
                <w:vertAlign w:val="baseline"/>
                <w:lang w:eastAsia="zh-CN"/>
              </w:rPr>
              <w:t>，</w:t>
            </w:r>
            <w:r>
              <w:rPr>
                <w:rFonts w:hint="eastAsia"/>
                <w:vertAlign w:val="baseline"/>
                <w:lang w:val="en-US" w:eastAsia="zh-CN"/>
              </w:rPr>
              <w:t>诊断，综合诊疗流程等</w:t>
            </w:r>
            <w:r>
              <w:rPr>
                <w:vertAlign w:val="baseline"/>
              </w:rPr>
              <w:t>。</w:t>
            </w:r>
          </w:p>
        </w:tc>
        <w:tc>
          <w:tcPr>
            <w:tcW w:w="74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3FCBEA8B">
            <w:pPr>
              <w:pStyle w:val="2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</w:pPr>
            <w:r>
              <w:rPr>
                <w:vertAlign w:val="baseline"/>
              </w:rPr>
              <w:t>35%</w:t>
            </w:r>
          </w:p>
        </w:tc>
      </w:tr>
      <w:tr w14:paraId="7C2D8004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608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5DBF0F74">
            <w:pPr>
              <w:pStyle w:val="2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rPr>
                <w:rStyle w:val="5"/>
                <w:vertAlign w:val="baseline"/>
              </w:rPr>
              <w:t>分析 (Analysis)</w:t>
            </w:r>
            <w:r>
              <w:rPr>
                <w:vertAlign w:val="baseline"/>
              </w:rPr>
              <w:t>​</w:t>
            </w:r>
          </w:p>
        </w:tc>
        <w:tc>
          <w:tcPr>
            <w:tcW w:w="516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35F3FAF4">
            <w:pPr>
              <w:pStyle w:val="2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</w:pPr>
            <w:r>
              <w:rPr>
                <w:vertAlign w:val="baseline"/>
              </w:rPr>
              <w:t>并发症处理、疑难影像判读、多学科会诊（MDT）思维。</w:t>
            </w:r>
          </w:p>
        </w:tc>
        <w:tc>
          <w:tcPr>
            <w:tcW w:w="747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26E6EA40">
            <w:pPr>
              <w:pStyle w:val="2"/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right"/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  <w:r>
              <w:rPr>
                <w:vertAlign w:val="baseline"/>
              </w:rPr>
              <w:t>%</w:t>
            </w:r>
          </w:p>
        </w:tc>
      </w:tr>
    </w:tbl>
    <w:p w14:paraId="3E492611">
      <w:pPr>
        <w:numPr>
          <w:ilvl w:val="0"/>
          <w:numId w:val="2"/>
        </w:numPr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题型结构与分值分布 (Test Specification Table)</w:t>
      </w:r>
    </w:p>
    <w:tbl>
      <w:tblPr>
        <w:tblStyle w:val="3"/>
        <w:tblW w:w="10296" w:type="dxa"/>
        <w:jc w:val="center"/>
        <w:tblBorders>
          <w:top w:val="single" w:color="E0E0E0" w:sz="2" w:space="0"/>
          <w:left w:val="single" w:color="E0E0E0" w:sz="2" w:space="0"/>
          <w:bottom w:val="single" w:color="E0E0E0" w:sz="2" w:space="0"/>
          <w:right w:val="single" w:color="E0E0E0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15"/>
        <w:gridCol w:w="1124"/>
        <w:gridCol w:w="1211"/>
        <w:gridCol w:w="731"/>
        <w:gridCol w:w="4915"/>
      </w:tblGrid>
      <w:tr w14:paraId="2A054E20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tblHeader/>
          <w:jc w:val="center"/>
        </w:trPr>
        <w:tc>
          <w:tcPr>
            <w:tcW w:w="231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7F8C5D01">
            <w:pPr>
              <w:keepNext w:val="0"/>
              <w:keepLines w:val="0"/>
              <w:widowControl/>
              <w:suppressLineNumbers w:val="0"/>
              <w:wordWrap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Times New Roman"/>
                <w:b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24"/>
                <w:szCs w:val="22"/>
                <w:lang w:val="en-US" w:eastAsia="zh-CN" w:bidi="ar"/>
              </w:rPr>
              <w:t>题型</w:t>
            </w:r>
          </w:p>
        </w:tc>
        <w:tc>
          <w:tcPr>
            <w:tcW w:w="112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7BBFC8DF">
            <w:pPr>
              <w:keepNext w:val="0"/>
              <w:keepLines w:val="0"/>
              <w:widowControl/>
              <w:suppressLineNumbers w:val="0"/>
              <w:wordWrap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Times New Roman"/>
                <w:b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24"/>
                <w:szCs w:val="22"/>
                <w:lang w:val="en-US" w:eastAsia="zh-CN" w:bidi="ar"/>
              </w:rPr>
              <w:t>题量</w:t>
            </w:r>
          </w:p>
        </w:tc>
        <w:tc>
          <w:tcPr>
            <w:tcW w:w="121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48393748">
            <w:pPr>
              <w:keepNext w:val="0"/>
              <w:keepLines w:val="0"/>
              <w:widowControl/>
              <w:suppressLineNumbers w:val="0"/>
              <w:wordWrap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Times New Roman"/>
                <w:b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24"/>
                <w:szCs w:val="22"/>
                <w:lang w:val="en-US" w:eastAsia="zh-CN" w:bidi="ar"/>
              </w:rPr>
              <w:t>单题分值</w:t>
            </w:r>
          </w:p>
        </w:tc>
        <w:tc>
          <w:tcPr>
            <w:tcW w:w="73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1EC2CEEE">
            <w:pPr>
              <w:keepNext w:val="0"/>
              <w:keepLines w:val="0"/>
              <w:widowControl/>
              <w:suppressLineNumbers w:val="0"/>
              <w:wordWrap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Times New Roman"/>
                <w:b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24"/>
                <w:szCs w:val="22"/>
                <w:lang w:val="en-US" w:eastAsia="zh-CN" w:bidi="ar"/>
              </w:rPr>
              <w:t>总分</w:t>
            </w:r>
          </w:p>
        </w:tc>
        <w:tc>
          <w:tcPr>
            <w:tcW w:w="491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4050F06C">
            <w:pPr>
              <w:keepNext w:val="0"/>
              <w:keepLines w:val="0"/>
              <w:widowControl/>
              <w:suppressLineNumbers w:val="0"/>
              <w:wordWrap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center"/>
              <w:rPr>
                <w:rFonts w:ascii="微软雅黑" w:hAnsi="微软雅黑" w:eastAsia="微软雅黑" w:cs="Times New Roman"/>
                <w:b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24"/>
                <w:szCs w:val="22"/>
                <w:lang w:val="en-US" w:eastAsia="zh-CN" w:bidi="ar"/>
              </w:rPr>
              <w:t>考察重点</w:t>
            </w:r>
          </w:p>
        </w:tc>
      </w:tr>
      <w:tr w14:paraId="6814410D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1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62142B7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21"/>
                <w:szCs w:val="22"/>
                <w:vertAlign w:val="baseline"/>
                <w:lang w:val="en-US" w:eastAsia="en-US" w:bidi="ar-SA"/>
              </w:rPr>
              <w:t>A1型题</w:t>
            </w: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​ (单句型最佳选择)</w:t>
            </w:r>
          </w:p>
        </w:tc>
        <w:tc>
          <w:tcPr>
            <w:tcW w:w="112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7EFDB83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7</w:t>
            </w:r>
          </w:p>
        </w:tc>
        <w:tc>
          <w:tcPr>
            <w:tcW w:w="121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72464C2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right"/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  <w:t>2</w:t>
            </w:r>
          </w:p>
        </w:tc>
        <w:tc>
          <w:tcPr>
            <w:tcW w:w="73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2B4BE7A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right"/>
              <w:rPr>
                <w:rFonts w:hint="default"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14</w:t>
            </w:r>
          </w:p>
        </w:tc>
        <w:tc>
          <w:tcPr>
            <w:tcW w:w="491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52D866D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基础知识。</w:t>
            </w:r>
          </w:p>
        </w:tc>
      </w:tr>
      <w:tr w14:paraId="04A27FA3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1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57B4B76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21"/>
                <w:szCs w:val="22"/>
                <w:vertAlign w:val="baseline"/>
                <w:lang w:val="en-US" w:eastAsia="en-US" w:bidi="ar-SA"/>
              </w:rPr>
              <w:t>A2型题</w:t>
            </w: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​ (病例摘要型)</w:t>
            </w:r>
          </w:p>
        </w:tc>
        <w:tc>
          <w:tcPr>
            <w:tcW w:w="112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26B1E80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1</w:t>
            </w: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121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41AB461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right"/>
              <w:rPr>
                <w:rFonts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73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75C615A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right"/>
              <w:rPr>
                <w:rFonts w:hint="default"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36</w:t>
            </w:r>
          </w:p>
        </w:tc>
        <w:tc>
          <w:tcPr>
            <w:tcW w:w="491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70ED5F7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常见病诊断与初步处理</w:t>
            </w: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等</w:t>
            </w: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。</w:t>
            </w:r>
          </w:p>
        </w:tc>
      </w:tr>
      <w:tr w14:paraId="629C44B7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1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7B3FA63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b/>
                <w:bCs/>
                <w:kern w:val="0"/>
                <w:sz w:val="21"/>
                <w:szCs w:val="22"/>
                <w:vertAlign w:val="baseline"/>
                <w:lang w:val="en-US" w:eastAsia="en-US" w:bidi="ar-SA"/>
              </w:rPr>
              <w:t>A3/A4型题</w:t>
            </w: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​ (病例组型)</w:t>
            </w:r>
          </w:p>
        </w:tc>
        <w:tc>
          <w:tcPr>
            <w:tcW w:w="112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71F1D41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5</w:t>
            </w: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-6</w:t>
            </w: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组 (1</w:t>
            </w: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4</w:t>
            </w: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小题)</w:t>
            </w:r>
          </w:p>
        </w:tc>
        <w:tc>
          <w:tcPr>
            <w:tcW w:w="121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0159BC5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right"/>
              <w:rPr>
                <w:rFonts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73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3A7E343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right"/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2</w:t>
            </w: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491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485E533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综合诊疗流程、随访管理</w:t>
            </w: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等</w:t>
            </w:r>
          </w:p>
        </w:tc>
      </w:tr>
      <w:tr w14:paraId="2BBE53DA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1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21DC184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1"/>
                <w:szCs w:val="22"/>
                <w:vertAlign w:val="baseline"/>
                <w:lang w:val="en-US" w:eastAsia="zh-CN" w:bidi="ar-SA"/>
              </w:rPr>
              <w:t>B型题</w:t>
            </w:r>
            <w:r>
              <w:rPr>
                <w:rFonts w:ascii="微软雅黑" w:hAnsi="微软雅黑" w:eastAsia="微软雅黑" w:cs="Times New Roman"/>
                <w:b/>
                <w:bCs/>
                <w:kern w:val="0"/>
                <w:sz w:val="21"/>
                <w:szCs w:val="22"/>
                <w:vertAlign w:val="baseline"/>
                <w:lang w:val="en-US" w:eastAsia="en-US" w:bidi="ar-SA"/>
              </w:rPr>
              <w:t xml:space="preserve"> (</w:t>
            </w: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1"/>
                <w:szCs w:val="22"/>
                <w:vertAlign w:val="baseline"/>
                <w:lang w:val="en-US" w:eastAsia="zh-CN" w:bidi="ar-SA"/>
              </w:rPr>
              <w:t>选项三连问</w:t>
            </w:r>
            <w:r>
              <w:rPr>
                <w:rFonts w:ascii="微软雅黑" w:hAnsi="微软雅黑" w:eastAsia="微软雅黑" w:cs="Times New Roman"/>
                <w:b/>
                <w:bCs/>
                <w:kern w:val="0"/>
                <w:sz w:val="21"/>
                <w:szCs w:val="22"/>
                <w:vertAlign w:val="baseline"/>
                <w:lang w:val="en-US" w:eastAsia="en-US" w:bidi="ar-SA"/>
              </w:rPr>
              <w:t>)</w:t>
            </w: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​</w:t>
            </w:r>
          </w:p>
        </w:tc>
        <w:tc>
          <w:tcPr>
            <w:tcW w:w="112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44CCE9A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1组（</w:t>
            </w: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3</w:t>
            </w: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小题）</w:t>
            </w:r>
          </w:p>
        </w:tc>
        <w:tc>
          <w:tcPr>
            <w:tcW w:w="121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32AE1C5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right"/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73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0E158B4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right"/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491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310A451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考察对某一重点知识模块的掌握情况</w:t>
            </w:r>
          </w:p>
        </w:tc>
      </w:tr>
      <w:tr w14:paraId="23D9F740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1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1691590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1"/>
                <w:szCs w:val="22"/>
                <w:vertAlign w:val="baseline"/>
                <w:lang w:val="en-US" w:eastAsia="zh-CN" w:bidi="ar-SA"/>
              </w:rPr>
              <w:t>X型题</w:t>
            </w:r>
            <w:r>
              <w:rPr>
                <w:rFonts w:ascii="微软雅黑" w:hAnsi="微软雅黑" w:eastAsia="微软雅黑" w:cs="Times New Roman"/>
                <w:b/>
                <w:bCs/>
                <w:kern w:val="0"/>
                <w:sz w:val="21"/>
                <w:szCs w:val="22"/>
                <w:vertAlign w:val="baseline"/>
                <w:lang w:val="en-US" w:eastAsia="en-US" w:bidi="ar-SA"/>
              </w:rPr>
              <w:t xml:space="preserve"> (</w:t>
            </w: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1"/>
                <w:szCs w:val="22"/>
                <w:vertAlign w:val="baseline"/>
                <w:lang w:val="en-US" w:eastAsia="zh-CN" w:bidi="ar-SA"/>
              </w:rPr>
              <w:t>不定项选择题</w:t>
            </w:r>
            <w:r>
              <w:rPr>
                <w:rFonts w:ascii="微软雅黑" w:hAnsi="微软雅黑" w:eastAsia="微软雅黑" w:cs="Times New Roman"/>
                <w:b/>
                <w:bCs/>
                <w:kern w:val="0"/>
                <w:sz w:val="21"/>
                <w:szCs w:val="22"/>
                <w:vertAlign w:val="baseline"/>
                <w:lang w:val="en-US" w:eastAsia="en-US" w:bidi="ar-SA"/>
              </w:rPr>
              <w:t>)</w:t>
            </w: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​</w:t>
            </w:r>
          </w:p>
        </w:tc>
        <w:tc>
          <w:tcPr>
            <w:tcW w:w="112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06789DB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8</w:t>
            </w:r>
          </w:p>
        </w:tc>
        <w:tc>
          <w:tcPr>
            <w:tcW w:w="121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3F1C8B37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right"/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2</w:t>
            </w:r>
          </w:p>
        </w:tc>
        <w:tc>
          <w:tcPr>
            <w:tcW w:w="73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191C81A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right"/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1</w:t>
            </w: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6</w:t>
            </w:r>
          </w:p>
        </w:tc>
        <w:tc>
          <w:tcPr>
            <w:tcW w:w="491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195566C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1"/>
                <w:szCs w:val="22"/>
                <w:vertAlign w:val="baseline"/>
                <w:lang w:val="en-US" w:eastAsia="zh-CN" w:bidi="ar-SA"/>
              </w:rPr>
              <w:t>高难题，考察对特定知识点的熟练掌握</w:t>
            </w:r>
          </w:p>
        </w:tc>
      </w:tr>
      <w:tr w14:paraId="1EAD4C1F">
        <w:tblPrEx>
          <w:tblBorders>
            <w:top w:val="single" w:color="E0E0E0" w:sz="2" w:space="0"/>
            <w:left w:val="single" w:color="E0E0E0" w:sz="2" w:space="0"/>
            <w:bottom w:val="single" w:color="E0E0E0" w:sz="2" w:space="0"/>
            <w:right w:val="single" w:color="E0E0E0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231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42FF734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Times New Roman"/>
                <w:b/>
                <w:bCs/>
                <w:kern w:val="0"/>
                <w:sz w:val="21"/>
                <w:szCs w:val="22"/>
                <w:vertAlign w:val="baseline"/>
                <w:lang w:val="en-US" w:eastAsia="zh-CN" w:bidi="ar-SA"/>
              </w:rPr>
              <w:t>合计</w:t>
            </w:r>
          </w:p>
        </w:tc>
        <w:tc>
          <w:tcPr>
            <w:tcW w:w="1124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4892297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hint="default"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50</w:t>
            </w:r>
          </w:p>
        </w:tc>
        <w:tc>
          <w:tcPr>
            <w:tcW w:w="121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70E0EB8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right"/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-</w:t>
            </w:r>
          </w:p>
        </w:tc>
        <w:tc>
          <w:tcPr>
            <w:tcW w:w="731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57AD60B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right"/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  <w:r>
              <w:rPr>
                <w:rFonts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10</w:t>
            </w:r>
            <w:r>
              <w:rPr>
                <w:rFonts w:hint="eastAsia" w:ascii="微软雅黑" w:hAnsi="微软雅黑" w:eastAsia="微软雅黑" w:cs="Times New Roman"/>
                <w:kern w:val="0"/>
                <w:sz w:val="24"/>
                <w:szCs w:val="22"/>
                <w:vertAlign w:val="baseline"/>
                <w:lang w:val="en-US" w:eastAsia="zh-CN" w:bidi="ar"/>
              </w:rPr>
              <w:t>0</w:t>
            </w:r>
          </w:p>
        </w:tc>
        <w:tc>
          <w:tcPr>
            <w:tcW w:w="4915" w:type="dxa"/>
            <w:tcBorders>
              <w:top w:val="single" w:color="E0E0E0" w:sz="2" w:space="0"/>
              <w:left w:val="single" w:color="E0E0E0" w:sz="2" w:space="0"/>
              <w:bottom w:val="single" w:color="E0E0E0" w:sz="2" w:space="0"/>
              <w:right w:val="single" w:color="E0E0E0" w:sz="2" w:space="0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50" w:type="dxa"/>
            </w:tcMar>
            <w:vAlign w:val="center"/>
          </w:tcPr>
          <w:p w14:paraId="1F61824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 w:line="240" w:lineRule="auto"/>
              <w:ind w:left="0" w:leftChars="0" w:right="0" w:rightChars="0" w:firstLine="0" w:firstLineChars="0"/>
              <w:jc w:val="left"/>
              <w:rPr>
                <w:rFonts w:ascii="微软雅黑" w:hAnsi="微软雅黑" w:eastAsia="微软雅黑" w:cs="Times New Roman"/>
                <w:kern w:val="0"/>
                <w:sz w:val="24"/>
                <w:szCs w:val="22"/>
                <w:lang w:val="en-US" w:eastAsia="zh-CN" w:bidi="ar"/>
              </w:rPr>
            </w:pPr>
          </w:p>
        </w:tc>
      </w:tr>
    </w:tbl>
    <w:p w14:paraId="4DB834A7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8"/>
          <w:szCs w:val="28"/>
        </w:rPr>
      </w:pPr>
    </w:p>
    <w:p w14:paraId="56305E37">
      <w:pPr>
        <w:rPr>
          <w:rFonts w:hint="eastAsia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五．</w:t>
      </w:r>
      <w:r>
        <w:rPr>
          <w:rFonts w:hint="eastAsia" w:ascii="宋体" w:hAnsi="宋体" w:eastAsia="宋体" w:cs="宋体"/>
          <w:b/>
          <w:bCs/>
          <w:sz w:val="28"/>
          <w:szCs w:val="28"/>
        </w:rPr>
        <w:t>编制建议</w:t>
      </w:r>
    </w:p>
    <w:p w14:paraId="615FA9A9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题库开发与内容效度</w:t>
      </w:r>
      <w:r>
        <w:rPr>
          <w:rFonts w:hint="eastAsia"/>
          <w:sz w:val="24"/>
          <w:szCs w:val="24"/>
          <w:lang w:eastAsia="zh-CN"/>
        </w:rPr>
        <w:t>：</w:t>
      </w:r>
    </w:p>
    <w:p w14:paraId="33259F4C">
      <w:pPr>
        <w:ind w:firstLine="42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出题</w:t>
      </w:r>
      <w:r>
        <w:rPr>
          <w:rFonts w:hint="eastAsia"/>
        </w:rPr>
        <w:t>依据中国泌尿外科学会（CUA）指南和欧洲泌尿外科学会（EAU）指南的最新版本构建而成。鉴于邵逸夫医院遵循的是全球统一的医疗框架，因此欧洲泌尿外科学会的指南成为了主要的参考标准，以确保其具有国际可比性和临床相关性。</w:t>
      </w:r>
      <w:r>
        <w:rPr>
          <w:rFonts w:hint="eastAsia"/>
          <w:lang w:val="en-US" w:eastAsia="zh-CN"/>
        </w:rPr>
        <w:t>出题大纲参考</w:t>
      </w:r>
      <w:r>
        <w:rPr>
          <w:rFonts w:hint="eastAsia"/>
        </w:rPr>
        <w:t>《中国执业医师规范化培训结业考核大纲（泌尿外科）》《吴阶平泌尿外科学》</w:t>
      </w:r>
      <w:r>
        <w:rPr>
          <w:rFonts w:hint="eastAsia"/>
          <w:lang w:val="en-US" w:eastAsia="zh-CN"/>
        </w:rPr>
        <w:t>以及中国执业医师考试大纲为准。</w:t>
      </w:r>
      <w:bookmarkStart w:id="0" w:name="_GoBack"/>
      <w:bookmarkEnd w:id="0"/>
    </w:p>
    <w:p w14:paraId="02E87F33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考试标准设定与难度校准</w:t>
      </w:r>
      <w:r>
        <w:rPr>
          <w:rFonts w:hint="eastAsia"/>
          <w:sz w:val="24"/>
          <w:szCs w:val="24"/>
          <w:lang w:eastAsia="zh-CN"/>
        </w:rPr>
        <w:t>：</w:t>
      </w:r>
    </w:p>
    <w:p w14:paraId="7D61102C">
      <w:pPr>
        <w:ind w:firstLine="420" w:firstLineChars="0"/>
        <w:rPr>
          <w:rFonts w:hint="eastAsia"/>
        </w:rPr>
      </w:pPr>
      <w:r>
        <w:rPr>
          <w:rFonts w:hint="eastAsia"/>
        </w:rPr>
        <w:t>该评估设计为基于能力的合格/不合格考试。为了建立一个可靠的评分标准，我们力求将不合格率控制在约 20%至 30%之间。这一阈值的设定旨在确保有足够的成绩区分度，并反映学员表现的正常分布情况，从而验证该考试能够区分出有能力的学员和无能力的学员的能力。</w:t>
      </w:r>
    </w:p>
    <w:p w14:paraId="303F59A1"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</w:rPr>
        <w:t>伦理考量与跨文化交流</w:t>
      </w:r>
      <w:r>
        <w:rPr>
          <w:rFonts w:hint="eastAsia"/>
          <w:sz w:val="24"/>
          <w:szCs w:val="24"/>
          <w:lang w:eastAsia="zh-CN"/>
        </w:rPr>
        <w:t>：</w:t>
      </w:r>
    </w:p>
    <w:p w14:paraId="450FDF5A">
      <w:pPr>
        <w:ind w:firstLine="420" w:firstLineChars="0"/>
        <w:rPr>
          <w:rFonts w:hint="eastAsia"/>
        </w:rPr>
      </w:pPr>
      <w:r>
        <w:rPr>
          <w:rFonts w:hint="eastAsia"/>
          <w:lang w:val="en-US" w:eastAsia="zh-CN"/>
        </w:rPr>
        <w:t>考试</w:t>
      </w:r>
      <w:r>
        <w:rPr>
          <w:rFonts w:hint="eastAsia"/>
        </w:rPr>
        <w:t>严格按照机构审查委员会的伦理标准进行。特别注重了</w:t>
      </w:r>
      <w:r>
        <w:rPr>
          <w:rFonts w:hint="eastAsia"/>
          <w:lang w:val="en-US" w:eastAsia="zh-CN"/>
        </w:rPr>
        <w:t>规培医师</w:t>
      </w:r>
      <w:r>
        <w:rPr>
          <w:rFonts w:hint="eastAsia"/>
        </w:rPr>
        <w:t>群体的多元文化构成，其中包括来自不同种族和国籍背景的个体。所有</w:t>
      </w:r>
      <w:r>
        <w:rPr>
          <w:rFonts w:hint="eastAsia"/>
          <w:lang w:val="en-US" w:eastAsia="zh-CN"/>
        </w:rPr>
        <w:t>测试</w:t>
      </w:r>
      <w:r>
        <w:rPr>
          <w:rFonts w:hint="eastAsia"/>
        </w:rPr>
        <w:t>内容和沟通协议都经过了严格的审查，以消除带有文化偏见或歧视性的语言，确保为所有参与者提供一个包容且公平的评估环境。</w:t>
      </w:r>
    </w:p>
    <w:p w14:paraId="4739D025">
      <w:pP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0ADDF1"/>
    <w:multiLevelType w:val="singleLevel"/>
    <w:tmpl w:val="B70ADDF1"/>
    <w:lvl w:ilvl="0" w:tentative="0">
      <w:start w:val="8"/>
      <w:numFmt w:val="upperLetter"/>
      <w:suff w:val="space"/>
      <w:lvlText w:val="%1."/>
      <w:lvlJc w:val="left"/>
    </w:lvl>
  </w:abstractNum>
  <w:abstractNum w:abstractNumId="1">
    <w:nsid w:val="688A731C"/>
    <w:multiLevelType w:val="singleLevel"/>
    <w:tmpl w:val="688A731C"/>
    <w:lvl w:ilvl="0" w:tentative="0">
      <w:start w:val="4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DF4E3C"/>
    <w:rsid w:val="181B0A50"/>
    <w:rsid w:val="341847E7"/>
    <w:rsid w:val="575925A3"/>
    <w:rsid w:val="67BC0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1078</Words>
  <Characters>1310</Characters>
  <Lines>0</Lines>
  <Paragraphs>0</Paragraphs>
  <TotalTime>5</TotalTime>
  <ScaleCrop>false</ScaleCrop>
  <LinksUpToDate>false</LinksUpToDate>
  <CharactersWithSpaces>1341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2026-05-14T13:05:00Z</dcterms:created>
  <dc:creator>cheny</dc:creator>
  <cp:lastModifiedBy>陈亚龙</cp:lastModifiedBy>
  <dcterms:modified xsi:type="dcterms:W3CDTF">2026-05-14T13:24:26Z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eyJoZGlkIjoiN2ZkN2U0NTE2ZWZjNGNkOGYwMTY5ODIwZjEyYjUxNGMiLCJ1c2VySWQiOiIxNjQxNDUyNjA5In0=</vt:lpwstr>
  </property>
  <property fmtid="{D5CDD505-2E9C-101B-9397-08002B2CF9AE}" pid="4" name="ICV">
    <vt:lpwstr>04D7A7CFFCC045779FE8754A75E9DA30_12</vt:lpwstr>
  </property>
</Properties>
</file>