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Microsoft YaHei"/>
          <w:b/>
          <w:color w:val="1F4E79"/>
          <w:sz w:val="40"/>
        </w:rPr>
        <w:t>分析与统计 Protocol</w:t>
      </w:r>
    </w:p>
    <w:p>
      <w:pPr>
        <w:jc w:val="center"/>
      </w:pPr>
      <w:r>
        <w:rPr>
          <w:rFonts w:ascii="Arial" w:hAnsi="Arial" w:eastAsia="Microsoft YaHei"/>
          <w:color w:val="595959"/>
          <w:sz w:val="24"/>
        </w:rPr>
        <w:t>MAS 辅助泌尿外科住院医闭卷考试命题研究 · Statistical Analysis Protocol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用途：供研究生、统计师与临床专家在同一套术语下理解每张图表的统计单位、数据来源、模型层级与结果解释边界。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保密说明：本文档采用虚构题目编号和示例，不包含真实来源揭盲信息。真实来源标签应仅在数据库锁定和盲法评分完成后合并。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1. 研究目标与总体设计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本研究目标是验证一个可审计、专家在环的多智能体 AI/MAS 命题工作流，在泌尿外科住院医闭卷考试题目生成中的质量、安全性、认知层级边界、来源辨识、考生表现和总量效率。研究设计为 single-institution, two-setting, randomized two-sequence block-order validation study。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考试由两个 50 题题块组成：一个 MAS-assisted block，一个 human-written block。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Form A = Human → MAS；Form B = MAS → Human。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在 training setting 内进行随机分配；training setting 分为 main 与 non_main。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主终点仅使用最终盲法专家复合质量评分；入卷前 AI 和专家筛查属于工作流安全控制。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training year 作为描述变量或协变量，不作为主要分层推断依据。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2. 盲法、锁库与来源标签管理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所有题目在专家评分和来源辨识阶段均应使用 blinded item_id。真实来源 source_true 不得出现在专家评分表中。专家或学生的“该题是否为 AI”判断应记录为 source_guess，而非 source_true。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文件</w:t>
            </w:r>
          </w:p>
        </w:tc>
        <w:tc>
          <w:tcPr>
            <w:tcW w:type="dxa" w:w="187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可见范围</w:t>
            </w:r>
          </w:p>
        </w:tc>
        <w:tc>
          <w:tcPr>
            <w:tcW w:type="dxa" w:w="374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关键内容</w:t>
            </w:r>
          </w:p>
        </w:tc>
        <w:tc>
          <w:tcPr>
            <w:tcW w:type="dxa" w:w="403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控制原则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blinded_rating_sheet.xlsx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专家可见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题干、选项、答案解析、评分维度、source_guess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不得包含真实来源标签。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source_key.csv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仅数据管理员可见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item_id, source_true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评分锁定后再合并。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item_master.csv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统计团队解盲后可见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source_true, topic, cognitive_level, item_type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用于所有模型的核心桥接表。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3. 数据表与变量字典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数据表</w:t>
            </w:r>
          </w:p>
        </w:tc>
        <w:tc>
          <w:tcPr>
            <w:tcW w:type="dxa" w:w="16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粒度</w:t>
            </w:r>
          </w:p>
        </w:tc>
        <w:tc>
          <w:tcPr>
            <w:tcW w:type="dxa" w:w="475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关键变量</w:t>
            </w:r>
          </w:p>
        </w:tc>
        <w:tc>
          <w:tcPr>
            <w:tcW w:type="dxa" w:w="34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4"/>
              </w:rPr>
              <w:t>用途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item_master.csv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题目级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item_id, source_true, topic, cognitive_level, item_type, has_vignette, case_id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蓝图平衡、模型协变量、所有题目级合并。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expert_ratings.csv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专家×题目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rater_id, item_id, rater_phase, quality_score, dimension_scores, major_defect, critical_defect_type, source_guess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主终点、分维度评分、缺陷判断、来源辨识。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defect_adjudication.csv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题目级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item_id, final_major_defect, final_critical_defect, adjudication_reason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最终缺陷状态；安全分析主图。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responses.csv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考生×题目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student_id, item_id, selected_option, correct, response_time_optional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正确率模型、CTT、题块得分派生。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exam_form_assignment.csv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考生级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student_id, form, order_group, training_setting, training_year, prior_score_optional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随机化平衡、顺序效应、考生协变量。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mas_candidate_log.csv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候选题级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candidate_id, AI_score, AI_flags, pass_AI_threshold, expert_screen_decision, exclusion_reason, final_item_id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MAS 漏斗、AI threshold 效能、安全筛查。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workflow_total_time_cost.csv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工作流级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workflow, total_minutes, total_expert_minutes, total_nonexpert_minutes, api_cost, number_final_items, number_nondefective_items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总量效率与质量校正效率。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text_features.csv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题目级或题目×资料源级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item_id, word_count, readability, ngram_overlap, cosine_similarity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文本重叠、文本新颖性、模板化程度。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4. 终点层级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5"/>
              </w:rPr>
              <w:t>终点层级</w:t>
            </w:r>
          </w:p>
        </w:tc>
        <w:tc>
          <w:tcPr>
            <w:tcW w:type="dxa" w:w="273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5"/>
              </w:rPr>
              <w:t>指标</w:t>
            </w:r>
          </w:p>
        </w:tc>
        <w:tc>
          <w:tcPr>
            <w:tcW w:type="dxa" w:w="223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5"/>
              </w:rPr>
              <w:t>分析粒度</w:t>
            </w:r>
          </w:p>
        </w:tc>
        <w:tc>
          <w:tcPr>
            <w:tcW w:type="dxa" w:w="504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5"/>
              </w:rPr>
              <w:t>判定与解释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Primary endpoint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盲法专家复合质量评分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专家×题目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非劣效：MAS-Human 95%CI 下限 &gt; -δ。推荐 δ=-0.30/5 分，同时报告 -0.20 SD 敏感性解释。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Key safety endpoint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major defect 与 critical defect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题目级裁决；专家×题目敏感性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critical defect 单独报告，可作为 safety veto。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Cognitive boundary endpoint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source×cognitive_level 交互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专家×题目或考生×题目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检验 MAS-Human 差距是否随认知层级增加而扩大。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Examinee performance endpoint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正确率、题块得分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考生×题目；考生×题块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估计难度校准、题块顺序与疲劳效应。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Source detectability endpoint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accuracy、balanced accuracy、sensitivity、specificity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评价者×题目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45%–55% 严格等效区间可用于“接近随机辨识”的判断。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Efficiency endpoint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总人力时间、每道合格题时间、每道无重大缺陷合格题时间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工作流级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只做整卷总量比较；不做人工与 MAS 逐阶段比较。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5. 主终点模型：专家盲法质量评分非劣效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主模型：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quality_score ~ source + topic + cognitive_level + item_type + has_vignette + (1 | rater_id) + (1 | item_id)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核心估计量为调整后的 MAS-Human 均值差。判定规则：95%CI 下限高于预设非劣效界值 -δ，则认为 MAS-assisted items 在盲法专家质量评分上非劣。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虚构例子：共有 100 道最终入卷题，5 位专家评分，共 500 行 expert_ratings。模型估计 MAS-Human=-0.08，95%CI -0.21 到 0.06。若预设 δ=-0.30，则结论为非劣；但如果同批数据出现不可接受 critical defect，结论必须限制为“专家在环条件下可接受”，不能说完全替代人工。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6. 分维度评分与评分一致性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分维度评分可采用与主模型类似的混合模型，按维度分别估计 MAS-Human 差值。若维度较多，建议控制解释重点，不把每个维度都作为主要终点。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连续总分或维度分：ICC 或混合模型方差成分。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有序等级：weighted kappa。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二分类缺陷：kappa、Gwet AC1 或一致率；事件稀少时 Gwet AC1 更稳。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7. major/critical defects 分析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优先使用 adjudicated item-level defect status 作为主图和主要安全表述。专家独立缺陷判断用于一致性和敏感性分析。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若事件数足够，可用混合 logistic：major_defect ~ source + topic + cognitive_level + item_type + (1|rater_id)+(1|item_id)。若不收敛或事件过少，预设降级为题目级风险差、Fisher exact test 或 bootstrap CI。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虚构例子：MAS 50 题中 3 题 final_major_defect，Human 50 题中 1 题。风险差=+4 个百分点。若 CI 很宽，应解释为“不确定性较大”，而不是简单说 MAS 缺陷更多。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8. 认知层级边界分析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认知层级必须在 source unblinding 前冻结，推荐三层：knowledge、application、reasoning。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层级</w:t>
            </w:r>
          </w:p>
        </w:tc>
        <w:tc>
          <w:tcPr>
            <w:tcW w:type="dxa" w:w="460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定义</w:t>
            </w:r>
          </w:p>
        </w:tc>
        <w:tc>
          <w:tcPr>
            <w:tcW w:type="dxa" w:w="576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虚构例子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knowledge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事实、定义、指南推荐、诊断标准、并发症识别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例：无痛性肉眼血尿最常见提示膀胱肿瘤。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application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单病情境下选择检查、诊断或治疗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例：2 cm 肾盂结石、肾功能正常、无感染，选择合适处理策略。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reasoning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复杂病例、多因素权衡、下一步处理、风险收益判断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例：感染性梗阻结石、休克、肾功能恶化，判断先解除梗阻而非单纯碎石。</w:t>
            </w:r>
          </w:p>
        </w:tc>
      </w:tr>
    </w:tbl>
    <w:p/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关键模型：quality_score ~ source*cognitive_level + covariates + (1|rater_id)+(1|item_id)。交互项解释为 MAS-Human 差距是否随认知层级变化。例如：[(MAS-Human)_reasoning - (MAS-Human)_knowledge] = -0.30，表示相对于知识题，推理题中 MAS 相对人工质量差距扩大 0.30 分。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9. 考生作答、题块得分与顺序效应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考生×题目模型：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correct_ij ~ source + block_position + order_group + training_setting + training_year + topic + cognitive_level + (1 | student_id) + (1 | item_id)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认知边界扩展模型：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correct_ij ~ source*cognitive_level + block_position + order_group + training_setting + training_year + topic + (1 | student_id) + (1 | item_id)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题块得分为考生×题块级派生数据，同一考生的 MAS block 与 Human block 可以配对展示。Form A 与 Form B 之间不是配对，只能做独立组比较或回归调整。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10. CTT 探索性测量学分析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指标</w:t>
            </w:r>
          </w:p>
        </w:tc>
        <w:tc>
          <w:tcPr>
            <w:tcW w:type="dxa" w:w="34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计算</w:t>
            </w:r>
          </w:p>
        </w:tc>
        <w:tc>
          <w:tcPr>
            <w:tcW w:type="dxa" w:w="6192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解释边界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difficulty / p-value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答对人数 / 作答人数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数值越高题越容易；不要把 p-value 当统计显著性 p 值。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discrimination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item-rest correlation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该题是否区分总分高低的考生；总分应排除该题本身。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distractor efficiency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有效干扰项数量 / 错误选项总数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有效干扰项可定义为至少 5% 考生或至少 2 名考生选择。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KR-20/alpha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整卷或题块内部一致性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样本量小需 bootstrap CI，解释为探索性。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11. 来源辨识分析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评价者×题目数据中 source_guess 与 source_true 合并后计算 accuracy、balanced accuracy、sensitivity、specificity。若允许“无法判断”，需预设主分析处理方式：作为第三类、作为错误，或排除后敏感性分析。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建议主解释使用 balanced accuracy 和 90%CI，并与 45%–55% 等效区间比较。来源不可辨识只说明评价者无法可靠判断来源，不证明质量相同。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12. 效率与成本分析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由于人工流程通常只有整卷总时间，主文仅比较 workflow-level aggregate metrics。MAS 如果有逐阶段记录，可放 Supplement 描述，但不得与人工流程逐阶段直接比较。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指标</w:t>
            </w:r>
          </w:p>
        </w:tc>
        <w:tc>
          <w:tcPr>
            <w:tcW w:type="dxa" w:w="4320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公式</w:t>
            </w:r>
          </w:p>
        </w:tc>
        <w:tc>
          <w:tcPr>
            <w:tcW w:type="dxa" w:w="460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解释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 human time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total_expert_minutes + total_nonexpert_minutes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总人力投入。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Time per final item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total_human_minutes / number_final_items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每道最终入卷题的人力时间。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Time per nondefective item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total_human_minutes / number_nondefective_items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质量校正效率，推荐作为核心效率指标。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Total cost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expert_cost + nonexpert_cost + api_cost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需预设时薪和 API 成本来源。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13. 缺失数据和异常值处理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专家评分缺失：记录缺失原因；主模型可使用可用评分，敏感性分析可限制于完整评分题目。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考生作答缺失：未作答默认记为 incorrect；若技术性缺失，单独标记并做敏感性分析。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题目被考试后裁定 critical defect：主分析保留并标记；敏感性分析可排除该题，报告对正确率和 CTT 的影响。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极端作答时间如使用：预设截尾规则，例如低于 1 秒或高于 99th percentile 作为异常。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14. 多重性与推断层级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本研究只设置一个 primary endpoint：盲法专家复合质量评分非劣效。其他分析，包括分维度评分、认知层级边界、CTT、来源辨识和效率，均为 key secondary 或 exploratory。解释时应避免把探索性显著性当作确证性结论。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15. 代码、复现与质量控制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1. 锁定 item_master、expert_ratings、responses 和 source_key 的版本号。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2. 在 source unblinding 前冻结 cognitive_level、非劣效界值、主模型和缺失值规则。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3. 所有图表均由分析数据集自动生成，不手工改数。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4. 导出 fig3_item_level.csv、fig3_rater_item_level.csv、fig3_response_level.csv 作为 Figure 3 的可追溯中间表。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5. 每个主要模型保存公式、软件版本、包版本、随机种子和输出日志。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16. 建议的结果报告顺序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1. 先报告题目蓝图和随机化平衡，证明比较基础合理。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2. 报告主终点专家质量非劣效，并立即报告 major/critical defects。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3. 报告认知层级边界，强调 high-complexity reasoning items 的能力边界。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4. 报告来源辨识，避免将不可辨识解释为质量等同。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5. 报告考生表现与顺序效应，说明实际考试中的难度校准。</w:t>
      </w:r>
    </w:p>
    <w:p>
      <w:pPr>
        <w:ind w:left="360" w:hanging="360"/>
      </w:pPr>
      <w:r>
        <w:rPr>
          <w:rFonts w:ascii="Arial" w:hAnsi="Arial" w:eastAsia="Microsoft YaHei"/>
          <w:sz w:val="21"/>
        </w:rPr>
        <w:t>6. 最后报告总量质量校正效率和敏感性分析。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17. 推荐论文句式</w:t>
      </w:r>
    </w:p>
    <w:p>
      <w:pPr>
        <w:pStyle w:val="ListBullet"/>
      </w:pPr>
      <w:r>
        <w:rPr>
          <w:rFonts w:ascii="Arial" w:hAnsi="Arial" w:eastAsia="Microsoft YaHei"/>
          <w:sz w:val="21"/>
        </w:rPr>
        <w:t>Noninferiority was assessed using the adjusted mean difference in blinded expert-rated composite quality scores between MAS-assisted and human-written items.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Cognitive-level analyses were prespecified to identify potential performance boundaries across knowledge recall, clinical application, and higher-order reasoning items.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Critical defects were interpreted as a safety endpoint and were not averaged into the quality score.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Source detectability was interpreted as the ability to identify item origin, not as evidence of quality equivalence.</w:t>
      </w:r>
    </w:p>
    <w:p>
      <w:pPr>
        <w:pStyle w:val="ListBullet"/>
      </w:pPr>
      <w:r>
        <w:rPr>
          <w:rFonts w:ascii="Arial" w:hAnsi="Arial" w:eastAsia="Microsoft YaHei"/>
          <w:sz w:val="21"/>
        </w:rPr>
        <w:t>Efficiency was evaluated using aggregate workflow-level human time and quality-adjusted time per nondefective final item.</w:t>
      </w:r>
    </w:p>
    <w:p>
      <w:pPr>
        <w:pStyle w:val="Heading1"/>
      </w:pPr>
      <w:r>
        <w:rPr>
          <w:rFonts w:ascii="Arial" w:hAnsi="Arial" w:eastAsia="Microsoft YaHei"/>
          <w:b/>
          <w:color w:val="1F4E79"/>
          <w:sz w:val="32"/>
        </w:rPr>
        <w:t>18. 交付给研究生的数据理解口诀</w:t>
      </w:r>
    </w:p>
    <w:p>
      <w:pPr>
        <w:spacing w:after="80" w:line="252" w:lineRule="auto"/>
      </w:pPr>
      <w:r>
        <w:rPr>
          <w:rFonts w:ascii="Arial" w:hAnsi="Arial" w:eastAsia="Microsoft YaHei"/>
          <w:b w:val="0"/>
          <w:sz w:val="21"/>
        </w:rPr>
        <w:t>先问粒度，再选模型；先锁来源，再做盲评；先看安全，再谈非劣；先调顺序，再比正确率；先做总量，再谈效率。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