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C2E4A"/>
          <w:sz w:val="48"/>
          <w:szCs w:val="48"/>
        </w:rPr>
        <w:t xml:space="preserve">Prism Advisor Workspace</w:t>
      </w:r>
    </w:p>
    <w:p>
      <w:pPr>
        <w:spacing w:after="60"/>
      </w:pPr>
      <w:r>
        <w:rPr>
          <w:color w:val="A98C4B"/>
          <w:sz w:val="26"/>
          <w:szCs w:val="26"/>
        </w:rPr>
        <w:t xml:space="preserve">Factsheet &amp; Positioning Paper</w:t>
      </w:r>
    </w:p>
    <w:p>
      <w:pPr>
        <w:pBdr>
          <w:bottom w:val="single" w:color="A98C4B" w:sz="6" w:space="1"/>
        </w:pBdr>
        <w:spacing w:after="120" w:before="60"/>
      </w:pPr>
    </w:p>
    <w:p>
      <w:pPr>
        <w:spacing w:after="120"/>
      </w:pPr>
      <w:r>
        <w:rPr>
          <w:i/>
          <w:iCs/>
          <w:color w:val="5D7A8E"/>
        </w:rPr>
        <w:t xml:space="preserve">Document purpose: a single, accurate source for website copy, sales decks, one-pagers, and outreach. Everything below reflects what is actually built and live. Items still in development are marked (roadmap) so marketing never overstates.</w:t>
      </w:r>
    </w:p>
    <w:p>
      <w:pPr>
        <w:pStyle w:val="Heading1"/>
      </w:pPr>
      <w:r>
        <w:t xml:space="preserve">1. One-liner &amp; elevator pitch</w:t>
      </w:r>
    </w:p>
    <w:p>
      <w:pPr>
        <w:spacing w:after="80"/>
      </w:pPr>
      <w:r>
        <w:rPr>
          <w:b/>
          <w:bCs/>
        </w:rPr>
        <w:t xml:space="preserve">One-liner: </w:t>
      </w:r>
      <w:r>
        <w:t xml:space="preserve">Prism is the lifecycle-planning workspace where RIAs build coordinated client plans, run their book, and keep a compliance-grade record — in one place.</w:t>
      </w:r>
    </w:p>
    <w:p>
      <w:r>
        <w:rPr>
          <w:b/>
          <w:bCs/>
        </w:rPr>
        <w:t xml:space="preserve">Elevator pitch: </w:t>
      </w:r>
      <w:r>
        <w:t xml:space="preserve">Most advisory firms stitch together a planning tool, a CRM, a portfolio reporter, a billing system, and a pile of spreadsheets. Prism unifies the relationship: a guided seven-phase financial roadmap clients actually engage with, an advisor command center for the whole book, and a firm-admin layer for revenue and compliance — built on a multi-tenant, row-level-secured foundation with an append-only audit trail from day one.</w:t>
      </w:r>
    </w:p>
    <w:p>
      <w:pPr>
        <w:pStyle w:val="Heading1"/>
      </w:pPr>
      <w:r>
        <w:t xml:space="preserve">2. Who it’s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Primary: </w:t>
      </w:r>
      <w:r>
        <w:t xml:space="preserve"> independent and small/mid-size RIAs (1–50 advisors) who want planning + CRM + reporting + billing without integrating five vendors.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Buyer personas: </w:t>
      </w:r>
      <w:r>
        <w:t xml:space="preserve"> the solo advisor (look institutional without the overhead), the growing practice (workflow + scale), and the firm administrator / CCO (oversight, billing, audit trail).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client is a first-class user too — Prism is one of the few advisor tools where the client-facing experience is a feature, not an afterthought.</w:t>
      </w:r>
    </w:p>
    <w:p>
      <w:pPr>
        <w:pStyle w:val="Heading1"/>
      </w:pPr>
      <w:r>
        <w:t xml:space="preserve">3. The core idea — “Wealth Horizons”</w:t>
      </w:r>
    </w:p>
    <w:p>
      <w:pPr>
        <w:spacing w:after="120"/>
      </w:pPr>
      <w:r>
        <w:t xml:space="preserve">Prism organizes every household’s financial life into a seven-phase lifecycle roadmap, advanced collaboratively with the advisor: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Foundation</w:t>
      </w:r>
      <w:r>
        <w:t xml:space="preserve"> — stabilize cash flow and the household ledger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Liquidity Reserve</w:t>
      </w:r>
      <w:r>
        <w:t xml:space="preserve"> — build the protective cash cushion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Liability Optimization</w:t>
      </w:r>
      <w:r>
        <w:t xml:space="preserve"> — retire high-cost debt (avalanche)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Tax-Advantaged Foundations</w:t>
      </w:r>
      <w:r>
        <w:t xml:space="preserve"> — maximize the HSA and sheltered space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Retirement Sleeve Construction</w:t>
      </w:r>
      <w:r>
        <w:t xml:space="preserve"> — asset location across accounts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Capital Deployment</w:t>
      </w:r>
      <w:r>
        <w:t xml:space="preserve"> — taxable investing, tax-loss harvesting, Monte Carlo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Legacy &amp; Drawdown</w:t>
      </w:r>
      <w:r>
        <w:t xml:space="preserve"> — Roth-conversion ladders and estate structuring</w:t>
      </w:r>
    </w:p>
    <w:p>
      <w:pPr>
        <w:spacing w:after="120"/>
      </w:pPr>
      <w:r>
        <w:t xml:space="preserve">Each phase carries milestones and interactive tools, so the plan is a living thing the client returns to — not a PDF that dies in an inbox.</w:t>
      </w:r>
    </w:p>
    <w:p>
      <w:pPr>
        <w:pStyle w:val="Heading1"/>
      </w:pPr>
      <w:r>
        <w:t xml:space="preserve">4. What it does</w:t>
      </w:r>
    </w:p>
    <w:p>
      <w:pPr>
        <w:pStyle w:val="Heading2"/>
      </w:pPr>
      <w:r>
        <w:t xml:space="preserve">Planning &amp; analysis</w:t>
      </w:r>
    </w:p>
    <w:p>
      <w:pPr>
        <w:spacing w:after="120"/>
      </w:pPr>
      <w:r>
        <w:t xml:space="preserve">Nine advisor-grade calculators embedded in the roadmap: cash-flow, liquidity reserve, debt avalanche, HSA, asset location, Monte Carlo retirement projection, Roth-conversion ladder, estate &amp; generational modeling, and tax-loss harvesting.</w:t>
      </w:r>
    </w:p>
    <w:p>
      <w:pPr>
        <w:pStyle w:val="Heading2"/>
      </w:pPr>
      <w:r>
        <w:t xml:space="preserve">Client experience</w:t>
      </w:r>
    </w:p>
    <w:p>
      <w:pPr>
        <w:spacing w:after="120"/>
      </w:pPr>
      <w:r>
        <w:t xml:space="preserve">A branded client portal: the live roadmap, real-time portfolio summary, “discuss with your advisor” threads on any milestone, a request-a-meeting flow, and self-serve performance and milestone reports.</w:t>
      </w:r>
    </w:p>
    <w:p>
      <w:pPr>
        <w:pStyle w:val="Heading2"/>
      </w:pPr>
      <w:r>
        <w:t xml:space="preserve">Advisor command center</w:t>
      </w:r>
    </w:p>
    <w:p>
      <w:pPr>
        <w:spacing w:after="120"/>
      </w:pPr>
      <w:r>
        <w:t xml:space="preserve">Client roster (searchable, sortable, paginated, CSV export), an intelligent alert engine (cash drag, stale relationships), a flagged-question inbox with two-way reply threads, and a per-client workspace spanning accounts, meeting log, tasks, interaction timeline, and performance.</w:t>
      </w:r>
    </w:p>
    <w:p>
      <w:pPr>
        <w:pStyle w:val="Heading2"/>
      </w:pPr>
      <w:r>
        <w:t xml:space="preserve">CRM &amp; workflow</w:t>
      </w:r>
    </w:p>
    <w:p>
      <w:pPr>
        <w:spacing w:after="120"/>
      </w:pPr>
      <w:r>
        <w:t xml:space="preserve">Tasks with priorities, due dates, and cross-advisor assignment; one-click review cadences; a client pipeline board (lead → onboarding → active → review-due); and a unified interaction timeline.</w:t>
      </w:r>
    </w:p>
    <w:p>
      <w:pPr>
        <w:pStyle w:val="Heading2"/>
      </w:pPr>
      <w:r>
        <w:t xml:space="preserve">Account aggregation</w:t>
      </w:r>
    </w:p>
    <w:p>
      <w:pPr>
        <w:spacing w:after="120"/>
      </w:pPr>
      <w:r>
        <w:t xml:space="preserve">Plaid account linking and a daily balance-history time-series that powers performance and billing. (Custodian file/API feeds — Schwab/Fidelity/Yodlee/Flinks — and holdings-level data are roadmap.)</w:t>
      </w:r>
    </w:p>
    <w:p>
      <w:pPr>
        <w:pStyle w:val="Heading2"/>
      </w:pPr>
      <w:r>
        <w:t xml:space="preserve">Performance reporting</w:t>
      </w:r>
    </w:p>
    <w:p>
      <w:pPr>
        <w:spacing w:after="120"/>
      </w:pPr>
      <w:r>
        <w:t xml:space="preserve">Time-weighted return (Modified Dietz) across standard periods, benchmark-relative comparison, account-mix breakdown, a portfolio-value chart, and a branded client-facing PDF.</w:t>
      </w:r>
    </w:p>
    <w:p>
      <w:pPr>
        <w:pStyle w:val="Heading2"/>
      </w:pPr>
      <w:r>
        <w:t xml:space="preserve">Billing — two engines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SaaS subscriptions</w:t>
      </w:r>
      <w:r>
        <w:t xml:space="preserve"> for the firm (Stripe Checkout + webhooks).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Advisory-fee billing</w:t>
      </w:r>
      <w:r>
        <w:t xml:space="preserve"> for clients: tiered/flat fee schedules, frequency-aware automated invoicing (monthly/quarterly/annual), an approval workflow, branded invoice PDFs, and a firm revenue dashboard (projected ARR + realized fees).</w:t>
      </w:r>
    </w:p>
    <w:p>
      <w:pPr>
        <w:pStyle w:val="Heading2"/>
      </w:pPr>
      <w:r>
        <w:t xml:space="preserve">Compliance &amp; trust</w:t>
      </w:r>
    </w:p>
    <w:p>
      <w:pPr>
        <w:spacing w:after="120"/>
      </w:pPr>
      <w:r>
        <w:t xml:space="preserve">An append-only audit trail of every material action, records-retained-not-erased soft deletes, immutable profile versioning, a nightly archive of the audit trail to private storage, per-client compliance export, and optional two-factor authentication — all designed around SEC Rule 17a-3 / 17a-4 principles.</w:t>
      </w:r>
    </w:p>
    <w:p>
      <w:pPr>
        <w:pStyle w:val="Heading2"/>
      </w:pPr>
      <w:r>
        <w:t xml:space="preserve">Onboarding &amp; growth</w:t>
      </w:r>
    </w:p>
    <w:p>
      <w:pPr>
        <w:spacing w:after="120"/>
      </w:pPr>
      <w:r>
        <w:t xml:space="preserve">A demo-first landing page (prospects explore a fully populated workspace with no signup), true self-serve signup that provisions a firm and its first admin automatically, and sign-in via Google, password, or magic link.</w:t>
      </w:r>
    </w:p>
    <w:p>
      <w:pPr>
        <w:pStyle w:val="Heading1"/>
      </w:pPr>
      <w:r>
        <w:t xml:space="preserve">5. Why it’s different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client side is real. </w:t>
      </w:r>
      <w:r>
        <w:t xml:space="preserve"> Engagement lives where the relationship lives — clients use the roadmap, ask questions in-context, and pull their own reports.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Compliance is the foundation, not a bolt-on. </w:t>
      </w:r>
      <w:r>
        <w:t xml:space="preserve"> Row-level security, an append-only audit trail, and retention were there from the first migration — not retrofitted.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One workspace, not five integrations. </w:t>
      </w:r>
      <w:r>
        <w:t xml:space="preserve"> Planning, CRM, aggregation, performance, and billing share one data model and one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Institutional feel for any size firm. </w:t>
      </w:r>
      <w:r>
        <w:t xml:space="preserve"> A solo advisor presents like a large 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Lean, fast, and private. </w:t>
      </w:r>
      <w:r>
        <w:t xml:space="preserve"> A minified single-bundle app on a global edge CDN, an enforced Content-Security-Policy, self-hosted libraries, and no third-party trackers.</w:t>
      </w:r>
    </w:p>
    <w:p>
      <w:pPr>
        <w:pStyle w:val="Heading1"/>
      </w:pPr>
      <w:r>
        <w:t xml:space="preserve">6. Security &amp; compliance posture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Multi-tenant isolation</w:t>
      </w:r>
      <w:r>
        <w:t xml:space="preserve"> via Postgres row-level security — every advisor sees only their book; firm admins see only their firm.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Authentication: </w:t>
      </w:r>
      <w:r>
        <w:t xml:space="preserve"> email/password, magic link, Google OAuth, and TOTP multi-factor with assurance-level enforcement.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Audit trail: </w:t>
      </w:r>
      <w:r>
        <w:t xml:space="preserve"> append-only, immutable, with a firm-admin viewer and a nightly off-table archive.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Records retention: </w:t>
      </w:r>
      <w:r>
        <w:t xml:space="preserve"> soft-deletes (records archived, never erased) aligned to 17a-4; immutable profile version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Transport &amp; app hardening: </w:t>
      </w:r>
      <w:r>
        <w:t xml:space="preserve"> HTTPS-only with HSTS, an enforced CSP, sanitized rendering, and a CI gate on every change.</w:t>
      </w:r>
    </w:p>
    <w:p>
      <w:pPr>
        <w:spacing w:after="120"/>
      </w:pPr>
      <w:r>
        <w:rPr>
          <w:i/>
          <w:iCs/>
          <w:color w:val="5D7A8E"/>
        </w:rPr>
        <w:t xml:space="preserve">Honest framing for legal review: Prism provides the tooling designed around SEC 17a-3/17a-4 record-making and retention principles; full regulatory compliance is a function of the firm’s configuration, a WORM/object-lock storage tier, and the firm’s own supervisory procedures.</w:t>
      </w:r>
    </w:p>
    <w:p>
      <w:pPr>
        <w:pStyle w:val="Heading1"/>
      </w:pPr>
      <w:r>
        <w:t xml:space="preserve">7. Packaging &amp; pricing (as presented today)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60"/>
        <w:gridCol w:w="3300"/>
      </w:tblGrid>
      <w:tr>
        <w:tc>
          <w:tcPr>
            <w:tcW w:type="dxa" w:w="17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1C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36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1C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3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1C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 (indicative)</w:t>
            </w:r>
          </w:p>
        </w:tc>
      </w:tr>
      <w:tr>
        <w:tc>
          <w:tcPr>
            <w:tcW w:type="dxa" w:w="17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4258"/>
                <w:sz w:val="20"/>
                <w:szCs w:val="20"/>
              </w:rPr>
              <w:t xml:space="preserve">Solo</w:t>
            </w:r>
          </w:p>
        </w:tc>
        <w:tc>
          <w:tcPr>
            <w:tcW w:type="dxa" w:w="436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Independent advisor getting started</w:t>
            </w:r>
          </w:p>
        </w:tc>
        <w:tc>
          <w:tcPr>
            <w:tcW w:type="dxa" w:w="33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Free in preview · up to 25 households</w:t>
            </w:r>
          </w:p>
        </w:tc>
      </w:tr>
      <w:tr>
        <w:tc>
          <w:tcPr>
            <w:tcW w:type="dxa" w:w="17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4258"/>
                <w:sz w:val="20"/>
                <w:szCs w:val="20"/>
              </w:rPr>
              <w:t xml:space="preserve">Growth</w:t>
            </w:r>
          </w:p>
        </w:tc>
        <w:tc>
          <w:tcPr>
            <w:tcW w:type="dxa" w:w="436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Growing practices with a full book</w:t>
            </w:r>
          </w:p>
        </w:tc>
        <w:tc>
          <w:tcPr>
            <w:tcW w:type="dxa" w:w="33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$49 / advisor / mo · unlimited clients, aggregation, performance, priority support</w:t>
            </w:r>
          </w:p>
        </w:tc>
      </w:tr>
      <w:tr>
        <w:tc>
          <w:tcPr>
            <w:tcW w:type="dxa" w:w="17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D425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36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Multi-advisor firms with compliance teams</w:t>
            </w:r>
          </w:p>
        </w:tc>
        <w:tc>
          <w:tcPr>
            <w:tcW w:type="dxa" w:w="3300"/>
            <w:tcBorders>
              <w:top w:val="single" w:color="D4CCB7" w:sz="1"/>
              <w:left w:val="single" w:color="D4CCB7" w:sz="1"/>
              <w:bottom w:val="single" w:color="D4CCB7" w:sz="1"/>
              <w:right w:val="single" w:color="D4CCB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4258"/>
                <w:sz w:val="20"/>
                <w:szCs w:val="20"/>
              </w:rPr>
              <w:t xml:space="preserve">From $99 / advisor / mo · annual, 5-seat min · firm-admin, billing automation, WORM retention, SSO (roadmap)</w:t>
            </w:r>
          </w:p>
        </w:tc>
      </w:tr>
    </w:tbl>
    <w:p>
      <w:pPr>
        <w:spacing w:before="100"/>
      </w:pPr>
      <w:r>
        <w:rPr>
          <w:i/>
          <w:iCs/>
          <w:color w:val="5D7A8E"/>
          <w:sz w:val="18"/>
          <w:szCs w:val="18"/>
        </w:rPr>
        <w:t xml:space="preserve">Pricing is indicative during preview; the public funnel currently captures interest and provisions free workspaces.</w:t>
      </w:r>
    </w:p>
    <w:p>
      <w:pPr>
        <w:pStyle w:val="Heading1"/>
      </w:pPr>
      <w:r>
        <w:t xml:space="preserve">8. Proof points marketing can cite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Seven-phase planning framework with nine embedded calculators.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Multi-tenant architecture with row-level security across every table.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Append-only audit trail plus a nightly compliance archive.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Time-weighted (Modified Dietz) performance with benchmark comparison.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advisory-fee billing with frequency-aware invoicing.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Self-serve onboarding plus a no-signup live demo.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Runs on a global edge CDN with an enforced Content-Security-Policy.</w:t>
      </w:r>
    </w:p>
    <w:p>
      <w:pPr>
        <w:pStyle w:val="Heading1"/>
      </w:pPr>
      <w:r>
        <w:t xml:space="preserve">9. Suggested messaging pillars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“Your clients’ wealth, refracted into seven horizons.”</w:t>
      </w:r>
      <w:r>
        <w:t xml:space="preserve"> — the planning narrative.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“Compliance-grade from the first click.”</w:t>
      </w:r>
      <w:r>
        <w:t xml:space="preserve"> — trust &amp; audit narrative.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“One workspace. Not five subscriptions.”</w:t>
      </w:r>
      <w:r>
        <w:t xml:space="preserve"> — consolidation/value narrative.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“See it before you sign up.”</w:t>
      </w:r>
      <w:r>
        <w:t xml:space="preserve"> — the demo-led funnel.</w:t>
      </w:r>
    </w:p>
    <w:p>
      <w:pPr>
        <w:pStyle w:val="Heading1"/>
      </w:pPr>
      <w:r>
        <w:t xml:space="preserve">10. Honest “not yet” list</w:t>
      </w:r>
    </w:p>
    <w:p>
      <w:pPr>
        <w:spacing w:after="120"/>
      </w:pPr>
      <w:r>
        <w:t xml:space="preserve">Keep these out of public claims until shipped: custodian data feeds (Schwab/Fidelity/Yodlee/Flinks), holdings-level / per-security performance attribution, live market-data benchmarks, external calendar sync (Google/Outlook/Calendly), SSO/SAML, and object-lock WORM storage are on the roadmap and should be described as “coming” rather than available.</w:t>
      </w:r>
    </w:p>
    <w:p>
      <w:pPr>
        <w:pBdr>
          <w:bottom w:val="single" w:color="A98C4B" w:sz="6" w:space="1"/>
        </w:pBdr>
        <w:spacing w:after="120" w:before="60"/>
      </w:pPr>
    </w:p>
    <w:p>
      <w:pPr>
        <w:spacing w:after="120"/>
      </w:pPr>
      <w:r>
        <w:rPr>
          <w:i/>
          <w:iCs/>
          <w:color w:val="5D7A8E"/>
        </w:rPr>
        <w:t xml:space="preserve">Prepared as an internal marketing source. Keep claims aligned to the “what it does” and “facts” sections; route anything in §10 through product before publishing.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D7A8E"/>
        <w:sz w:val="16"/>
        <w:szCs w:val="16"/>
      </w:rPr>
      <w:t xml:space="preserve">Marketing source · keep claims aligned to §4 &amp; §8</w:t>
    </w:r>
    <w:r>
      <w:rPr>
        <w:sz w:val="16"/>
        <w:szCs w:val="16"/>
      </w:rPr>
      <w:t xml:space="preserve">	</w:t>
    </w:r>
    <w:r>
      <w:rPr>
        <w:color w:val="5D7A8E"/>
        <w:sz w:val="16"/>
        <w:szCs w:val="16"/>
      </w:rPr>
      <w:t xml:space="preserve">Page </w:t>
    </w:r>
    <w:r>
      <w:rPr>
        <w:color w:val="5D7A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7A8E"/>
        <w:sz w:val="16"/>
        <w:szCs w:val="16"/>
      </w:rPr>
      <w:t xml:space="preserve">Prism Advisor Workspace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425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C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A98C4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Advisor Workspace — Factsheet</dc:title>
  <dc:creator>Prism Advisor Workspace</dc:creator>
  <cp:lastModifiedBy>Un-named</cp:lastModifiedBy>
  <cp:revision>1</cp:revision>
  <dcterms:created xsi:type="dcterms:W3CDTF">2026-05-30T18:10:08.748Z</dcterms:created>
  <dcterms:modified xsi:type="dcterms:W3CDTF">2026-05-30T18:10:08.750Z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