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1qgccds77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Proposal: Broadcom &amp; Verizon Partnership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y6ek52uh5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Broadcom proposes a strategic partnership with Verizon to enhance the integration of network and application layers, leveraging Broadcom's expertise in application automation and AI-driven insights. This collaboration will address Verizon's challenges in selling licensed spectrum to private networks, positioning Broadcom as a key differentiator in the market.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3imb4572f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Broadcom is the Ideal Partner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Non-Competitive Alignment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and Microsoft Azure</w:t>
      </w:r>
      <w:r w:rsidDel="00000000" w:rsidR="00000000" w:rsidRPr="00000000">
        <w:rPr>
          <w:rtl w:val="0"/>
        </w:rPr>
        <w:t xml:space="preserve"> are competitors to Verizon in the Telco services space. Broadcom, however, complements Verizon's offerings without competing, making us the ideal partner to bridge the network and application layers.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Struggles with Licensed Spectrum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Verizon has faced difficulties in marketing and selling licensed spectrum to private networks. Broadcom's advanced solutions can transform this challenge into an opportunity.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Broadcom's Expertise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Layer Mastery</w:t>
      </w:r>
      <w:r w:rsidDel="00000000" w:rsidR="00000000" w:rsidRPr="00000000">
        <w:rPr>
          <w:rtl w:val="0"/>
        </w:rPr>
        <w:t xml:space="preserve">: Broadcom\VMware excel in automating the application layer, providing robust SLA management on demand.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 Capabilities</w:t>
      </w:r>
      <w:r w:rsidDel="00000000" w:rsidR="00000000" w:rsidRPr="00000000">
        <w:rPr>
          <w:rtl w:val="0"/>
        </w:rPr>
        <w:t xml:space="preserve">: Our technologies enable seamless integration from network to application layers, ensuring optimal performance and user experience.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jyu2s3qq2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Overview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SLA Management for Edge Devices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Broadcom's AI-driven solutions can identify triggers such as user experience, transaction data, AI insights and device performance to dynamically adjust SLAs, ensuring optimal service levels.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OPEX Model for Private Networks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pay-as-you-go operational expenditure (OPEX) model for private licensed spectrum services, allowing businesses to scale without significant upfront investments.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Chargeback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Verizon to implement a chargeback system based on device services, enhancing monetization opportunities.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v4pht6kud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Examples and Use Cases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User Experience:</w:t>
        <w:br w:type="textWrapping"/>
      </w:r>
      <w:r w:rsidDel="00000000" w:rsidR="00000000" w:rsidRPr="00000000">
        <w:rPr>
          <w:rtl w:val="0"/>
        </w:rPr>
        <w:t xml:space="preserve">AI-driven adjustments to network parameters ensure that critical applications receive the exact resources they need in real-time, consistently delivering premium performance.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Industrial Automation:</w:t>
        <w:br w:type="textWrapping"/>
      </w:r>
      <w:r w:rsidDel="00000000" w:rsidR="00000000" w:rsidRPr="00000000">
        <w:rPr>
          <w:rtl w:val="0"/>
        </w:rPr>
        <w:t xml:space="preserve">In manufacturing settings, private networks allow customers to create policies that automatically adjust SLAs for devices. This enables real-time optimization of network resources, fine-tuning performance to enhance production line efficiency and reduce operational delays.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tdlpxtepz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Pilot Collaboration with GE Healthcare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Broadcom and Verizon have initiated a collaboration with GE Healthcare's Innovation Division to pilot these advanced technologies. This project will test futuristic applications such as moving devices between network slices to achieve better outcomes using AI.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4thnlpeygq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partnership between Broadcom and Verizon presents a unique opportunity to transform the approach to private licensed spectrum. By combining Verizon's network capabilities with Broadcom's expertise in application automation and AI, we can deliver a differentiated solution that drives new revenue streams and enhances user experience. This collaboration sets the stage for pioneering advancements in network technology, positioning both companies at the forefront of innovation.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1ou2oeiez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Verizon's Investment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Verizon won the largest share of the FCC's C-Band auction, securing 140 to 200 MHz of spectrum in most markets and spent about $45.5 billion on 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AT&amp;T's Acquisition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AT&amp;T acquired around 80 MHz of the C-Band spectrum, investing approximately $23.4 billion.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T-Mobile's Purchase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T-Mobile secured around 40 MHz of the spectrum for about $9.3 billion.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Spectrum Value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Verizon's purchase was more expensive due to securing the most valuable and larger blocks of the mid-band C-Band spectrum, offering a significant advantage in urban and suburban areas.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Planning</w:t>
      </w:r>
      <w:r w:rsidDel="00000000" w:rsidR="00000000" w:rsidRPr="00000000">
        <w:rPr>
          <w:rtl w:val="0"/>
        </w:rPr>
        <w:t xml:space="preserve">: Develop a comprehensive plan outlining the deployment and integration phases.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Allocation</w:t>
      </w:r>
      <w:r w:rsidDel="00000000" w:rsidR="00000000" w:rsidRPr="00000000">
        <w:rPr>
          <w:rtl w:val="0"/>
        </w:rPr>
        <w:t xml:space="preserve">: Assign dedicated teams from both companies to oversee the collaboration.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Execution</w:t>
      </w:r>
      <w:r w:rsidDel="00000000" w:rsidR="00000000" w:rsidRPr="00000000">
        <w:rPr>
          <w:rtl w:val="0"/>
        </w:rPr>
        <w:t xml:space="preserve">: Implement the pilot project with GE Healthcare and gather insights for broader deployment.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capitalize on this partnership to redefine network and application integration, creating unparalleled value for our clients and setting a new industry standard.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