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pr5bz5yjkoj" w:id="0"/>
      <w:bookmarkEnd w:id="0"/>
      <w:r w:rsidDel="00000000" w:rsidR="00000000" w:rsidRPr="00000000">
        <w:rPr>
          <w:b w:val="1"/>
          <w:sz w:val="46"/>
          <w:szCs w:val="46"/>
          <w:rtl w:val="0"/>
        </w:rPr>
        <w:t xml:space="preserve">The Importance of Granular Policy Identification and Automation in Network Management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v8edqw6owu5"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As global connectivity continues to expand, the need for dynamic and precise control over network resources becomes paramount. Traditional, static Service Level Agreements (SLAs) are no longer sufficient in a world driven by real-time data, diverse use cases, and advanced IoT devices. By employing a first principles approach, we can break down network control into its most fundamental components: managing the electromagnetic spectrum at a granular level, from packets to transactions, users, and individual devices. Automating these layers can revolutionize how we manage network resources, drive efficiency, and monetize spectrum usage across industries.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8qbtvafirlc" w:id="2"/>
      <w:bookmarkEnd w:id="2"/>
      <w:r w:rsidDel="00000000" w:rsidR="00000000" w:rsidRPr="00000000">
        <w:rPr>
          <w:b w:val="1"/>
          <w:color w:val="000000"/>
          <w:sz w:val="26"/>
          <w:szCs w:val="26"/>
          <w:rtl w:val="0"/>
        </w:rPr>
        <w:t xml:space="preserve">Granular Automation: Transaction, User, and Device Layers</w:t>
      </w:r>
    </w:p>
    <w:p w:rsidR="00000000" w:rsidDel="00000000" w:rsidP="00000000" w:rsidRDefault="00000000" w:rsidRPr="00000000" w14:paraId="00000005">
      <w:pPr>
        <w:spacing w:after="240" w:before="240" w:lineRule="auto"/>
        <w:rPr/>
      </w:pPr>
      <w:r w:rsidDel="00000000" w:rsidR="00000000" w:rsidRPr="00000000">
        <w:rPr>
          <w:rtl w:val="0"/>
        </w:rPr>
        <w:t xml:space="preserve">Granular automation involves leveraging technology to manipulate and manage data packets within the electromagnetic spectrum based on specific triggers at different layers: transaction, user, and device.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Transaction Layer</w:t>
      </w:r>
      <w:r w:rsidDel="00000000" w:rsidR="00000000" w:rsidRPr="00000000">
        <w:rPr>
          <w:rtl w:val="0"/>
        </w:rPr>
        <w:t xml:space="preserve">: Automating policies at the transaction layer allows us to dynamically adjust network parameters in response to real-time needs. For example, consider a user opting to pay for a premium experience during a high-demand period, such as streaming live sports or participating in a virtual conference. With precise policy adjustments, we can instantly allocate bandwidth and prioritize the transaction, ensuring that the user experiences a superior service level.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User Layer</w:t>
      </w:r>
      <w:r w:rsidDel="00000000" w:rsidR="00000000" w:rsidRPr="00000000">
        <w:rPr>
          <w:rtl w:val="0"/>
        </w:rPr>
        <w:t xml:space="preserve">: At the user level, policies can be dynamically managed based on the user's profile and priority. For instance, when a critical user, such as a corporate executive or emergency responder, logs in, the system can automatically assign them to a high-priority network slice to guarantee connectivity and low latency. This approach ensures that network resources are aligned with the value and importance of the user, providing a tailored experience that meets their needs.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Device Layer</w:t>
      </w:r>
      <w:r w:rsidDel="00000000" w:rsidR="00000000" w:rsidRPr="00000000">
        <w:rPr>
          <w:rtl w:val="0"/>
        </w:rPr>
        <w:t xml:space="preserve">: Granular control at the device level is crucial for industries reliant on IoT and real-time data processing. For example, in a smart city environment, sensors may require instantaneous adjustments in bandwidth during emergencies, such as when air quality sensors detect hazardous conditions. By automating device-level policies, the network can seamlessly adjust the service level for these devices, ensuring rapid data transmission and enabling timely responses.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chc3kkdrozx" w:id="3"/>
      <w:bookmarkEnd w:id="3"/>
      <w:r w:rsidDel="00000000" w:rsidR="00000000" w:rsidRPr="00000000">
        <w:rPr>
          <w:b w:val="1"/>
          <w:color w:val="000000"/>
          <w:sz w:val="26"/>
          <w:szCs w:val="26"/>
          <w:rtl w:val="0"/>
        </w:rPr>
        <w:t xml:space="preserve">Monetization Opportunities through Granular Policy Control</w:t>
      </w:r>
    </w:p>
    <w:p w:rsidR="00000000" w:rsidDel="00000000" w:rsidP="00000000" w:rsidRDefault="00000000" w:rsidRPr="00000000" w14:paraId="0000000A">
      <w:pPr>
        <w:spacing w:after="240" w:before="240" w:lineRule="auto"/>
        <w:rPr/>
      </w:pPr>
      <w:r w:rsidDel="00000000" w:rsidR="00000000" w:rsidRPr="00000000">
        <w:rPr>
          <w:rtl w:val="0"/>
        </w:rPr>
        <w:t xml:space="preserve">With granular policy automation, monetization becomes more effective and strategic. By enabling dynamic control over spectrum resources, service providers can move away from rigid pricing models and adopt an operational expenditure (OPEX) model. This allows for a pay-as-you-go structure where businesses pay based on their usage and SLA requirements, creating new opportunities for revenue generation. Industries such as healthcare, automotive, and emergency services can benefit significantly by paying for network slices that are optimized for their specific needs.</w:t>
      </w:r>
    </w:p>
    <w:p w:rsidR="00000000" w:rsidDel="00000000" w:rsidP="00000000" w:rsidRDefault="00000000" w:rsidRPr="00000000" w14:paraId="0000000B">
      <w:pPr>
        <w:spacing w:after="240" w:before="240" w:lineRule="auto"/>
        <w:rPr/>
      </w:pPr>
      <w:r w:rsidDel="00000000" w:rsidR="00000000" w:rsidRPr="00000000">
        <w:rPr>
          <w:rtl w:val="0"/>
        </w:rPr>
        <w:t xml:space="preserve">For example, a hospital can purchase premium network slices for its telehealth services, ensuring uninterrupted, secure communication during remote consultations. Similarly, first responders can leverage a dedicated slice for emergency situations, automatically activating the highest-priority settings when a Tesla emergency vehicle enters a critical zone.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ovo3ohdwyn9" w:id="4"/>
      <w:bookmarkEnd w:id="4"/>
      <w:r w:rsidDel="00000000" w:rsidR="00000000" w:rsidRPr="00000000">
        <w:rPr>
          <w:b w:val="1"/>
          <w:color w:val="000000"/>
          <w:sz w:val="26"/>
          <w:szCs w:val="26"/>
          <w:rtl w:val="0"/>
        </w:rPr>
        <w:t xml:space="preserve">Use Case: Emergency Response Systems</w:t>
      </w:r>
    </w:p>
    <w:p w:rsidR="00000000" w:rsidDel="00000000" w:rsidP="00000000" w:rsidRDefault="00000000" w:rsidRPr="00000000" w14:paraId="0000000D">
      <w:pPr>
        <w:spacing w:after="240" w:before="240" w:lineRule="auto"/>
        <w:rPr/>
      </w:pPr>
      <w:r w:rsidDel="00000000" w:rsidR="00000000" w:rsidRPr="00000000">
        <w:rPr>
          <w:rtl w:val="0"/>
        </w:rPr>
        <w:t xml:space="preserve">Consider the scenario of a first responder team equipped with Tesla emergency vehicles. In an emergency, the vehicles' sensors, cameras, and communication systems would need instant access to a dedicated network slice with ultra-low latency and high reliability. By automating policies at a granular level, the entire vehicle fleet, along with the devices carried by personnel, can be dynamically moved to a First Responder Spectrum Slice. This ensures that all communication, data transmission, and control systems operate without delay, facilitating rapid response times and improving overall situational awareness. Such dynamic adjustments reduce human error, enhance coordination, and ultimately save lives.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1zxxayru6sh" w:id="5"/>
      <w:bookmarkEnd w:id="5"/>
      <w:r w:rsidDel="00000000" w:rsidR="00000000" w:rsidRPr="00000000">
        <w:rPr>
          <w:b w:val="1"/>
          <w:color w:val="000000"/>
          <w:sz w:val="26"/>
          <w:szCs w:val="26"/>
          <w:rtl w:val="0"/>
        </w:rPr>
        <w:t xml:space="preserve">Benefits to Society</w:t>
      </w:r>
    </w:p>
    <w:p w:rsidR="00000000" w:rsidDel="00000000" w:rsidP="00000000" w:rsidRDefault="00000000" w:rsidRPr="00000000" w14:paraId="0000000F">
      <w:pPr>
        <w:spacing w:after="240" w:before="240" w:lineRule="auto"/>
        <w:rPr/>
      </w:pPr>
      <w:r w:rsidDel="00000000" w:rsidR="00000000" w:rsidRPr="00000000">
        <w:rPr>
          <w:rtl w:val="0"/>
        </w:rPr>
        <w:t xml:space="preserve">Automating granular policy controls is not just a technological advancement—it is a critical enabler of efficiency, safety, and economic growth. Key benefits include: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Tailored network experiences based on real-time needs ensure that users receive optimal service at all times.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Automating policies at the transaction, user, and device levels allows for precise resource allocation, reducing network congestion and improving performance.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By adopting an OPEX model, businesses can scale their network usage based on need, reducing the financial burden of large upfront investments.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Improved Safety and Responsiveness</w:t>
      </w:r>
      <w:r w:rsidDel="00000000" w:rsidR="00000000" w:rsidRPr="00000000">
        <w:rPr>
          <w:rtl w:val="0"/>
        </w:rPr>
        <w:t xml:space="preserve">: Critical applications, such as emergency response systems, can automatically gain access to high-priority network resources, ensuring reliable and fast communication during crises.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Industry-Specific Customization</w:t>
      </w:r>
      <w:r w:rsidDel="00000000" w:rsidR="00000000" w:rsidRPr="00000000">
        <w:rPr>
          <w:rtl w:val="0"/>
        </w:rPr>
        <w:t xml:space="preserve">: Industries like healthcare, manufacturing, and finance can customize network slices to meet regulatory requirements, optimize operations, and improve data security.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1tx8oiye3jm"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The world is rapidly transitioning to an era where dynamic, automated management of network resources is no longer a luxury but a necessity. By harnessing granular policy automation, we can optimize the electromagnetic spectrum down to the packet level, creating smarter, safer, and more efficient networks for the future. This approach not only unlocks new revenue opportunities but also ensures that critical applications receive the precise network performance they need, driving innovation across verticals and ultimately benefiting society as a whole.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