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02040"/>
          <w:sz w:val="18"/>
        </w:rPr>
        <w:t>OWNERSHIP™  •  ARC NAMING SERVICE</w:t>
      </w:r>
    </w:p>
    <w:p>
      <w:pPr>
        <w:jc w:val="center"/>
      </w:pPr>
      <w:r>
        <w:rPr>
          <w:color w:val="F8D000"/>
          <w:sz w:val="20"/>
        </w:rPr>
        <w:t>────────────────────────────────────────────────────</w:t>
      </w:r>
    </w:p>
    <w:p>
      <w:pPr>
        <w:jc w:val="center"/>
      </w:pPr>
      <w:r>
        <w:rPr>
          <w:rFonts w:ascii="Calibri" w:hAnsi="Calibri"/>
          <w:b/>
          <w:color w:val="002040"/>
          <w:sz w:val="88"/>
        </w:rPr>
        <w:t>Ownership</w:t>
      </w:r>
    </w:p>
    <w:p>
      <w:pPr>
        <w:spacing w:after="40"/>
        <w:jc w:val="center"/>
      </w:pPr>
      <w:r>
        <w:rPr>
          <w:b w:val="0"/>
          <w:i w:val="0"/>
          <w:color w:val="002040"/>
          <w:sz w:val="32"/>
        </w:rPr>
        <w:t>The .arc naming service for Arc</w:t>
      </w:r>
    </w:p>
    <w:p>
      <w:pPr>
        <w:spacing w:after="200"/>
        <w:jc w:val="center"/>
      </w:pPr>
      <w:r>
        <w:rPr>
          <w:b w:val="0"/>
          <w:i w:val="0"/>
          <w:color w:val="3A444E"/>
          <w:sz w:val="21"/>
        </w:rPr>
        <w:t>Human-readable names, self-custodial keys, and identity that lives on-chain —</w:t>
        <w:br/>
        <w:t>no domain, no custodian, no rented building.</w:t>
      </w:r>
    </w:p>
    <w:p>
      <w:pPr>
        <w:jc w:val="center"/>
      </w:pPr>
      <w:r>
        <w:rPr>
          <w:b w:val="0"/>
          <w:i w:val="0"/>
          <w:color w:val="3A444E"/>
          <w:sz w:val="18"/>
        </w:rPr>
        <w:t>WHITEPAPER  •  v1.0  •  October 2026</w:t>
      </w:r>
    </w:p>
    <w:p>
      <w:pPr>
        <w:jc w:val="center"/>
      </w:pPr>
      <w:r>
        <w:rPr>
          <w:b/>
          <w:i w:val="0"/>
          <w:color w:val="002040"/>
          <w:sz w:val="18"/>
        </w:rPr>
        <w:t>Status: Live on Arc testnet (chain 5042002)  •  TESTNET ONLY — UNAUDITED</w:t>
      </w:r>
    </w:p>
    <w:p>
      <w:pPr>
        <w:spacing w:before="80" w:after="160"/>
        <w:ind w:left="216"/>
      </w:pPr>
      <w:r>
        <w:rPr>
          <w:b/>
          <w:color w:val="002040"/>
          <w:sz w:val="19"/>
        </w:rPr>
        <w:t xml:space="preserve">⚠  Read this first:  </w:t>
      </w:r>
      <w:r>
        <w:rPr>
          <w:color w:val="3A444E"/>
          <w:sz w:val="19"/>
        </w:rPr>
        <w:t>This paper describes a testnet system. The contracts are unaudited, the economics are partly placeholder, and nothing here is an offer to sell anything. Do not use testnet names or funds for anything you cannot afford to lose. Mainnet deployment is gated on a full audit (see §13–§16).</w:t>
      </w:r>
    </w:p>
    <w:p>
      <w:pPr>
        <w:jc w:val="center"/>
      </w:pPr>
      <w:r>
        <w:rPr>
          <w:b w:val="0"/>
          <w:i/>
          <w:color w:val="3A444E"/>
          <w:sz w:val="18"/>
        </w:rPr>
        <w:t>Published free and without a traditional web domain — identity is carried on-chain and via IPFS/IPNS, by design. Source, ABIs, and this paper are published on GitHub and IPFS (see §18).</w:t>
      </w:r>
    </w:p>
    <w:tbl>
      <w:tblPr>
        <w:tblStyle w:val="TableGrid"/>
        <w:tblW w:type="auto" w:w="0"/>
        <w:jc w:val="center"/>
        <w:tblLayout w:type="autofit"/>
        <w:tblLook w:firstColumn="1" w:firstRow="1" w:lastColumn="0" w:lastRow="0" w:noHBand="0" w:noVBand="1" w:val="04A0"/>
      </w:tblPr>
      <w:tblGrid>
        <w:gridCol w:w="4896"/>
        <w:gridCol w:w="4896"/>
      </w:tblGrid>
      <w:tr>
        <w:tc>
          <w:tcPr>
            <w:tcW w:type="dxa" w:w="2448"/>
            <w:shd w:fill="002040"/>
          </w:tcPr>
          <w:p>
            <w:pPr>
              <w:spacing w:after="20" w:before="20"/>
            </w:pPr>
            <w:r/>
            <w:r>
              <w:rPr>
                <w:rFonts w:ascii="Calibri" w:hAnsi="Calibri"/>
                <w:b/>
                <w:color w:val="FFFFFF"/>
                <w:sz w:val="17"/>
              </w:rPr>
              <w:t>Field</w:t>
            </w:r>
          </w:p>
        </w:tc>
        <w:tc>
          <w:tcPr>
            <w:tcW w:type="dxa" w:w="7632"/>
            <w:shd w:fill="002040"/>
          </w:tcPr>
          <w:p>
            <w:pPr>
              <w:spacing w:after="20" w:before="20"/>
            </w:pPr>
            <w:r/>
            <w:r>
              <w:rPr>
                <w:rFonts w:ascii="Calibri" w:hAnsi="Calibri"/>
                <w:b/>
                <w:color w:val="FFFFFF"/>
                <w:sz w:val="17"/>
              </w:rPr>
              <w:t>Value</w:t>
            </w:r>
          </w:p>
        </w:tc>
      </w:tr>
      <w:tr>
        <w:tc>
          <w:tcPr>
            <w:tcW w:type="dxa" w:w="2448"/>
          </w:tcPr>
          <w:p>
            <w:pPr>
              <w:spacing w:after="20" w:before="20"/>
            </w:pPr>
            <w:r/>
            <w:r>
              <w:rPr>
                <w:rFonts w:ascii="Calibri" w:hAnsi="Calibri"/>
                <w:b w:val="0"/>
                <w:sz w:val="17"/>
              </w:rPr>
              <w:t>Project</w:t>
            </w:r>
          </w:p>
        </w:tc>
        <w:tc>
          <w:tcPr>
            <w:tcW w:type="dxa" w:w="7632"/>
          </w:tcPr>
          <w:p>
            <w:pPr>
              <w:spacing w:after="20" w:before="20"/>
            </w:pPr>
            <w:r/>
            <w:r>
              <w:rPr>
                <w:rFonts w:ascii="Calibri" w:hAnsi="Calibri"/>
                <w:b w:val="0"/>
                <w:sz w:val="17"/>
              </w:rPr>
              <w:t>Ownership™ — Ownership Arc Naming Service (.arc)</w:t>
            </w:r>
          </w:p>
        </w:tc>
      </w:tr>
      <w:tr>
        <w:tc>
          <w:tcPr>
            <w:tcW w:type="dxa" w:w="2448"/>
          </w:tcPr>
          <w:p>
            <w:pPr>
              <w:spacing w:after="20" w:before="20"/>
            </w:pPr>
            <w:r/>
            <w:r>
              <w:rPr>
                <w:rFonts w:ascii="Calibri" w:hAnsi="Calibri"/>
                <w:b w:val="0"/>
                <w:sz w:val="17"/>
              </w:rPr>
              <w:t>Chain (testnet)</w:t>
            </w:r>
          </w:p>
        </w:tc>
        <w:tc>
          <w:tcPr>
            <w:tcW w:type="dxa" w:w="7632"/>
          </w:tcPr>
          <w:p>
            <w:pPr>
              <w:spacing w:after="20" w:before="20"/>
            </w:pPr>
            <w:r/>
            <w:r>
              <w:rPr>
                <w:rFonts w:ascii="Calibri" w:hAnsi="Calibri"/>
                <w:b w:val="0"/>
                <w:sz w:val="17"/>
              </w:rPr>
              <w:t>Arc testnet — chain ID 5042002</w:t>
            </w:r>
          </w:p>
        </w:tc>
      </w:tr>
      <w:tr>
        <w:tc>
          <w:tcPr>
            <w:tcW w:type="dxa" w:w="2448"/>
          </w:tcPr>
          <w:p>
            <w:pPr>
              <w:spacing w:after="20" w:before="20"/>
            </w:pPr>
            <w:r/>
            <w:r>
              <w:rPr>
                <w:rFonts w:ascii="Calibri" w:hAnsi="Calibri"/>
                <w:b w:val="0"/>
                <w:sz w:val="17"/>
              </w:rPr>
              <w:t>Deployed</w:t>
            </w:r>
          </w:p>
        </w:tc>
        <w:tc>
          <w:tcPr>
            <w:tcW w:type="dxa" w:w="7632"/>
          </w:tcPr>
          <w:p>
            <w:pPr>
              <w:spacing w:after="20" w:before="20"/>
            </w:pPr>
            <w:r/>
            <w:r>
              <w:rPr>
                <w:rFonts w:ascii="Calibri" w:hAnsi="Calibri"/>
                <w:b w:val="0"/>
                <w:sz w:val="17"/>
              </w:rPr>
              <w:t>2 October 2026 (69 transactions)</w:t>
            </w:r>
          </w:p>
        </w:tc>
      </w:tr>
      <w:tr>
        <w:tc>
          <w:tcPr>
            <w:tcW w:type="dxa" w:w="2448"/>
          </w:tcPr>
          <w:p>
            <w:pPr>
              <w:spacing w:after="20" w:before="20"/>
            </w:pPr>
            <w:r/>
            <w:r>
              <w:rPr>
                <w:rFonts w:ascii="Calibri" w:hAnsi="Calibri"/>
                <w:b w:val="0"/>
                <w:sz w:val="17"/>
              </w:rPr>
              <w:t>Contracts</w:t>
            </w:r>
          </w:p>
        </w:tc>
        <w:tc>
          <w:tcPr>
            <w:tcW w:type="dxa" w:w="7632"/>
          </w:tcPr>
          <w:p>
            <w:pPr>
              <w:spacing w:after="20" w:before="20"/>
            </w:pPr>
            <w:r/>
            <w:r>
              <w:rPr>
                <w:rFonts w:ascii="Calibri" w:hAnsi="Calibri"/>
                <w:b w:val="0"/>
                <w:sz w:val="17"/>
              </w:rPr>
              <w:t>9 UUPS proxies + 7-day TimelockController</w:t>
            </w:r>
          </w:p>
        </w:tc>
      </w:tr>
      <w:tr>
        <w:tc>
          <w:tcPr>
            <w:tcW w:type="dxa" w:w="2448"/>
          </w:tcPr>
          <w:p>
            <w:pPr>
              <w:spacing w:after="20" w:before="20"/>
            </w:pPr>
            <w:r/>
            <w:r>
              <w:rPr>
                <w:rFonts w:ascii="Calibri" w:hAnsi="Calibri"/>
                <w:b w:val="0"/>
                <w:sz w:val="17"/>
              </w:rPr>
              <w:t>npm package</w:t>
            </w:r>
          </w:p>
        </w:tc>
        <w:tc>
          <w:tcPr>
            <w:tcW w:type="dxa" w:w="7632"/>
          </w:tcPr>
          <w:p>
            <w:pPr>
              <w:spacing w:after="20" w:before="20"/>
            </w:pPr>
            <w:r/>
            <w:r>
              <w:rPr>
                <w:rFonts w:ascii="Calibri" w:hAnsi="Calibri"/>
                <w:b w:val="0"/>
                <w:sz w:val="17"/>
              </w:rPr>
              <w:t>@lodestarfo/arc-naming-contracts v0.1.0</w:t>
            </w:r>
          </w:p>
        </w:tc>
      </w:tr>
      <w:tr>
        <w:tc>
          <w:tcPr>
            <w:tcW w:type="dxa" w:w="2448"/>
          </w:tcPr>
          <w:p>
            <w:pPr>
              <w:spacing w:after="20" w:before="20"/>
            </w:pPr>
            <w:r/>
            <w:r>
              <w:rPr>
                <w:rFonts w:ascii="Calibri" w:hAnsi="Calibri"/>
                <w:b w:val="0"/>
                <w:sz w:val="17"/>
              </w:rPr>
              <w:t>License</w:t>
            </w:r>
          </w:p>
        </w:tc>
        <w:tc>
          <w:tcPr>
            <w:tcW w:type="dxa" w:w="7632"/>
          </w:tcPr>
          <w:p>
            <w:pPr>
              <w:spacing w:after="20" w:before="20"/>
            </w:pPr>
            <w:r/>
            <w:r>
              <w:rPr>
                <w:rFonts w:ascii="Calibri" w:hAnsi="Calibri"/>
                <w:b w:val="0"/>
                <w:sz w:val="17"/>
              </w:rPr>
              <w:t>AGPL-3.0-only + commercial dual license</w:t>
            </w:r>
          </w:p>
        </w:tc>
      </w:tr>
      <w:tr>
        <w:tc>
          <w:tcPr>
            <w:tcW w:type="dxa" w:w="2448"/>
          </w:tcPr>
          <w:p>
            <w:pPr>
              <w:spacing w:after="20" w:before="20"/>
            </w:pPr>
            <w:r/>
            <w:r>
              <w:rPr>
                <w:rFonts w:ascii="Calibri" w:hAnsi="Calibri"/>
                <w:b w:val="0"/>
                <w:sz w:val="17"/>
              </w:rPr>
              <w:t>Paper version</w:t>
            </w:r>
          </w:p>
        </w:tc>
        <w:tc>
          <w:tcPr>
            <w:tcW w:type="dxa" w:w="7632"/>
          </w:tcPr>
          <w:p>
            <w:pPr>
              <w:spacing w:after="20" w:before="20"/>
            </w:pPr>
            <w:r/>
            <w:r>
              <w:rPr>
                <w:rFonts w:ascii="Calibri" w:hAnsi="Calibri"/>
                <w:b w:val="0"/>
                <w:sz w:val="17"/>
              </w:rPr>
              <w:t>1.0 — October 2026</w:t>
            </w:r>
          </w:p>
        </w:tc>
      </w:tr>
    </w:tbl>
    <w:p>
      <w:pPr>
        <w:spacing w:after="40"/>
      </w:pPr>
    </w:p>
    <w:p>
      <w:r>
        <w:rPr>
          <w:b w:val="0"/>
          <w:i/>
          <w:color w:val="3A444E"/>
          <w:sz w:val="16"/>
        </w:rPr>
        <w:t>How to cite this paper: Ownership — The .arc Naming Service for Arc. Whitepaper v1.0, October 2026. Published via GitHub + IPFS (no DNS domain).</w:t>
      </w:r>
    </w:p>
    <w:p>
      <w:r>
        <w:br w:type="page"/>
      </w:r>
    </w:p>
    <w:p>
      <w:pPr>
        <w:pStyle w:val="Heading1"/>
      </w:pPr>
      <w:r>
        <w:t>Contents</w:t>
      </w:r>
    </w:p>
    <w:p>
      <w:pPr>
        <w:spacing w:after="20"/>
      </w:pPr>
      <w:r>
        <w:rPr>
          <w:b w:val="0"/>
        </w:rPr>
        <w:t xml:space="preserve">Abstract  </w:t>
      </w:r>
      <w:r>
        <w:rPr>
          <w:color w:val="3A444E"/>
        </w:rPr>
        <w:t>···  3</w:t>
      </w:r>
    </w:p>
    <w:p>
      <w:pPr>
        <w:spacing w:after="20"/>
      </w:pPr>
      <w:r>
        <w:rPr>
          <w:b w:val="0"/>
        </w:rPr>
        <w:t xml:space="preserve">1  Why names on Arc  </w:t>
      </w:r>
      <w:r>
        <w:rPr>
          <w:color w:val="3A444E"/>
        </w:rPr>
        <w:t>···  3</w:t>
      </w:r>
    </w:p>
    <w:p>
      <w:pPr>
        <w:spacing w:after="20"/>
      </w:pPr>
      <w:r>
        <w:rPr>
          <w:b w:val="0"/>
        </w:rPr>
        <w:t xml:space="preserve">2  Design principles  </w:t>
      </w:r>
      <w:r>
        <w:rPr>
          <w:color w:val="3A444E"/>
        </w:rPr>
        <w:t>···  3</w:t>
      </w:r>
    </w:p>
    <w:p>
      <w:pPr>
        <w:spacing w:after="20"/>
      </w:pPr>
      <w:r>
        <w:rPr>
          <w:b w:val="0"/>
        </w:rPr>
        <w:t xml:space="preserve">3  Architecture at a glance  </w:t>
      </w:r>
      <w:r>
        <w:rPr>
          <w:color w:val="3A444E"/>
        </w:rPr>
        <w:t>···  4</w:t>
      </w:r>
    </w:p>
    <w:p>
      <w:pPr>
        <w:spacing w:after="20"/>
      </w:pPr>
      <w:r>
        <w:rPr>
          <w:b w:val="0"/>
        </w:rPr>
        <w:t xml:space="preserve">4  Core naming — Registry, Registrar, Resolver  </w:t>
      </w:r>
      <w:r>
        <w:rPr>
          <w:color w:val="3A444E"/>
        </w:rPr>
        <w:t>···  5</w:t>
      </w:r>
    </w:p>
    <w:p>
      <w:pPr>
        <w:spacing w:after="20"/>
      </w:pPr>
      <w:r>
        <w:rPr>
          <w:b w:val="0"/>
        </w:rPr>
        <w:t xml:space="preserve">5  Reverse resolution and did:arc  </w:t>
      </w:r>
      <w:r>
        <w:rPr>
          <w:color w:val="3A444E"/>
        </w:rPr>
        <w:t>···  6</w:t>
      </w:r>
    </w:p>
    <w:p>
      <w:pPr>
        <w:spacing w:after="20"/>
      </w:pPr>
      <w:r>
        <w:rPr>
          <w:b w:val="0"/>
        </w:rPr>
        <w:t xml:space="preserve">6  AttestationRegistry  </w:t>
      </w:r>
      <w:r>
        <w:rPr>
          <w:color w:val="3A444E"/>
        </w:rPr>
        <w:t>···  7</w:t>
      </w:r>
    </w:p>
    <w:p>
      <w:pPr>
        <w:spacing w:after="20"/>
      </w:pPr>
      <w:r>
        <w:rPr>
          <w:b w:val="0"/>
        </w:rPr>
        <w:t xml:space="preserve">7  BrandVault — brand protection  </w:t>
      </w:r>
      <w:r>
        <w:rPr>
          <w:color w:val="3A444E"/>
        </w:rPr>
        <w:t>···  7</w:t>
      </w:r>
    </w:p>
    <w:p>
      <w:pPr>
        <w:spacing w:after="20"/>
      </w:pPr>
      <w:r>
        <w:rPr>
          <w:b w:val="0"/>
        </w:rPr>
        <w:t xml:space="preserve">8  Marketplace — resale with a decay fee  </w:t>
      </w:r>
      <w:r>
        <w:rPr>
          <w:color w:val="3A444E"/>
        </w:rPr>
        <w:t>···  8</w:t>
      </w:r>
    </w:p>
    <w:p>
      <w:pPr>
        <w:spacing w:after="20"/>
      </w:pPr>
      <w:r>
        <w:rPr>
          <w:b w:val="0"/>
        </w:rPr>
        <w:t xml:space="preserve">9  ArcPaymaster — sponsored gas  </w:t>
      </w:r>
      <w:r>
        <w:rPr>
          <w:color w:val="3A444E"/>
        </w:rPr>
        <w:t>···  8</w:t>
      </w:r>
    </w:p>
    <w:p>
      <w:pPr>
        <w:spacing w:after="20"/>
      </w:pPr>
      <w:r>
        <w:rPr>
          <w:b w:val="0"/>
        </w:rPr>
        <w:t xml:space="preserve">10  Economics and revenue  </w:t>
      </w:r>
      <w:r>
        <w:rPr>
          <w:color w:val="3A444E"/>
        </w:rPr>
        <w:t>···  9</w:t>
      </w:r>
    </w:p>
    <w:p>
      <w:pPr>
        <w:spacing w:after="20"/>
      </w:pPr>
      <w:r>
        <w:rPr>
          <w:b w:val="0"/>
        </w:rPr>
        <w:t xml:space="preserve">11  Indexing without trusted servers  </w:t>
      </w:r>
      <w:r>
        <w:rPr>
          <w:color w:val="3A444E"/>
        </w:rPr>
        <w:t>···  10</w:t>
      </w:r>
    </w:p>
    <w:p>
      <w:pPr>
        <w:spacing w:after="20"/>
      </w:pPr>
      <w:r>
        <w:rPr>
          <w:b w:val="0"/>
        </w:rPr>
        <w:t xml:space="preserve">12  Security model  </w:t>
      </w:r>
      <w:r>
        <w:rPr>
          <w:color w:val="3A444E"/>
        </w:rPr>
        <w:t>···  10</w:t>
      </w:r>
    </w:p>
    <w:p>
      <w:pPr>
        <w:spacing w:after="20"/>
      </w:pPr>
      <w:r>
        <w:rPr>
          <w:b w:val="0"/>
        </w:rPr>
        <w:t xml:space="preserve">13  Governance, upgrades, and ossification  </w:t>
      </w:r>
      <w:r>
        <w:rPr>
          <w:color w:val="3A444E"/>
        </w:rPr>
        <w:t>···  11</w:t>
      </w:r>
    </w:p>
    <w:p>
      <w:pPr>
        <w:spacing w:after="20"/>
      </w:pPr>
      <w:r>
        <w:rPr>
          <w:b w:val="0"/>
        </w:rPr>
        <w:t xml:space="preserve">14  What is live today — deployment and verification  </w:t>
      </w:r>
      <w:r>
        <w:rPr>
          <w:color w:val="3A444E"/>
        </w:rPr>
        <w:t>···  11</w:t>
      </w:r>
    </w:p>
    <w:p>
      <w:pPr>
        <w:spacing w:after="20"/>
      </w:pPr>
      <w:r>
        <w:rPr>
          <w:b w:val="0"/>
        </w:rPr>
        <w:t xml:space="preserve">15  Roadmap  </w:t>
      </w:r>
      <w:r>
        <w:rPr>
          <w:color w:val="3A444E"/>
        </w:rPr>
        <w:t>···  12</w:t>
      </w:r>
    </w:p>
    <w:p>
      <w:pPr>
        <w:spacing w:after="20"/>
      </w:pPr>
      <w:r>
        <w:rPr>
          <w:b w:val="0"/>
        </w:rPr>
        <w:t xml:space="preserve">16  Building on Ownership  </w:t>
      </w:r>
      <w:r>
        <w:rPr>
          <w:color w:val="3A444E"/>
        </w:rPr>
        <w:t>···  12</w:t>
      </w:r>
    </w:p>
    <w:p>
      <w:pPr>
        <w:spacing w:after="20"/>
      </w:pPr>
      <w:r>
        <w:rPr>
          <w:b w:val="0"/>
        </w:rPr>
        <w:t xml:space="preserve">17  Open source and distribution  </w:t>
      </w:r>
      <w:r>
        <w:rPr>
          <w:color w:val="3A444E"/>
        </w:rPr>
        <w:t>···  13</w:t>
      </w:r>
    </w:p>
    <w:p>
      <w:pPr>
        <w:spacing w:after="20"/>
      </w:pPr>
      <w:r>
        <w:rPr>
          <w:b w:val="0"/>
        </w:rPr>
        <w:t xml:space="preserve">18  Risks, limitations, and open questions  </w:t>
      </w:r>
      <w:r>
        <w:rPr>
          <w:color w:val="3A444E"/>
        </w:rPr>
        <w:t>···  13</w:t>
      </w:r>
    </w:p>
    <w:p>
      <w:pPr>
        <w:spacing w:after="20"/>
      </w:pPr>
      <w:r>
        <w:rPr>
          <w:b w:val="0"/>
        </w:rPr>
        <w:t xml:space="preserve">19  Conclusion  </w:t>
      </w:r>
      <w:r>
        <w:rPr>
          <w:color w:val="3A444E"/>
        </w:rPr>
        <w:t>···  14</w:t>
      </w:r>
    </w:p>
    <w:p>
      <w:pPr>
        <w:spacing w:after="20"/>
      </w:pPr>
      <w:r>
        <w:rPr>
          <w:b w:val="0"/>
        </w:rPr>
        <w:t xml:space="preserve">Appendix A  Contract reference  </w:t>
      </w:r>
      <w:r>
        <w:rPr>
          <w:color w:val="3A444E"/>
        </w:rPr>
        <w:t>···  14</w:t>
      </w:r>
    </w:p>
    <w:p>
      <w:pPr>
        <w:spacing w:after="20"/>
      </w:pPr>
      <w:r>
        <w:rPr>
          <w:b w:val="0"/>
        </w:rPr>
        <w:t xml:space="preserve">Appendix B  Glossary  </w:t>
      </w:r>
      <w:r>
        <w:rPr>
          <w:color w:val="3A444E"/>
        </w:rPr>
        <w:t>···  15</w:t>
      </w:r>
    </w:p>
    <w:p>
      <w:pPr>
        <w:spacing w:after="20"/>
      </w:pPr>
      <w:r>
        <w:rPr>
          <w:b w:val="0"/>
        </w:rPr>
        <w:t xml:space="preserve">Appendix C  References  </w:t>
      </w:r>
      <w:r>
        <w:rPr>
          <w:color w:val="3A444E"/>
        </w:rPr>
        <w:t>···  15</w:t>
      </w:r>
    </w:p>
    <w:p>
      <w:r>
        <w:rPr>
          <w:b w:val="0"/>
          <w:i/>
          <w:color w:val="3A444E"/>
          <w:sz w:val="17"/>
        </w:rPr>
        <w:t>Conventions used in this paper: Addresses, hashes, and package names are shown in monospace where they appear in code. “Must” and “must not” are used in the specification sense. Dollar figures are in USDC unless stated otherwise. Gas figures marked “illustrative” are testnet measurements, not mainnet quotes.</w:t>
      </w:r>
    </w:p>
    <w:p>
      <w:pPr>
        <w:pStyle w:val="Heading1"/>
      </w:pPr>
      <w:r>
        <w:t>Abstract</w:t>
      </w:r>
    </w:p>
    <w:p>
      <w:r>
        <w:rPr>
          <w:b w:val="0"/>
          <w:i w:val="0"/>
        </w:rPr>
        <w:t>Ownership is a naming service for Arc, Circle’s blockchain. It gives wallets, people, and agents short human-readable names ending in .arc — for example alice.arc — instead of raw 0x… addresses. The design deliberately follows the Ethereum Name Service (ENS) protocol shape — namehash, a registry that records who owns each name, and resolvers that hold the records a name points to — but it runs under its own root on Arc. Nothing nests under .eth, and no external naming system is rented or depended on.</w:t>
      </w:r>
    </w:p>
    <w:p>
      <w:r>
        <w:rPr>
          <w:b w:val="0"/>
          <w:i w:val="0"/>
        </w:rPr>
        <w:t>Nine upgradeable contracts, all administered through a single 7-day TimelockController, implement the full lifecycle: registration with tiered one-time pricing and free renewals, address / text / contenthash records, reverse resolution with forward verification, a Merkle-reserved brand vault with right-of-first-refusal (ROFR) claims, an on-chain secondary market whose fee decays quadratically from 20% to 2% over two years, soulbound education attestations, a revenue splitter, and an ERC-4337 verifying paymaster that sponsors gas in USDC so registration and record updates stay frictionless for newcomers with no gas balance. A W3C-compatible DID method, did:arc, reuses the same resolver machinery so that names serve humans and DIDs serve machines from one root of trust.</w:t>
      </w:r>
    </w:p>
    <w:p>
      <w:r>
        <w:rPr>
          <w:b w:val="0"/>
          <w:i w:val="0"/>
        </w:rPr>
        <w:t>The system is live on Arc testnet (chain 5042002) as of 2 October 2026: 69 deployment transactions, all successful, and the paymaster proven with a real sponsored user operation through a live bundler. A live re-verification on 5 October 2026 confirmed contract bytecode at all nine proxy addresses and the timelock, with each proxy's implementation slot matching the deployment record. Contract ABIs and TypeScript types are published as @lodestarfo/arc-naming-contracts v0.1.0 under AGPL-3.0-only with a commercial dual license. The code is unaudited and testnet-only. This paper describes what is built, how the economics and security model work, what has been verified, and what must happen — scope freeze, contest, traditional audit, and bug bounty — before any mainnet root is deployed.</w:t>
      </w:r>
    </w:p>
    <w:p>
      <w:pPr>
        <w:spacing w:before="80" w:after="160"/>
        <w:ind w:left="216"/>
      </w:pPr>
      <w:r>
        <w:rPr>
          <w:b/>
          <w:color w:val="002040"/>
          <w:sz w:val="19"/>
        </w:rPr>
        <w:t xml:space="preserve">In one sentence:  </w:t>
      </w:r>
      <w:r>
        <w:rPr>
          <w:color w:val="3A444E"/>
          <w:sz w:val="19"/>
        </w:rPr>
        <w:t>Ownership is ENS-shaped naming, native to Arc, self-custodial end to end, free at the margin for most names, and published without a domain name — identity lives on-chain and on IPFS, not in DNS.</w:t>
      </w:r>
    </w:p>
    <w:p>
      <w:r>
        <w:rPr>
          <w:b w:val="0"/>
          <w:i/>
          <w:color w:val="3A444E"/>
          <w:sz w:val="18"/>
        </w:rPr>
        <w:t>Designed and built in the United States. Names are hashed on-chain with the standard namehash algorithm, so names in any language work.</w:t>
      </w:r>
    </w:p>
    <w:p>
      <w:pPr>
        <w:pStyle w:val="Heading1"/>
      </w:pPr>
      <w:r>
        <w:t>1  Why names on Arc</w:t>
      </w:r>
    </w:p>
    <w:p>
      <w:r>
        <w:rPr>
          <w:b w:val="0"/>
          <w:i w:val="0"/>
        </w:rPr>
        <w:t>Every chain that people actually use eventually needs names. Raw addresses are precise but hostile: they are long, case-sensitive in practice, impossible to verify by eye, and trivially mistyped or spoofed. A naming layer turns “send to 0x9b5D…51ab” into “send to douglas.arc”, lets a name carry a website, an avatar, contact keys, and service endpoints alongside the payment address, and gives applications a stable handle that survives key rotation at the wallet layer.</w:t>
      </w:r>
    </w:p>
    <w:p>
      <w:r>
        <w:rPr>
          <w:b w:val="0"/>
          <w:i w:val="0"/>
        </w:rPr>
        <w:t>Arc does not inherit ENS. ENS resolves .eth names on Ethereum and, through gateways and CCIP-Read, can answer for some off-chain and Layer-2 namespaces — but .arc is Arc’s own namespace, and Arc applications need resolution that is native to Arc’s RPC, finality, and account model rather than bridged from another chain’s root. Ownership therefore implements the ENS protocol conventions — the same namehash function, the same registry/resolver separation, the same standard resolver interfaces, and the same reverse-resolution pattern with forward verification — while anchoring trust in Arc itself. Tooling that already speaks ENS adapts with minimal changes; sovereignty does not depend on Ethereum’s root or governance.</w:t>
      </w:r>
    </w:p>
    <w:p>
      <w:r>
        <w:rPr>
          <w:b w:val="0"/>
          <w:i w:val="0"/>
        </w:rPr>
        <w:t>There is a second identity need alongside names: machine identity. Agents, services, and automated signers need decentralized identifiers (DIDs) that can be resolved without a central directory. Rather than building a parallel DID registry, Ownership defines did:arc so that the identifier for an address exists the moment its keypair exists, and its extended document — delegates, service endpoints, deactivation — rides on the resolver text records the naming system already maintains. Names for humans, DIDs for machines, one root of trust.</w:t>
      </w:r>
    </w:p>
    <w:p>
      <w:pPr>
        <w:pStyle w:val="Heading1"/>
      </w:pPr>
      <w:r>
        <w:t>2  Design principles</w:t>
      </w:r>
    </w:p>
    <w:p>
      <w:r>
        <w:rPr>
          <w:b w:val="0"/>
          <w:i w:val="0"/>
        </w:rPr>
        <w:t>Six principles govern every contract and product decision in Ownership. When a feature conflicts with one of them, the principle wins and the conflict is documented rather than smoothed over.</w:t>
      </w:r>
    </w:p>
    <w:p>
      <w:pPr>
        <w:pStyle w:val="ListBullet"/>
      </w:pPr>
      <w:r>
        <w:rPr>
          <w:b/>
        </w:rPr>
        <w:t xml:space="preserve">Self-custody everywhere. </w:t>
      </w:r>
      <w:r>
        <w:t>No component ever takes custody of user funds, keys, or names beyond what the owner explicitly authorizes in a transaction the owner signs. The paymaster can sponsor gas; it cannot move a name or a balance. Registration, record updates, and transfers are always owner-signed. This is both an ethical stance and the compliance posture: non-custodial software is not money transmission, and the system is designed to stay on that side of the line.</w:t>
      </w:r>
    </w:p>
    <w:p>
      <w:pPr>
        <w:pStyle w:val="ListBullet"/>
      </w:pPr>
      <w:r>
        <w:rPr>
          <w:b/>
        </w:rPr>
        <w:t xml:space="preserve">ENS-compatible, own root. </w:t>
      </w:r>
      <w:r>
        <w:t>Namehash, resolver interfaces (addr, text, contenthash, multichain addr), and reverse resolution follow ENS conventions so existing libraries, wallets, and mental models transfer. The root, governance, and trust anchor are Arc’s own — no .eth nesting, no NameWrapper fuse model, no dependence on an external root’s upgrade decisions.</w:t>
      </w:r>
    </w:p>
    <w:p>
      <w:pPr>
        <w:pStyle w:val="ListBullet"/>
      </w:pPr>
      <w:r>
        <w:rPr>
          <w:b/>
        </w:rPr>
        <w:t xml:space="preserve">Free at the margin. </w:t>
      </w:r>
      <w:r>
        <w:t>Most names (seven characters and longer) cost nothing to register beyond gas — and gas itself is sponsored under caps — and renewals are free forever. Revenue comes from short-name tiers, secondary-market fees, and brand services, not from rent on every name. The goal is a naming commons that stays usable if its stewards disappear.</w:t>
      </w:r>
    </w:p>
    <w:p>
      <w:pPr>
        <w:pStyle w:val="ListBullet"/>
      </w:pPr>
      <w:r>
        <w:rPr>
          <w:b/>
        </w:rPr>
        <w:t xml:space="preserve">No trusted servers. </w:t>
      </w:r>
      <w:r>
        <w:t>Reads must not require trusting a single indexer or API. Owner-scoped queries run against plain RPC event logs; global search uses permissionless, content-addressed IPFS snapshots that clients verify against the chain before acting on them. Third-party indexers are conveniences, never requirements.</w:t>
      </w:r>
    </w:p>
    <w:p>
      <w:pPr>
        <w:pStyle w:val="ListBullet"/>
      </w:pPr>
      <w:r>
        <w:rPr>
          <w:b/>
        </w:rPr>
        <w:t xml:space="preserve">Survivability. </w:t>
      </w:r>
      <w:r>
        <w:t>If the team behind Ownership vanished tomorrow, names would still resolve, the contracts would still enforce their rules, and the code and paper would still be retrievable from IPFS and GitHub. No DNS domain, app-store listing, or company server is a load-bearing part of resolution.</w:t>
      </w:r>
    </w:p>
    <w:p>
      <w:pPr>
        <w:pStyle w:val="ListBullet"/>
      </w:pPr>
      <w:r>
        <w:rPr>
          <w:b/>
        </w:rPr>
        <w:t xml:space="preserve">Frictionless by design. </w:t>
      </w:r>
      <w:r>
        <w:t>Every user-facing flow is built to remove steps, not add them: gas is sponsored so newcomers never touch a faucet, renewals happen through ordinary use instead of a separate transaction, and builders integrate resolution with two contracts and a handful of lines. Where a step cannot be removed, it is documented — not hidden behind a smoother story.</w:t>
      </w:r>
    </w:p>
    <w:p>
      <w:r>
        <w:rPr>
          <w:b w:val="0"/>
          <w:i w:val="0"/>
        </w:rPr>
        <w:t>These principles have costs, and the paper names them where they bite: mainnet writes are not literally free (gas is real), contenthash and IPFS pinning need an explicit strategy before public launch, and upgradeability — kept deliberately so bugs can be fixed before audit — is itself a trust assumption until the ossification path in §13 is walked.</w:t>
      </w:r>
    </w:p>
    <w:p>
      <w:pPr>
        <w:pStyle w:val="Heading1"/>
      </w:pPr>
      <w:r>
        <w:t>3  Architecture at a glance</w:t>
      </w:r>
    </w:p>
    <w:p>
      <w:r>
        <w:rPr>
          <w:b w:val="0"/>
          <w:i w:val="0"/>
        </w:rPr>
        <w:t>Ownership is nine UUPS (Universal Upgradeable Proxy Standard) proxy contracts plus one OpenZeppelin TimelockController. Each proxy holds state; its implementation holds logic and can be replaced only through the timelock. Separating the nine concerns means each contract has a narrow job, a narrow audit surface, and narrow failure modes — a bug in the marketplace cannot rewrite the registry, and pausing the paymaster cannot freeze names.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576"/>
            <w:shd w:fill="002040"/>
          </w:tcPr>
          <w:p>
            <w:pPr>
              <w:spacing w:after="20" w:before="20"/>
            </w:pPr>
            <w:r/>
            <w:r>
              <w:rPr>
                <w:rFonts w:ascii="Calibri" w:hAnsi="Calibri"/>
                <w:b/>
                <w:color w:val="FFFFFF"/>
                <w:sz w:val="17"/>
              </w:rPr>
              <w:t>#</w:t>
            </w:r>
          </w:p>
        </w:tc>
        <w:tc>
          <w:tcPr>
            <w:tcW w:type="dxa" w:w="2880"/>
            <w:shd w:fill="002040"/>
          </w:tcPr>
          <w:p>
            <w:pPr>
              <w:spacing w:after="20" w:before="20"/>
            </w:pPr>
            <w:r/>
            <w:r>
              <w:rPr>
                <w:rFonts w:ascii="Calibri" w:hAnsi="Calibri"/>
                <w:b/>
                <w:color w:val="FFFFFF"/>
                <w:sz w:val="17"/>
              </w:rPr>
              <w:t>Contract</w:t>
            </w:r>
          </w:p>
        </w:tc>
        <w:tc>
          <w:tcPr>
            <w:tcW w:type="dxa" w:w="6624"/>
            <w:shd w:fill="002040"/>
          </w:tcPr>
          <w:p>
            <w:pPr>
              <w:spacing w:after="20" w:before="20"/>
            </w:pPr>
            <w:r/>
            <w:r>
              <w:rPr>
                <w:rFonts w:ascii="Calibri" w:hAnsi="Calibri"/>
                <w:b/>
                <w:color w:val="FFFFFF"/>
                <w:sz w:val="17"/>
              </w:rPr>
              <w:t>Job in one line</w:t>
            </w:r>
          </w:p>
        </w:tc>
      </w:tr>
      <w:tr>
        <w:tc>
          <w:tcPr>
            <w:tcW w:type="dxa" w:w="576"/>
          </w:tcPr>
          <w:p>
            <w:pPr>
              <w:spacing w:after="20" w:before="20"/>
            </w:pPr>
            <w:r/>
            <w:r>
              <w:rPr>
                <w:rFonts w:ascii="Calibri" w:hAnsi="Calibri"/>
                <w:b w:val="0"/>
                <w:sz w:val="17"/>
              </w:rPr>
              <w:t>1</w:t>
            </w:r>
          </w:p>
        </w:tc>
        <w:tc>
          <w:tcPr>
            <w:tcW w:type="dxa" w:w="2880"/>
          </w:tcPr>
          <w:p>
            <w:pPr>
              <w:spacing w:after="20" w:before="20"/>
            </w:pPr>
            <w:r/>
            <w:r>
              <w:rPr>
                <w:rFonts w:ascii="Calibri" w:hAnsi="Calibri"/>
                <w:b w:val="0"/>
                <w:sz w:val="17"/>
              </w:rPr>
              <w:t>Registry</w:t>
            </w:r>
          </w:p>
        </w:tc>
        <w:tc>
          <w:tcPr>
            <w:tcW w:type="dxa" w:w="6624"/>
          </w:tcPr>
          <w:p>
            <w:pPr>
              <w:spacing w:after="20" w:before="20"/>
            </w:pPr>
            <w:r/>
            <w:r>
              <w:rPr>
                <w:rFonts w:ascii="Calibri" w:hAnsi="Calibri"/>
                <w:b w:val="0"/>
                <w:sz w:val="17"/>
              </w:rPr>
              <w:t>Namehash → owner / resolver / TTL</w:t>
            </w:r>
          </w:p>
        </w:tc>
      </w:tr>
      <w:tr>
        <w:tc>
          <w:tcPr>
            <w:tcW w:type="dxa" w:w="576"/>
          </w:tcPr>
          <w:p>
            <w:pPr>
              <w:spacing w:after="20" w:before="20"/>
            </w:pPr>
            <w:r/>
            <w:r>
              <w:rPr>
                <w:rFonts w:ascii="Calibri" w:hAnsi="Calibri"/>
                <w:b w:val="0"/>
                <w:sz w:val="17"/>
              </w:rPr>
              <w:t>2</w:t>
            </w:r>
          </w:p>
        </w:tc>
        <w:tc>
          <w:tcPr>
            <w:tcW w:type="dxa" w:w="2880"/>
          </w:tcPr>
          <w:p>
            <w:pPr>
              <w:spacing w:after="20" w:before="20"/>
            </w:pPr>
            <w:r/>
            <w:r>
              <w:rPr>
                <w:rFonts w:ascii="Calibri" w:hAnsi="Calibri"/>
                <w:b w:val="0"/>
                <w:sz w:val="17"/>
              </w:rPr>
              <w:t>Registrar</w:t>
            </w:r>
          </w:p>
        </w:tc>
        <w:tc>
          <w:tcPr>
            <w:tcW w:type="dxa" w:w="6624"/>
          </w:tcPr>
          <w:p>
            <w:pPr>
              <w:spacing w:after="20" w:before="20"/>
            </w:pPr>
            <w:r/>
            <w:r>
              <w:rPr>
                <w:rFonts w:ascii="Calibri" w:hAnsi="Calibri"/>
                <w:b w:val="0"/>
                <w:sz w:val="17"/>
              </w:rPr>
              <w:t>Registration, pricing, expiry, allowlist</w:t>
            </w:r>
          </w:p>
        </w:tc>
      </w:tr>
      <w:tr>
        <w:tc>
          <w:tcPr>
            <w:tcW w:type="dxa" w:w="576"/>
          </w:tcPr>
          <w:p>
            <w:pPr>
              <w:spacing w:after="20" w:before="20"/>
            </w:pPr>
            <w:r/>
            <w:r>
              <w:rPr>
                <w:rFonts w:ascii="Calibri" w:hAnsi="Calibri"/>
                <w:b w:val="0"/>
                <w:sz w:val="17"/>
              </w:rPr>
              <w:t>3</w:t>
            </w:r>
          </w:p>
        </w:tc>
        <w:tc>
          <w:tcPr>
            <w:tcW w:type="dxa" w:w="2880"/>
          </w:tcPr>
          <w:p>
            <w:pPr>
              <w:spacing w:after="20" w:before="20"/>
            </w:pPr>
            <w:r/>
            <w:r>
              <w:rPr>
                <w:rFonts w:ascii="Calibri" w:hAnsi="Calibri"/>
                <w:b w:val="0"/>
                <w:sz w:val="17"/>
              </w:rPr>
              <w:t>Resolver</w:t>
            </w:r>
          </w:p>
        </w:tc>
        <w:tc>
          <w:tcPr>
            <w:tcW w:type="dxa" w:w="6624"/>
          </w:tcPr>
          <w:p>
            <w:pPr>
              <w:spacing w:after="20" w:before="20"/>
            </w:pPr>
            <w:r/>
            <w:r>
              <w:rPr>
                <w:rFonts w:ascii="Calibri" w:hAnsi="Calibri"/>
                <w:b w:val="0"/>
                <w:sz w:val="17"/>
              </w:rPr>
              <w:t>Address / text / contenthash records</w:t>
            </w:r>
          </w:p>
        </w:tc>
      </w:tr>
      <w:tr>
        <w:tc>
          <w:tcPr>
            <w:tcW w:type="dxa" w:w="576"/>
          </w:tcPr>
          <w:p>
            <w:pPr>
              <w:spacing w:after="20" w:before="20"/>
            </w:pPr>
            <w:r/>
            <w:r>
              <w:rPr>
                <w:rFonts w:ascii="Calibri" w:hAnsi="Calibri"/>
                <w:b w:val="0"/>
                <w:sz w:val="17"/>
              </w:rPr>
              <w:t>4</w:t>
            </w:r>
          </w:p>
        </w:tc>
        <w:tc>
          <w:tcPr>
            <w:tcW w:type="dxa" w:w="2880"/>
          </w:tcPr>
          <w:p>
            <w:pPr>
              <w:spacing w:after="20" w:before="20"/>
            </w:pPr>
            <w:r/>
            <w:r>
              <w:rPr>
                <w:rFonts w:ascii="Calibri" w:hAnsi="Calibri"/>
                <w:b w:val="0"/>
                <w:sz w:val="17"/>
              </w:rPr>
              <w:t>ReverseRegistrar</w:t>
            </w:r>
          </w:p>
        </w:tc>
        <w:tc>
          <w:tcPr>
            <w:tcW w:type="dxa" w:w="6624"/>
          </w:tcPr>
          <w:p>
            <w:pPr>
              <w:spacing w:after="20" w:before="20"/>
            </w:pPr>
            <w:r/>
            <w:r>
              <w:rPr>
                <w:rFonts w:ascii="Calibri" w:hAnsi="Calibri"/>
                <w:b w:val="0"/>
                <w:sz w:val="17"/>
              </w:rPr>
              <w:t>Address → name (forward-verified)</w:t>
            </w:r>
          </w:p>
        </w:tc>
      </w:tr>
      <w:tr>
        <w:tc>
          <w:tcPr>
            <w:tcW w:type="dxa" w:w="576"/>
          </w:tcPr>
          <w:p>
            <w:pPr>
              <w:spacing w:after="20" w:before="20"/>
            </w:pPr>
            <w:r/>
            <w:r>
              <w:rPr>
                <w:rFonts w:ascii="Calibri" w:hAnsi="Calibri"/>
                <w:b w:val="0"/>
                <w:sz w:val="17"/>
              </w:rPr>
              <w:t>5</w:t>
            </w:r>
          </w:p>
        </w:tc>
        <w:tc>
          <w:tcPr>
            <w:tcW w:type="dxa" w:w="2880"/>
          </w:tcPr>
          <w:p>
            <w:pPr>
              <w:spacing w:after="20" w:before="20"/>
            </w:pPr>
            <w:r/>
            <w:r>
              <w:rPr>
                <w:rFonts w:ascii="Calibri" w:hAnsi="Calibri"/>
                <w:b w:val="0"/>
                <w:sz w:val="17"/>
              </w:rPr>
              <w:t>BrandVault</w:t>
            </w:r>
          </w:p>
        </w:tc>
        <w:tc>
          <w:tcPr>
            <w:tcW w:type="dxa" w:w="6624"/>
          </w:tcPr>
          <w:p>
            <w:pPr>
              <w:spacing w:after="20" w:before="20"/>
            </w:pPr>
            <w:r/>
            <w:r>
              <w:rPr>
                <w:rFonts w:ascii="Calibri" w:hAnsi="Calibri"/>
                <w:b w:val="0"/>
                <w:sz w:val="17"/>
              </w:rPr>
              <w:t>Reserved marks, ROFR claims, auctions</w:t>
            </w:r>
          </w:p>
        </w:tc>
      </w:tr>
      <w:tr>
        <w:tc>
          <w:tcPr>
            <w:tcW w:type="dxa" w:w="576"/>
          </w:tcPr>
          <w:p>
            <w:pPr>
              <w:spacing w:after="20" w:before="20"/>
            </w:pPr>
            <w:r/>
            <w:r>
              <w:rPr>
                <w:rFonts w:ascii="Calibri" w:hAnsi="Calibri"/>
                <w:b w:val="0"/>
                <w:sz w:val="17"/>
              </w:rPr>
              <w:t>6</w:t>
            </w:r>
          </w:p>
        </w:tc>
        <w:tc>
          <w:tcPr>
            <w:tcW w:type="dxa" w:w="2880"/>
          </w:tcPr>
          <w:p>
            <w:pPr>
              <w:spacing w:after="20" w:before="20"/>
            </w:pPr>
            <w:r/>
            <w:r>
              <w:rPr>
                <w:rFonts w:ascii="Calibri" w:hAnsi="Calibri"/>
                <w:b w:val="0"/>
                <w:sz w:val="17"/>
              </w:rPr>
              <w:t>Marketplace</w:t>
            </w:r>
          </w:p>
        </w:tc>
        <w:tc>
          <w:tcPr>
            <w:tcW w:type="dxa" w:w="6624"/>
          </w:tcPr>
          <w:p>
            <w:pPr>
              <w:spacing w:after="20" w:before="20"/>
            </w:pPr>
            <w:r/>
            <w:r>
              <w:rPr>
                <w:rFonts w:ascii="Calibri" w:hAnsi="Calibri"/>
                <w:b w:val="0"/>
                <w:sz w:val="17"/>
              </w:rPr>
              <w:t>On-chain resale, decay-fee settlement</w:t>
            </w:r>
          </w:p>
        </w:tc>
      </w:tr>
      <w:tr>
        <w:tc>
          <w:tcPr>
            <w:tcW w:type="dxa" w:w="576"/>
          </w:tcPr>
          <w:p>
            <w:pPr>
              <w:spacing w:after="20" w:before="20"/>
            </w:pPr>
            <w:r/>
            <w:r>
              <w:rPr>
                <w:rFonts w:ascii="Calibri" w:hAnsi="Calibri"/>
                <w:b w:val="0"/>
                <w:sz w:val="17"/>
              </w:rPr>
              <w:t>7</w:t>
            </w:r>
          </w:p>
        </w:tc>
        <w:tc>
          <w:tcPr>
            <w:tcW w:type="dxa" w:w="2880"/>
          </w:tcPr>
          <w:p>
            <w:pPr>
              <w:spacing w:after="20" w:before="20"/>
            </w:pPr>
            <w:r/>
            <w:r>
              <w:rPr>
                <w:rFonts w:ascii="Calibri" w:hAnsi="Calibri"/>
                <w:b w:val="0"/>
                <w:sz w:val="17"/>
              </w:rPr>
              <w:t>AttestationRegistry</w:t>
            </w:r>
          </w:p>
        </w:tc>
        <w:tc>
          <w:tcPr>
            <w:tcW w:type="dxa" w:w="6624"/>
          </w:tcPr>
          <w:p>
            <w:pPr>
              <w:spacing w:after="20" w:before="20"/>
            </w:pPr>
            <w:r/>
            <w:r>
              <w:rPr>
                <w:rFonts w:ascii="Calibri" w:hAnsi="Calibri"/>
                <w:b w:val="0"/>
                <w:sz w:val="17"/>
              </w:rPr>
              <w:t>Soulbound track attestations</w:t>
            </w:r>
          </w:p>
        </w:tc>
      </w:tr>
      <w:tr>
        <w:tc>
          <w:tcPr>
            <w:tcW w:type="dxa" w:w="576"/>
          </w:tcPr>
          <w:p>
            <w:pPr>
              <w:spacing w:after="20" w:before="20"/>
            </w:pPr>
            <w:r/>
            <w:r>
              <w:rPr>
                <w:rFonts w:ascii="Calibri" w:hAnsi="Calibri"/>
                <w:b w:val="0"/>
                <w:sz w:val="17"/>
              </w:rPr>
              <w:t>8</w:t>
            </w:r>
          </w:p>
        </w:tc>
        <w:tc>
          <w:tcPr>
            <w:tcW w:type="dxa" w:w="2880"/>
          </w:tcPr>
          <w:p>
            <w:pPr>
              <w:spacing w:after="20" w:before="20"/>
            </w:pPr>
            <w:r/>
            <w:r>
              <w:rPr>
                <w:rFonts w:ascii="Calibri" w:hAnsi="Calibri"/>
                <w:b w:val="0"/>
                <w:sz w:val="17"/>
              </w:rPr>
              <w:t>Splitter</w:t>
            </w:r>
          </w:p>
        </w:tc>
        <w:tc>
          <w:tcPr>
            <w:tcW w:type="dxa" w:w="6624"/>
          </w:tcPr>
          <w:p>
            <w:pPr>
              <w:spacing w:after="20" w:before="20"/>
            </w:pPr>
            <w:r/>
            <w:r>
              <w:rPr>
                <w:rFonts w:ascii="Calibri" w:hAnsi="Calibri"/>
                <w:b w:val="0"/>
                <w:sz w:val="17"/>
              </w:rPr>
              <w:t>Revenue intake; funds nine purpose wallets</w:t>
            </w:r>
          </w:p>
        </w:tc>
      </w:tr>
      <w:tr>
        <w:tc>
          <w:tcPr>
            <w:tcW w:type="dxa" w:w="576"/>
          </w:tcPr>
          <w:p>
            <w:pPr>
              <w:spacing w:after="20" w:before="20"/>
            </w:pPr>
            <w:r/>
            <w:r>
              <w:rPr>
                <w:rFonts w:ascii="Calibri" w:hAnsi="Calibri"/>
                <w:b w:val="0"/>
                <w:sz w:val="17"/>
              </w:rPr>
              <w:t>9</w:t>
            </w:r>
          </w:p>
        </w:tc>
        <w:tc>
          <w:tcPr>
            <w:tcW w:type="dxa" w:w="2880"/>
          </w:tcPr>
          <w:p>
            <w:pPr>
              <w:spacing w:after="20" w:before="20"/>
            </w:pPr>
            <w:r/>
            <w:r>
              <w:rPr>
                <w:rFonts w:ascii="Calibri" w:hAnsi="Calibri"/>
                <w:b w:val="0"/>
                <w:sz w:val="17"/>
              </w:rPr>
              <w:t>ArcPaymaster</w:t>
            </w:r>
          </w:p>
        </w:tc>
        <w:tc>
          <w:tcPr>
            <w:tcW w:type="dxa" w:w="6624"/>
          </w:tcPr>
          <w:p>
            <w:pPr>
              <w:spacing w:after="20" w:before="20"/>
            </w:pPr>
            <w:r/>
            <w:r>
              <w:rPr>
                <w:rFonts w:ascii="Calibri" w:hAnsi="Calibri"/>
                <w:b w:val="0"/>
                <w:sz w:val="17"/>
              </w:rPr>
              <w:t>ERC-4337 gas sponsorship in USDC</w:t>
            </w:r>
          </w:p>
        </w:tc>
      </w:tr>
    </w:tbl>
    <w:p>
      <w:pPr>
        <w:spacing w:after="40"/>
      </w:pPr>
    </w:p>
    <w:p>
      <w:r>
        <w:rPr>
          <w:b w:val="0"/>
          <w:i w:val="0"/>
        </w:rPr>
        <w:t>A single 7-day TimelockController is the admin of all nine proxies and of the .arc root node. Upgrades, price-table changes, splitter-ratio changes, and paymaster-loosening are all timelocked; emergency actions — pausing the paymaster, tightening caps — are instant but can only restrict, never expand, power. Section 13 details the governance model and the planned path to ossification after audit.</w:t>
      </w:r>
    </w:p>
    <w:p>
      <w:r>
        <w:rPr>
          <w:b w:val="0"/>
          <w:i w:val="0"/>
        </w:rPr>
        <w:t>The data flow for the common case is short. To resolve alice.arc, a client computes namehash("alice.arc") with the standard ENS algorithm, asks the Registry which resolver serves that node, then asks that Resolver for the record it needs — addr(node) for the payment address, text(node, "avatar") for a profile image, contenthash(node) for a website. To register a name, the client asks the Registrar, which checks the BrandVault reservation, applies pricing or the family free path, writes the registry entry, and optionally sets the reverse record and initial records in the same flow. Section 16 gives the minimal integration; most read-only applications need only the Registry and Resolver.</w:t>
      </w:r>
    </w:p>
    <w:p>
      <w:pPr>
        <w:spacing w:before="80" w:after="160"/>
        <w:ind w:left="216"/>
      </w:pPr>
      <w:r>
        <w:rPr>
          <w:b/>
          <w:color w:val="002040"/>
          <w:sz w:val="19"/>
        </w:rPr>
        <w:t xml:space="preserve">Reading tip:  </w:t>
      </w:r>
      <w:r>
        <w:rPr>
          <w:color w:val="3A444E"/>
          <w:sz w:val="19"/>
        </w:rPr>
        <w:t>If you only integrate one thing, integrate resolution (§16). Registration, marketplace, and brand flows are opt-in layers on top of the same registry.</w:t>
      </w:r>
    </w:p>
    <w:p>
      <w:pPr>
        <w:pStyle w:val="Heading1"/>
      </w:pPr>
      <w:r>
        <w:t>4  Core naming — Registry, Registrar, Resolver</w:t>
      </w:r>
    </w:p>
    <w:p>
      <w:pPr>
        <w:pStyle w:val="Heading2"/>
      </w:pPr>
      <w:r>
        <w:t>4.1  Registry — who owns what</w:t>
      </w:r>
    </w:p>
    <w:p>
      <w:r>
        <w:rPr>
          <w:b w:val="0"/>
          <w:i w:val="0"/>
        </w:rPr>
        <w:t>The Registry is the phone book. For every node (the namehash of a name) it stores three things: the owner address, the resolver address, and a time-to-live (TTL) for cached answers. It exposes the familiar ENS surface — owner(node), resolver(node), ttl(node) — and the owner-authorized mutators setOwner, setResolver, setTTL, and setSubnodeOwner for creating subnames. The root node (namehash of the empty label under .arc) is owned by the TimelockController; transferring it requires a two-step propose/accept with the 7-day delay, never a silent one-step change.</w:t>
      </w:r>
    </w:p>
    <w:p>
      <w:r>
        <w:rPr>
          <w:b w:val="0"/>
          <w:i w:val="0"/>
        </w:rPr>
        <w:t>The Registry makes no policy decisions. It does not know prices, tiers, or reservations. That separation is intentional: the registry’s job is to be boring, stable, and trivially auditable, because every other contract and every client ultimately trusts its answer to “who owns this name?”</w:t>
      </w:r>
    </w:p>
    <w:p>
      <w:pPr>
        <w:pStyle w:val="Heading2"/>
      </w:pPr>
      <w:r>
        <w:t>4.2  Registrar — how names are claimed</w:t>
      </w:r>
    </w:p>
    <w:p>
      <w:r>
        <w:rPr>
          <w:b w:val="0"/>
          <w:i w:val="0"/>
        </w:rPr>
        <w:t>The Registrar is the front desk. It enforces label rules, pricing, terms, and the brand-vault exemption, and it writes new entries into the Registry. The locked testnet rules are:</w:t>
      </w:r>
    </w:p>
    <w:p>
      <w:pPr>
        <w:pStyle w:val="ListBullet"/>
      </w:pPr>
      <w:r>
        <w:t>Labels are stored as submitted — the Registrar performs no Unicode normalization on-chain (full UTS-46 tables are impractical at contract gas costs, the same convention ENS follows). Normalization with UTS-46 (Unicode Technical Standard #46), which maps confusable characters to canonical forms, is the registering client’s job: the Ownership frontend, the DID wallet, and the published integration guide will normalize before submitting once built, and conforming wallets warn on look-alike names. As an automated backstop for everyone including direct contract callers, a specified ScriptGuard library (spec v0.1, not yet deployed) will make the Registrar reject labels that mix Unicode scripts (for example Latin + Cyrillic in one label), blocking the classic homograph attack at low gas cost. Until it ships, direct contract callers receive no on-chain script check.</w:t>
      </w:r>
    </w:p>
    <w:p>
      <w:pPr>
        <w:pStyle w:val="ListBullet"/>
      </w:pPr>
      <w:r>
        <w:t>Names carry a two-year initial term. Any owner-initiated use — a record update, a transfer, creating a subname — resets the term (activity auto-renewal). Renewal itself is free forever and, when needed, can be sponsored by the paymaster. Renewal is frictionless by default — ordinary use keeps a name alive, with no separate renewal transaction to remember.</w:t>
      </w:r>
    </w:p>
    <w:p>
      <w:pPr>
        <w:pStyle w:val="ListBullet"/>
      </w:pPr>
      <w:r>
        <w:t>When a term lapses there is a 90-day grace period during which only the previous owner may renew. After grace, the name parks: resolution stops, but the previous owner may still reclaim it for one additional year. Only after parking do ordinary names return to the public pool; short (premium) names return through the premium path at tier price. Brand-vault names never enter this release path (see §7).</w:t>
      </w:r>
    </w:p>
    <w:p>
      <w:pPr>
        <w:pStyle w:val="ListBullet"/>
      </w:pPr>
      <w:r>
        <w:t>The root supports parent-authorized subnames (for example team.alice.arc). A subname’s expiry never exceeds its parent’s; revocability is a parent-level setting, revocable by default and flippable to permanent; parent-set pricing defaults to free; and the paymaster can sponsor up to 20 subname creations per account per day under the normal caps (§9).</w:t>
      </w:r>
    </w:p>
    <w:p>
      <w:r>
        <w:rPr>
          <w:b w:val="0"/>
          <w:i w:val="0"/>
        </w:rPr>
        <w:t>One- and two-character names are locked at launch — not registrable through the public path — and are reserved for a later special-allocation phase. This avoids an irreversible land-grab on the scarcest namespace before pricing, brand protection, and abuse handling have been tested in public.</w:t>
      </w:r>
    </w:p>
    <w:p>
      <w:pPr>
        <w:pStyle w:val="Heading2"/>
      </w:pPr>
      <w:r>
        <w:t>4.3  Resolver — what a name points to</w:t>
      </w:r>
    </w:p>
    <w:p>
      <w:r>
        <w:rPr>
          <w:b w:val="0"/>
          <w:i w:val="0"/>
        </w:rPr>
        <w:t>The Resolver is the details page. A name’s owner (or an approved operator) sets records that any client can read without permission:</w:t>
      </w:r>
    </w:p>
    <w:p>
      <w:pPr>
        <w:pStyle w:val="ListBullet"/>
      </w:pPr>
      <w:r>
        <w:t>addr(node) — the payment address for the chain in context; and addr(node, coinType) for multichain addresses using the standard coin-type registry, so one .arc name can name wallets on many chains.</w:t>
      </w:r>
    </w:p>
    <w:p>
      <w:pPr>
        <w:pStyle w:val="ListBullet"/>
      </w:pPr>
      <w:r>
        <w:t>text(node, key) — free-form key/value records following ENS text-record conventions (for example avatar, description, url, and the did:* namespace described in §5).</w:t>
      </w:r>
    </w:p>
    <w:p>
      <w:pPr>
        <w:pStyle w:val="ListBullet"/>
      </w:pPr>
      <w:r>
        <w:t>contenthash(node) — a content-addressed website or document (IPFS / IPNS), enabling domain-free sites that resolve from the name itself.</w:t>
      </w:r>
    </w:p>
    <w:p>
      <w:pPr>
        <w:pStyle w:val="ListBullet"/>
      </w:pPr>
      <w:r>
        <w:t>Plus the standard extended interfaces — ABI, public key, name, and DNS-style records where applicable — so ENS-aware tooling works without special-casing.</w:t>
      </w:r>
    </w:p>
    <w:p>
      <w:r>
        <w:rPr>
          <w:b w:val="0"/>
          <w:i w:val="0"/>
        </w:rPr>
        <w:t>Only the name owner (as recorded in the Registry) may change its records. Resolvers themselves are replaceable per name: an owner who wants custom logic points their node at a different resolver contract without moving ownership. The default public resolver shipped with Ownership covers the record types above and is what the testnet deployment and npm examples use.</w:t>
      </w:r>
    </w:p>
    <w:p>
      <w:pPr>
        <w:spacing w:before="80" w:after="160"/>
        <w:ind w:left="216"/>
      </w:pPr>
      <w:r>
        <w:rPr>
          <w:b/>
          <w:color w:val="002040"/>
          <w:sz w:val="19"/>
        </w:rPr>
        <w:t xml:space="preserve">For wallet builders:  </w:t>
      </w:r>
      <w:r>
        <w:rPr>
          <w:color w:val="3A444E"/>
          <w:sz w:val="19"/>
        </w:rPr>
        <w:t>Treat resolver answers as untrusted display data until you have checked the Registry. Always confirm that the resolver you are reading is the resolver the Registry currently names for that node, and forward-verify reverse records (§5) before showing a name in place of an address.</w:t>
      </w:r>
    </w:p>
    <w:p>
      <w:pPr>
        <w:pStyle w:val="Heading1"/>
      </w:pPr>
      <w:r>
        <w:t>5  Reverse resolution and did:arc</w:t>
      </w:r>
    </w:p>
    <w:p>
      <w:pPr>
        <w:pStyle w:val="Heading2"/>
      </w:pPr>
      <w:r>
        <w:t>5.1  ReverseRegistrar — from address back to name</w:t>
      </w:r>
    </w:p>
    <w:p>
      <w:r>
        <w:rPr>
          <w:b w:val="0"/>
          <w:i w:val="0"/>
        </w:rPr>
        <w:t>Forward resolution answers “what address does alice.arc point to?” Reverse resolution answers the question every wallet UI actually faces: “I have address 0x9b5D… — is there a name I can show?” The ReverseRegistrar lets an address claim a primary name (setName) under the reverse namespace. Crucially, a reverse claim is never trusted on its own: clients must forward-verify — resolve the claimed name forward and confirm it points back to the claiming address — before displaying it. An unverified claim is ignored. This forward-verification rule, carried over from ENS practice, is what prevents an attacker from labeling their address with someone else’s name in wallet UIs.</w:t>
      </w:r>
    </w:p>
    <w:p>
      <w:pPr>
        <w:pStyle w:val="Heading2"/>
      </w:pPr>
      <w:r>
        <w:t>5.2  did:arc — decentralized identifiers on the same root</w:t>
      </w:r>
    </w:p>
    <w:p>
      <w:r>
        <w:rPr>
          <w:b w:val="0"/>
          <w:i w:val="0"/>
        </w:rPr>
        <w:t>The did:arc method (specification v0.1) defines identifiers of the form did:arc:&lt;address&gt;, where the method-specific identifier is the lowercase 0x-prefixed EVM address that controls the DID. The design mirrors did:ethr’s key insight: the identifier needs no registration transaction to exist — generate a keypair and the DID exists. Resolution is deterministic and server-free:</w:t>
      </w:r>
    </w:p>
    <w:p>
      <w:pPr>
        <w:pStyle w:val="ListBullet"/>
      </w:pPr>
      <w:r>
        <w:t>The base DID document is constructed implicitly from the address: a single EcdsaSecp256k1RecoveryMethod2020 verification method whose blockchainAccountId is the CAIP-10 account (eip155:&lt;chainId&gt;:&lt;address&gt;), listed under both authentication and assertionMethod.</w:t>
      </w:r>
    </w:p>
    <w:p>
      <w:pPr>
        <w:pStyle w:val="ListBullet"/>
      </w:pPr>
      <w:r>
        <w:t>If the address has a forward-verified .arc reverse name, the document gains an alsoKnownAs entry for that name. Linkage is opt-in and public — setting it publicly ties the address to a human-readable name, and wallets must warn before a user publishes it.</w:t>
      </w:r>
    </w:p>
    <w:p>
      <w:pPr>
        <w:pStyle w:val="ListBullet"/>
      </w:pPr>
      <w:r>
        <w:t>Extended fields ride on the linked name’s resolver text records under the did:* namespace: did:service:&lt;id&gt; adds service endpoints, did:key:&lt;id&gt; adds delegate verification methods, and did:deactivated set to "true" marks the DID deactivated. No separate DID registry contract is needed for v0.1.</w:t>
      </w:r>
    </w:p>
    <w:p>
      <w:r>
        <w:rPr>
          <w:b w:val="0"/>
          <w:i w:val="0"/>
        </w:rPr>
        <w:t>Key rotation at the base layer means a new DID (the identifier is the key); document-layer changes — adding delegates, updating services, linking or unlinking a name — are ordinary owner-signed record updates, gas-sponsored where the naming flow sponsors them. Bare DIDs with no linked name have no on-chain deactivation in v0.1: lose the key and the DID is simply unusable, which for a self-certifying identifier is the honest equivalent. A dedicated DID registry with rotation-preserving identifiers is reserved for a future version. The method still requires W3C DID Method Registry submission, a DIF Universal Resolver driver, and published test vectors before it can claim registered status — all tracked as open work in the method specification.</w:t>
      </w:r>
    </w:p>
    <w:p>
      <w:pPr>
        <w:spacing w:before="80" w:after="160"/>
        <w:ind w:left="216"/>
      </w:pPr>
      <w:r>
        <w:rPr>
          <w:b/>
          <w:color w:val="002040"/>
          <w:sz w:val="19"/>
        </w:rPr>
        <w:t xml:space="preserve">Privacy note:  </w:t>
      </w:r>
      <w:r>
        <w:rPr>
          <w:color w:val="3A444E"/>
          <w:sz w:val="19"/>
        </w:rPr>
        <w:t>A single DID reused everywhere links all of its uses to one address. The method supports pairwise DIDs (one per relationship) with no extra machinery, and no personal data should ever be placed in public did:* text records — put a service endpoint there and negotiate private exchange off-chain.</w:t>
      </w:r>
    </w:p>
    <w:p>
      <w:pPr>
        <w:pStyle w:val="Heading1"/>
      </w:pPr>
      <w:r>
        <w:t>6  AttestationRegistry — education and verified marks</w:t>
      </w:r>
    </w:p>
    <w:p>
      <w:r>
        <w:rPr>
          <w:b w:val="0"/>
          <w:i w:val="0"/>
        </w:rPr>
        <w:t>The AttestationRegistry is a soulbound (non-transferable) attestation ledger. It stores, per account, a bitmap of completed education tracks: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1152"/>
            <w:shd w:fill="002040"/>
          </w:tcPr>
          <w:p>
            <w:pPr>
              <w:spacing w:after="20" w:before="20"/>
            </w:pPr>
            <w:r/>
            <w:r>
              <w:rPr>
                <w:rFonts w:ascii="Calibri" w:hAnsi="Calibri"/>
                <w:b/>
                <w:color w:val="FFFFFF"/>
                <w:sz w:val="17"/>
              </w:rPr>
              <w:t>Track</w:t>
            </w:r>
          </w:p>
        </w:tc>
        <w:tc>
          <w:tcPr>
            <w:tcW w:type="dxa" w:w="3168"/>
            <w:shd w:fill="002040"/>
          </w:tcPr>
          <w:p>
            <w:pPr>
              <w:spacing w:after="20" w:before="20"/>
            </w:pPr>
            <w:r/>
            <w:r>
              <w:rPr>
                <w:rFonts w:ascii="Calibri" w:hAnsi="Calibri"/>
                <w:b/>
                <w:color w:val="FFFFFF"/>
                <w:sz w:val="17"/>
              </w:rPr>
              <w:t>Meaning</w:t>
            </w:r>
          </w:p>
        </w:tc>
        <w:tc>
          <w:tcPr>
            <w:tcW w:type="dxa" w:w="5760"/>
            <w:shd w:fill="002040"/>
          </w:tcPr>
          <w:p>
            <w:pPr>
              <w:spacing w:after="20" w:before="20"/>
            </w:pPr>
            <w:r/>
            <w:r>
              <w:rPr>
                <w:rFonts w:ascii="Calibri" w:hAnsi="Calibri"/>
                <w:b/>
                <w:color w:val="FFFFFF"/>
                <w:sz w:val="17"/>
              </w:rPr>
              <w:t>Gates</w:t>
            </w:r>
          </w:p>
        </w:tc>
      </w:tr>
      <w:tr>
        <w:tc>
          <w:tcPr>
            <w:tcW w:type="dxa" w:w="1152"/>
          </w:tcPr>
          <w:p>
            <w:pPr>
              <w:spacing w:after="20" w:before="20"/>
            </w:pPr>
            <w:r/>
            <w:r>
              <w:rPr>
                <w:rFonts w:ascii="Calibri" w:hAnsi="Calibri"/>
                <w:b w:val="0"/>
                <w:sz w:val="17"/>
              </w:rPr>
              <w:t>0</w:t>
            </w:r>
          </w:p>
        </w:tc>
        <w:tc>
          <w:tcPr>
            <w:tcW w:type="dxa" w:w="3168"/>
          </w:tcPr>
          <w:p>
            <w:pPr>
              <w:spacing w:after="20" w:before="20"/>
            </w:pPr>
            <w:r/>
            <w:r>
              <w:rPr>
                <w:rFonts w:ascii="Calibri" w:hAnsi="Calibri"/>
                <w:b w:val="0"/>
                <w:sz w:val="17"/>
              </w:rPr>
              <w:t>Orientation</w:t>
            </w:r>
          </w:p>
        </w:tc>
        <w:tc>
          <w:tcPr>
            <w:tcW w:type="dxa" w:w="5760"/>
          </w:tcPr>
          <w:p>
            <w:pPr>
              <w:spacing w:after="20" w:before="20"/>
            </w:pPr>
            <w:r/>
            <w:r>
              <w:rPr>
                <w:rFonts w:ascii="Calibri" w:hAnsi="Calibri"/>
                <w:b w:val="0"/>
                <w:sz w:val="17"/>
              </w:rPr>
              <w:t>Family free registration path</w:t>
            </w:r>
          </w:p>
        </w:tc>
      </w:tr>
      <w:tr>
        <w:tc>
          <w:tcPr>
            <w:tcW w:type="dxa" w:w="1152"/>
          </w:tcPr>
          <w:p>
            <w:pPr>
              <w:spacing w:after="20" w:before="20"/>
            </w:pPr>
            <w:r/>
            <w:r>
              <w:rPr>
                <w:rFonts w:ascii="Calibri" w:hAnsi="Calibri"/>
                <w:b w:val="0"/>
                <w:sz w:val="17"/>
              </w:rPr>
              <w:t>1</w:t>
            </w:r>
          </w:p>
        </w:tc>
        <w:tc>
          <w:tcPr>
            <w:tcW w:type="dxa" w:w="3168"/>
          </w:tcPr>
          <w:p>
            <w:pPr>
              <w:spacing w:after="20" w:before="20"/>
            </w:pPr>
            <w:r/>
            <w:r>
              <w:rPr>
                <w:rFonts w:ascii="Calibri" w:hAnsi="Calibri"/>
                <w:b w:val="0"/>
                <w:sz w:val="17"/>
              </w:rPr>
              <w:t>Successor trustee</w:t>
            </w:r>
          </w:p>
        </w:tc>
        <w:tc>
          <w:tcPr>
            <w:tcW w:type="dxa" w:w="5760"/>
          </w:tcPr>
          <w:p>
            <w:pPr>
              <w:spacing w:after="20" w:before="20"/>
            </w:pPr>
            <w:r/>
            <w:r>
              <w:rPr>
                <w:rFonts w:ascii="Calibri" w:hAnsi="Calibri"/>
                <w:b w:val="0"/>
                <w:sz w:val="17"/>
              </w:rPr>
              <w:t>Successor designations (future)</w:t>
            </w:r>
          </w:p>
        </w:tc>
      </w:tr>
      <w:tr>
        <w:tc>
          <w:tcPr>
            <w:tcW w:type="dxa" w:w="1152"/>
          </w:tcPr>
          <w:p>
            <w:pPr>
              <w:spacing w:after="20" w:before="20"/>
            </w:pPr>
            <w:r/>
            <w:r>
              <w:rPr>
                <w:rFonts w:ascii="Calibri" w:hAnsi="Calibri"/>
                <w:b w:val="0"/>
                <w:sz w:val="17"/>
              </w:rPr>
              <w:t>2</w:t>
            </w:r>
          </w:p>
        </w:tc>
        <w:tc>
          <w:tcPr>
            <w:tcW w:type="dxa" w:w="3168"/>
          </w:tcPr>
          <w:p>
            <w:pPr>
              <w:spacing w:after="20" w:before="20"/>
            </w:pPr>
            <w:r/>
            <w:r>
              <w:rPr>
                <w:rFonts w:ascii="Calibri" w:hAnsi="Calibri"/>
                <w:b w:val="0"/>
                <w:sz w:val="17"/>
              </w:rPr>
              <w:t>Office management</w:t>
            </w:r>
          </w:p>
        </w:tc>
        <w:tc>
          <w:tcPr>
            <w:tcW w:type="dxa" w:w="5760"/>
          </w:tcPr>
          <w:p>
            <w:pPr>
              <w:spacing w:after="20" w:before="20"/>
            </w:pPr>
            <w:r/>
            <w:r>
              <w:rPr>
                <w:rFonts w:ascii="Calibri" w:hAnsi="Calibri"/>
                <w:b w:val="0"/>
                <w:sz w:val="17"/>
              </w:rPr>
              <w:t>Management roles (future)</w:t>
            </w:r>
          </w:p>
        </w:tc>
      </w:tr>
      <w:tr>
        <w:tc>
          <w:tcPr>
            <w:tcW w:type="dxa" w:w="1152"/>
          </w:tcPr>
          <w:p>
            <w:pPr>
              <w:spacing w:after="20" w:before="20"/>
            </w:pPr>
            <w:r/>
            <w:r>
              <w:rPr>
                <w:rFonts w:ascii="Calibri" w:hAnsi="Calibri"/>
                <w:b w:val="0"/>
                <w:sz w:val="17"/>
              </w:rPr>
              <w:t>3</w:t>
            </w:r>
          </w:p>
        </w:tc>
        <w:tc>
          <w:tcPr>
            <w:tcW w:type="dxa" w:w="3168"/>
          </w:tcPr>
          <w:p>
            <w:pPr>
              <w:spacing w:after="20" w:before="20"/>
            </w:pPr>
            <w:r/>
            <w:r>
              <w:rPr>
                <w:rFonts w:ascii="Calibri" w:hAnsi="Calibri"/>
                <w:b w:val="0"/>
                <w:sz w:val="17"/>
              </w:rPr>
              <w:t>Name holder</w:t>
            </w:r>
          </w:p>
        </w:tc>
        <w:tc>
          <w:tcPr>
            <w:tcW w:type="dxa" w:w="5760"/>
          </w:tcPr>
          <w:p>
            <w:pPr>
              <w:spacing w:after="20" w:before="20"/>
            </w:pPr>
            <w:r/>
            <w:r>
              <w:rPr>
                <w:rFonts w:ascii="Calibri" w:hAnsi="Calibri"/>
                <w:b w:val="0"/>
                <w:sz w:val="17"/>
              </w:rPr>
              <w:t>Name-holder designations (future)</w:t>
            </w:r>
          </w:p>
        </w:tc>
      </w:tr>
    </w:tbl>
    <w:p>
      <w:pPr>
        <w:spacing w:after="40"/>
      </w:pPr>
    </w:p>
    <w:p>
      <w:r>
        <w:rPr>
          <w:b w:val="0"/>
          <w:i w:val="0"/>
        </w:rPr>
        <w:t>Only accounts holding ISSUER_ROLE may mint or revoke attestations; both operations are idempotent, and every change emits an indexed Attested / Revoked event so clients and indexers can follow them via ordinary log queries. Administration sits behind the 7-day timelock. There is no token and nothing to trade — an attestation is a fact about an account, not an asset.</w:t>
      </w:r>
    </w:p>
    <w:p>
      <w:r>
        <w:rPr>
          <w:b w:val="0"/>
          <w:i w:val="0"/>
        </w:rPr>
        <w:t>The gating rule is deliberately narrow: the Registrar’s family free path requires both allowlist membership and a live orientation attestation (isFamilyFree). An allowlisted account without the attestation simply pays the normal outsider price — the gate withholds a benefit, never the registration itself. Emergency claims are never gated on attestations. This keeps education meaningful (you learn the key-management and succession basics before the free path opens) without turning a course completion into a single point of failure for access.</w:t>
      </w:r>
    </w:p>
    <w:p>
      <w:pPr>
        <w:pStyle w:val="Heading1"/>
      </w:pPr>
      <w:r>
        <w:t>7  BrandVault — protecting well-known marks</w:t>
      </w:r>
    </w:p>
    <w:p>
      <w:r>
        <w:rPr>
          <w:b w:val="0"/>
          <w:i w:val="0"/>
        </w:rPr>
        <w:t>Brand squatting is the predictable abuse of any new namespace: register a famous company’s name on day one and ransom it back. The BrandVault addresses the tractable half of this problem — exact matches of well-known marks — without pretending to solve the intractable half (infinite typosquats).</w:t>
      </w:r>
    </w:p>
    <w:p>
      <w:r>
        <w:rPr>
          <w:b w:val="0"/>
          <w:i w:val="0"/>
        </w:rPr>
        <w:t>A Merkle root commits to the reserved set. On testnet this is a small sample list; the mainnet set is planned to cover the Fortune 1000, famous marks, and Arc-ecosystem names (including circle.arc). Any name whose label hashes into the Merkle tree is exempt from ordinary registration: the Registrar refuses it, and vault-held reservations never expire, park, or re-release. The rights holder claims its name through a right-of-first-refusal (ROFR) flow at the applicable tier price, with manual verification at first (corporate domain or trademark record matched to an allowlisted address). Claims and auctions are mutually exclusive per name — a live auction blocks a claim and a pending claim blocks an auction — and claimants and auction winners alike receive a fresh two-year term with a restarted hold clock.</w:t>
      </w:r>
    </w:p>
    <w:p>
      <w:r>
        <w:rPr>
          <w:b w:val="0"/>
          <w:i w:val="0"/>
        </w:rPr>
        <w:t>Unclaimed reserved names may eventually be released through scheduled public English auctions, rate-limited on-chain (a maximum number of new auctions per month; the exact figure is a pre-mainnet decision). Proceeds flow to the Splitter (§10). Where two verified claimants compete for the same bare name, the first verified claimant takes the bare name and the runner-up is offered a descriptive variant on the same terms. Productized brand packages — the name plus a verified-organization mark, a subname fleet, and support — are contemplated as annual services priced to the treasury; all brand-package pricing is placeholder until after the audit.</w:t>
      </w:r>
    </w:p>
    <w:p>
      <w:r>
        <w:rPr>
          <w:b w:val="0"/>
          <w:i w:val="0"/>
        </w:rPr>
        <w:t>What the vault deliberately does not do: it does not reserve misspellings. Typosquats are infinite and reserving them is a losing game. Instead, the anti-impersonation stack is layered — exact-match reservation here, client-side UTS-46 normalization plus the specified (not yet deployed) on-chain mixed-script guard (§4.2), a verified-organization mark that impostors cannot fake, wallet-side similarity warnings when a user types a name close to a verified one, and a dispute process for bad-faith typosquatting that is explicitly deferred until before the public phase. No single layer is sufficient; together they raise the cost of impersonation well above the cost of honest registration.</w:t>
      </w:r>
    </w:p>
    <w:p>
      <w:pPr>
        <w:pStyle w:val="Heading1"/>
      </w:pPr>
      <w:r>
        <w:t>8  Marketplace — resale with a decay fee</w:t>
      </w:r>
    </w:p>
    <w:p>
      <w:r>
        <w:rPr>
          <w:b w:val="0"/>
          <w:i w:val="0"/>
        </w:rPr>
        <w:t>Names are transferable. Peer-to-peer transfers are always unrestricted — Ownership enforces no royalty on off-venue transfers and could not credibly do so. The Marketplace contract is the optional on-venue path: a seller lists a name at a set price, a buyer pays, and ownership, payment, and fee settlement happen atomically in one transaction.</w:t>
      </w:r>
    </w:p>
    <w:p>
      <w:r>
        <w:rPr>
          <w:b w:val="0"/>
          <w:i w:val="0"/>
        </w:rPr>
        <w:t>Each on-venue sale pays a commons fee scaled by how long the seller held the name. Let d be the hold duration in days, capped at 730. The fee in basis points is:</w:t>
      </w:r>
    </w:p>
    <w:p>
      <w:pPr>
        <w:spacing w:before="80" w:after="160"/>
        <w:ind w:left="216"/>
      </w:pPr>
      <w:r>
        <w:rPr>
          <w:b/>
          <w:color w:val="002040"/>
          <w:sz w:val="19"/>
        </w:rPr>
        <w:t xml:space="preserve">Fee curve:  </w:t>
      </w:r>
      <w:r>
        <w:rPr>
          <w:color w:val="3A444E"/>
          <w:sz w:val="19"/>
        </w:rPr>
        <w:t>feeBps(d) = 200 + 1800 × (730 − d)² / 730².  At d = 0 the fee is 2,000 bps (20%); it falls quadratically, passes roughly 7% near one year, and reaches its 200 bps (2%) floor at two years, where it stays.</w:t>
      </w:r>
    </w:p>
    <w:p>
      <w:r>
        <w:rPr>
          <w:b w:val="0"/>
          <w:i w:val="0"/>
        </w:rPr>
        <w:t>The shape is the policy. A 20% day-zero fee makes buy-and-dump speculation expensive; a 2% floor for two-year holders treats long-term owners as stewards rather than exit liquidity. Every sale — marketplace, brand claim, or auction win — also resets the name’s term to a full two years and restarts the hold clock for the buyer, re-enrolling them in the activity-based renewal cycle. Fees route to the Splitter (§10). Active listings are enumerable on-chain (a small dataset by design), so marketplace UIs need no indexer to show what is for sale — though they should still confirm ownership against the Registry at purchase time, as with any on-chain read (§11).</w:t>
      </w:r>
    </w:p>
    <w:p>
      <w:pPr>
        <w:pStyle w:val="Heading1"/>
      </w:pPr>
      <w:r>
        <w:t>9  ArcPaymaster — sponsored gas in USDC</w:t>
      </w:r>
    </w:p>
    <w:p>
      <w:r>
        <w:rPr>
          <w:b w:val="0"/>
          <w:i w:val="0"/>
        </w:rPr>
        <w:t>The first-run problem of every naming system is gas: a new user who has no native balance cannot pay to register the very name that would make the chain usable for them. Ownership’s answer is ArcPaymaster, an ERC-4337 (account abstraction) verifying paymaster that sponsors user operations and settles in USDC on Arc. It was proven on testnet with a real sponsored user operation submitted through a public bundler (Pimlico) against the live EntryPoint — gas sponsorship is demonstrated behavior, not a paper design.</w:t>
      </w:r>
    </w:p>
    <w:p>
      <w:r>
        <w:rPr>
          <w:b w:val="0"/>
          <w:i w:val="0"/>
        </w:rPr>
        <w:t>The design target is frictionless onboarding: a new user goes from zero balance to a registered name without ever touching a faucet or holding a gas token.</w:t>
      </w:r>
    </w:p>
    <w:p>
      <w:r>
        <w:rPr>
          <w:b w:val="0"/>
          <w:i w:val="0"/>
        </w:rPr>
        <w:t>The paymaster sponsors only allowlisted actions: registrations, renewals, record updates, and parent-authorized subname creation. It never sponsors premium-auction bids. Sponsorship is rate-limited per account per day under the baseline caps — 5 registrations, 50 renewals, 50 record updates, and 20 subname creations — with a higher tier for family and verified allowlisted accounts. Caps are tunable by governance within the control asymmetry described below.</w:t>
      </w:r>
    </w:p>
    <w:p>
      <w:pPr>
        <w:pStyle w:val="ListBullet"/>
      </w:pPr>
      <w:r>
        <w:t>Tightening is instant (an admin can lower caps immediately in response to abuse); loosening requires the 7-day timelock, so a compromised admin key cannot silently open the taps.</w:t>
      </w:r>
    </w:p>
    <w:p>
      <w:pPr>
        <w:pStyle w:val="ListBullet"/>
      </w:pPr>
      <w:r>
        <w:t>Pausing is instant and stops sponsor drain without affecting user-paid transactions, which always work. Unpausing follows the recovery playbook (§12).</w:t>
      </w:r>
    </w:p>
    <w:p>
      <w:pPr>
        <w:pStyle w:val="ListBullet"/>
      </w:pPr>
      <w:r>
        <w:t>The signing key that approves sponsorship is rotatable by admin action alone; sponsor funds can be withdrawn only to the vault address and only through the timelock. The paymaster stakes with the EntryPoint as ERC-7562 requires, so bundlers accept its validation-phase accounting.</w:t>
      </w:r>
    </w:p>
    <w:p>
      <w:r>
        <w:rPr>
          <w:b w:val="0"/>
          <w:i w:val="0"/>
        </w:rPr>
        <w:t>The trust boundary is stated plainly because builders depend on it: the paymaster can sponsor gas and can refuse to sponsor. It cannot take names, touch user funds, alter records, or block a user who pays their own gas. Degradation is graceful and automatic in policy terms — healthy balance, normal caps; low balance, tightened caps; near-empty, the free tier pauses while paid use continues unaffected.</w:t>
      </w:r>
    </w:p>
    <w:p>
      <w:pPr>
        <w:pStyle w:val="Heading1"/>
      </w:pPr>
      <w:r>
        <w:t>10  Economics and revenue</w:t>
      </w:r>
    </w:p>
    <w:p>
      <w:pPr>
        <w:pStyle w:val="Heading2"/>
      </w:pPr>
      <w:r>
        <w:t>10.1  Pricing — one-time tiers, free renewals</w:t>
      </w:r>
    </w:p>
    <w:p>
      <w:r>
        <w:rPr>
          <w:b w:val="0"/>
          <w:i w:val="0"/>
        </w:rPr>
        <w:t>Ownership charges once, at registration, and never charges rent. The tier structure (lengths in characters of the label) is: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016"/>
            <w:shd w:fill="002040"/>
          </w:tcPr>
          <w:p>
            <w:pPr>
              <w:spacing w:after="20" w:before="20"/>
            </w:pPr>
            <w:r/>
            <w:r>
              <w:rPr>
                <w:rFonts w:ascii="Calibri" w:hAnsi="Calibri"/>
                <w:b/>
                <w:color w:val="FFFFFF"/>
                <w:sz w:val="17"/>
              </w:rPr>
              <w:t>Label length</w:t>
            </w:r>
          </w:p>
        </w:tc>
        <w:tc>
          <w:tcPr>
            <w:tcW w:type="dxa" w:w="3312"/>
            <w:shd w:fill="002040"/>
          </w:tcPr>
          <w:p>
            <w:pPr>
              <w:spacing w:after="20" w:before="20"/>
            </w:pPr>
            <w:r/>
            <w:r>
              <w:rPr>
                <w:rFonts w:ascii="Calibri" w:hAnsi="Calibri"/>
                <w:b/>
                <w:color w:val="FFFFFF"/>
                <w:sz w:val="17"/>
              </w:rPr>
              <w:t>Launch treatment</w:t>
            </w:r>
          </w:p>
        </w:tc>
        <w:tc>
          <w:tcPr>
            <w:tcW w:type="dxa" w:w="4752"/>
            <w:shd w:fill="002040"/>
          </w:tcPr>
          <w:p>
            <w:pPr>
              <w:spacing w:after="20" w:before="20"/>
            </w:pPr>
            <w:r/>
            <w:r>
              <w:rPr>
                <w:rFonts w:ascii="Calibri" w:hAnsi="Calibri"/>
                <w:b/>
                <w:color w:val="FFFFFF"/>
                <w:sz w:val="17"/>
              </w:rPr>
              <w:t>Notes</w:t>
            </w:r>
          </w:p>
        </w:tc>
      </w:tr>
      <w:tr>
        <w:tc>
          <w:tcPr>
            <w:tcW w:type="dxa" w:w="2016"/>
          </w:tcPr>
          <w:p>
            <w:pPr>
              <w:spacing w:after="20" w:before="20"/>
            </w:pPr>
            <w:r/>
            <w:r>
              <w:rPr>
                <w:rFonts w:ascii="Calibri" w:hAnsi="Calibri"/>
                <w:b w:val="0"/>
                <w:sz w:val="17"/>
              </w:rPr>
              <w:t>1–2 chars</w:t>
            </w:r>
          </w:p>
        </w:tc>
        <w:tc>
          <w:tcPr>
            <w:tcW w:type="dxa" w:w="3312"/>
          </w:tcPr>
          <w:p>
            <w:pPr>
              <w:spacing w:after="20" w:before="20"/>
            </w:pPr>
            <w:r/>
            <w:r>
              <w:rPr>
                <w:rFonts w:ascii="Calibri" w:hAnsi="Calibri"/>
                <w:b w:val="0"/>
                <w:sz w:val="17"/>
              </w:rPr>
              <w:t>Locked</w:t>
            </w:r>
          </w:p>
        </w:tc>
        <w:tc>
          <w:tcPr>
            <w:tcW w:type="dxa" w:w="4752"/>
          </w:tcPr>
          <w:p>
            <w:pPr>
              <w:spacing w:after="20" w:before="20"/>
            </w:pPr>
            <w:r/>
            <w:r>
              <w:rPr>
                <w:rFonts w:ascii="Calibri" w:hAnsi="Calibri"/>
                <w:b w:val="0"/>
                <w:sz w:val="17"/>
              </w:rPr>
              <w:t>Special allocation, Phase 3+</w:t>
            </w:r>
          </w:p>
        </w:tc>
      </w:tr>
      <w:tr>
        <w:tc>
          <w:tcPr>
            <w:tcW w:type="dxa" w:w="2016"/>
          </w:tcPr>
          <w:p>
            <w:pPr>
              <w:spacing w:after="20" w:before="20"/>
            </w:pPr>
            <w:r/>
            <w:r>
              <w:rPr>
                <w:rFonts w:ascii="Calibri" w:hAnsi="Calibri"/>
                <w:b w:val="0"/>
                <w:sz w:val="17"/>
              </w:rPr>
              <w:t>3–6 chars</w:t>
            </w:r>
          </w:p>
        </w:tc>
        <w:tc>
          <w:tcPr>
            <w:tcW w:type="dxa" w:w="3312"/>
          </w:tcPr>
          <w:p>
            <w:pPr>
              <w:spacing w:after="20" w:before="20"/>
            </w:pPr>
            <w:r/>
            <w:r>
              <w:rPr>
                <w:rFonts w:ascii="Calibri" w:hAnsi="Calibri"/>
                <w:b w:val="0"/>
                <w:sz w:val="17"/>
              </w:rPr>
              <w:t>Tiered one-time price</w:t>
            </w:r>
          </w:p>
        </w:tc>
        <w:tc>
          <w:tcPr>
            <w:tcW w:type="dxa" w:w="4752"/>
          </w:tcPr>
          <w:p>
            <w:pPr>
              <w:spacing w:after="20" w:before="20"/>
            </w:pPr>
            <w:r/>
            <w:r>
              <w:rPr>
                <w:rFonts w:ascii="Calibri" w:hAnsi="Calibri"/>
                <w:b w:val="0"/>
                <w:sz w:val="17"/>
              </w:rPr>
              <w:t>Bands locked; amounts pre-mainnet</w:t>
            </w:r>
          </w:p>
        </w:tc>
      </w:tr>
      <w:tr>
        <w:tc>
          <w:tcPr>
            <w:tcW w:type="dxa" w:w="2016"/>
          </w:tcPr>
          <w:p>
            <w:pPr>
              <w:spacing w:after="20" w:before="20"/>
            </w:pPr>
            <w:r/>
            <w:r>
              <w:rPr>
                <w:rFonts w:ascii="Calibri" w:hAnsi="Calibri"/>
                <w:b w:val="0"/>
                <w:sz w:val="17"/>
              </w:rPr>
              <w:t>7+ chars</w:t>
            </w:r>
          </w:p>
        </w:tc>
        <w:tc>
          <w:tcPr>
            <w:tcW w:type="dxa" w:w="3312"/>
          </w:tcPr>
          <w:p>
            <w:pPr>
              <w:spacing w:after="20" w:before="20"/>
            </w:pPr>
            <w:r/>
            <w:r>
              <w:rPr>
                <w:rFonts w:ascii="Calibri" w:hAnsi="Calibri"/>
                <w:b w:val="0"/>
                <w:sz w:val="17"/>
              </w:rPr>
              <w:t>Free</w:t>
            </w:r>
          </w:p>
        </w:tc>
        <w:tc>
          <w:tcPr>
            <w:tcW w:type="dxa" w:w="4752"/>
          </w:tcPr>
          <w:p>
            <w:pPr>
              <w:spacing w:after="20" w:before="20"/>
            </w:pPr>
            <w:r/>
            <w:r>
              <w:rPr>
                <w:rFonts w:ascii="Calibri" w:hAnsi="Calibri"/>
                <w:b w:val="0"/>
                <w:sz w:val="17"/>
              </w:rPr>
              <w:t>Gas (sponsorable) only</w:t>
            </w:r>
          </w:p>
        </w:tc>
      </w:tr>
    </w:tbl>
    <w:p>
      <w:pPr>
        <w:spacing w:after="40"/>
      </w:pPr>
    </w:p>
    <w:p>
      <w:r>
        <w:rPr>
          <w:b w:val="0"/>
          <w:i w:val="0"/>
        </w:rPr>
        <w:t>Exact tier amounts, the marketplace fee-curve parameters’ final calibration, auction rates, and brand-package prices are deliberately not locked in this paper — they are set after testnet gas measurement and the audit, and locking them now would be false precision. What is locked is the structure: short names carry the namespace’s scarcity value, ordinary names are free, and no name is ever held hostage to a renewal payment. Renewals are free forever; continued ownership is maintained by use (activity resets the two-year term) through the grace-and-park lifecycle in §4.2, which returns genuinely abandoned names to the pool without rent extraction.</w:t>
      </w:r>
    </w:p>
    <w:p>
      <w:r>
        <w:rPr>
          <w:b w:val="0"/>
          <w:i w:val="0"/>
        </w:rPr>
        <w:t>Progressive bulk pricing (implemented and tested locally; testnet upgrade proposed 6 October 2026 through the timelock, executing 13 October): a lifetime per-sender registration counter drives a tiered surcharge on new root-name registrations. The approved testnet placeholder tiers are: first name free; names 2–100 at $0.10; names 101–1,000 at $0.50; names beyond 1,000 at $5.00. The curve is gentle at human scale and prohibitive at industrial scale — it prices out a bot minting millions of names while leaving ordinary use nearly frictionless. Renewals, transfers, record writes, and subnames never count toward the counter; the surcharge is never sponsored by the paymaster and flows to the Splitter with all other revenue. Family-allowlisted members and timelock-granted bulk permits (for legitimate bulk registrants such as device factories) are exempt. Wallets quote the surcharge up front through a public view function, so the price is never a surprise at signing.</w:t>
      </w:r>
    </w:p>
    <w:p>
      <w:pPr>
        <w:pStyle w:val="Heading2"/>
      </w:pPr>
      <w:r>
        <w:t>10.2  Who pays, who does not</w:t>
      </w:r>
    </w:p>
    <w:p>
      <w:pPr>
        <w:pStyle w:val="ListBullet"/>
      </w:pPr>
      <w:r>
        <w:t>Family and verified allowlisted members who have completed orientation (§6) register free; the paymaster sponsors their gas under the higher cap tier.</w:t>
      </w:r>
    </w:p>
    <w:p>
      <w:pPr>
        <w:pStyle w:val="ListBullet"/>
      </w:pPr>
      <w:r>
        <w:t>Outside registrants pay their own gas plus a matching fee to the treasury — early outside demand directly funds the commons that makes free names possible.</w:t>
      </w:r>
    </w:p>
    <w:p>
      <w:pPr>
        <w:pStyle w:val="ListBullet"/>
      </w:pPr>
      <w:r>
        <w:t>Resale fees (§8), brand-claim and auction proceeds (§7), and any future brand-service revenue all enter the same revenue path (§10.3).</w:t>
      </w:r>
    </w:p>
    <w:p>
      <w:r>
        <w:rPr>
          <w:b w:val="0"/>
          <w:i w:val="0"/>
        </w:rPr>
        <w:t>There is no token. Ownership has no governance token, no fee token, and no plans for one; USDC is the unit of account for priced actions and gas settlement on Arc.</w:t>
      </w:r>
    </w:p>
    <w:p>
      <w:pPr>
        <w:pStyle w:val="Heading2"/>
      </w:pPr>
      <w:r>
        <w:t>10.3  Revenue — nine purpose wallets</w:t>
      </w:r>
    </w:p>
    <w:p>
      <w:r>
        <w:rPr>
          <w:b w:val="0"/>
          <w:i w:val="0"/>
        </w:rPr>
        <w:t>All protocol revenue — tier sales, marketplace fees, auction proceeds, outsider matching fees, bulk-pricing surcharges, and brand-service income — is received by the Splitter. The Splitter live on testnet today is the original three-wallet percentage contract; its replacement, NineWalletSplitter, is implemented and tested locally but not yet deployed. NineWalletSplitter funds the nine purpose wallets below by a cap-based waterfall in funding-priority order, and exposes fundEscrow(), callable only by the refill escrow, which tops the escrow up to its cap. Nine purpose wallets are funded from the Splitter by timelock decision, as needed, in a design intended to become a self-sustaining funding circle governed by programmed rules and the timelock:</w:t>
      </w:r>
    </w:p>
    <w:tbl>
      <w:tblPr>
        <w:tblStyle w:val="TableGrid"/>
        <w:tblW w:type="auto" w:w="0"/>
        <w:jc w:val="center"/>
        <w:tblLayout w:type="autofit"/>
        <w:tblLook w:firstColumn="1" w:firstRow="1" w:lastColumn="0" w:lastRow="0" w:noHBand="0" w:noVBand="1" w:val="04A0"/>
      </w:tblPr>
      <w:tblGrid>
        <w:gridCol w:w="4896"/>
        <w:gridCol w:w="4896"/>
      </w:tblGrid>
      <w:tr>
        <w:tc>
          <w:tcPr>
            <w:tcW w:type="dxa" w:w="2592"/>
            <w:shd w:fill="002040"/>
          </w:tcPr>
          <w:p>
            <w:pPr>
              <w:spacing w:after="20" w:before="20"/>
            </w:pPr>
            <w:r/>
            <w:r>
              <w:rPr>
                <w:rFonts w:ascii="Calibri" w:hAnsi="Calibri"/>
                <w:b/>
                <w:color w:val="FFFFFF"/>
                <w:sz w:val="17"/>
              </w:rPr>
              <w:t>Wallet</w:t>
            </w:r>
          </w:p>
        </w:tc>
        <w:tc>
          <w:tcPr>
            <w:tcW w:type="dxa" w:w="7488"/>
            <w:shd w:fill="002040"/>
          </w:tcPr>
          <w:p>
            <w:pPr>
              <w:spacing w:after="20" w:before="20"/>
            </w:pPr>
            <w:r/>
            <w:r>
              <w:rPr>
                <w:rFonts w:ascii="Calibri" w:hAnsi="Calibri"/>
                <w:b/>
                <w:color w:val="FFFFFF"/>
                <w:sz w:val="17"/>
              </w:rPr>
              <w:t>Purpose</w:t>
            </w:r>
          </w:p>
        </w:tc>
      </w:tr>
      <w:tr>
        <w:tc>
          <w:tcPr>
            <w:tcW w:type="dxa" w:w="2592"/>
          </w:tcPr>
          <w:p>
            <w:pPr>
              <w:spacing w:after="20" w:before="20"/>
            </w:pPr>
            <w:r/>
            <w:r>
              <w:rPr>
                <w:rFonts w:ascii="Calibri" w:hAnsi="Calibri"/>
                <w:b w:val="0"/>
                <w:sz w:val="17"/>
              </w:rPr>
              <w:t>1. USA sponsor</w:t>
            </w:r>
          </w:p>
        </w:tc>
        <w:tc>
          <w:tcPr>
            <w:tcW w:type="dxa" w:w="7488"/>
          </w:tcPr>
          <w:p>
            <w:pPr>
              <w:spacing w:after="20" w:before="20"/>
            </w:pPr>
            <w:r/>
            <w:r>
              <w:rPr>
                <w:rFonts w:ascii="Calibri" w:hAnsi="Calibri"/>
                <w:b w:val="0"/>
                <w:sz w:val="17"/>
              </w:rPr>
              <w:t>Gas sponsorship for the Americas region</w:t>
            </w:r>
          </w:p>
        </w:tc>
      </w:tr>
      <w:tr>
        <w:tc>
          <w:tcPr>
            <w:tcW w:type="dxa" w:w="2592"/>
          </w:tcPr>
          <w:p>
            <w:pPr>
              <w:spacing w:after="20" w:before="20"/>
            </w:pPr>
            <w:r/>
            <w:r>
              <w:rPr>
                <w:rFonts w:ascii="Calibri" w:hAnsi="Calibri"/>
                <w:b w:val="0"/>
                <w:sz w:val="17"/>
              </w:rPr>
              <w:t>2. Europe sponsor</w:t>
            </w:r>
          </w:p>
        </w:tc>
        <w:tc>
          <w:tcPr>
            <w:tcW w:type="dxa" w:w="7488"/>
          </w:tcPr>
          <w:p>
            <w:pPr>
              <w:spacing w:after="20" w:before="20"/>
            </w:pPr>
            <w:r/>
            <w:r>
              <w:rPr>
                <w:rFonts w:ascii="Calibri" w:hAnsi="Calibri"/>
                <w:b w:val="0"/>
                <w:sz w:val="17"/>
              </w:rPr>
              <w:t>Gas sponsorship for the European region</w:t>
            </w:r>
          </w:p>
        </w:tc>
      </w:tr>
      <w:tr>
        <w:tc>
          <w:tcPr>
            <w:tcW w:type="dxa" w:w="2592"/>
          </w:tcPr>
          <w:p>
            <w:pPr>
              <w:spacing w:after="20" w:before="20"/>
            </w:pPr>
            <w:r/>
            <w:r>
              <w:rPr>
                <w:rFonts w:ascii="Calibri" w:hAnsi="Calibri"/>
                <w:b w:val="0"/>
                <w:sz w:val="17"/>
              </w:rPr>
              <w:t>3. Asia/Africa sponsor</w:t>
            </w:r>
          </w:p>
        </w:tc>
        <w:tc>
          <w:tcPr>
            <w:tcW w:type="dxa" w:w="7488"/>
          </w:tcPr>
          <w:p>
            <w:pPr>
              <w:spacing w:after="20" w:before="20"/>
            </w:pPr>
            <w:r/>
            <w:r>
              <w:rPr>
                <w:rFonts w:ascii="Calibri" w:hAnsi="Calibri"/>
                <w:b w:val="0"/>
                <w:sz w:val="17"/>
              </w:rPr>
              <w:t>Gas sponsorship for the Asia/Africa region</w:t>
            </w:r>
          </w:p>
        </w:tc>
      </w:tr>
      <w:tr>
        <w:tc>
          <w:tcPr>
            <w:tcW w:type="dxa" w:w="2592"/>
          </w:tcPr>
          <w:p>
            <w:pPr>
              <w:spacing w:after="20" w:before="20"/>
            </w:pPr>
            <w:r/>
            <w:r>
              <w:rPr>
                <w:rFonts w:ascii="Calibri" w:hAnsi="Calibri"/>
                <w:b w:val="0"/>
                <w:sz w:val="17"/>
              </w:rPr>
              <w:t>4. Refill escrow</w:t>
            </w:r>
          </w:p>
        </w:tc>
        <w:tc>
          <w:tcPr>
            <w:tcW w:type="dxa" w:w="7488"/>
          </w:tcPr>
          <w:p>
            <w:pPr>
              <w:spacing w:after="20" w:before="20"/>
            </w:pPr>
            <w:r/>
            <w:r>
              <w:rPr>
                <w:rFonts w:ascii="Calibri" w:hAnsi="Calibri"/>
                <w:b w:val="0"/>
                <w:sz w:val="17"/>
              </w:rPr>
              <w:t>Programmed reserve that tops up the three regional sponsor wallets</w:t>
            </w:r>
          </w:p>
        </w:tc>
      </w:tr>
      <w:tr>
        <w:tc>
          <w:tcPr>
            <w:tcW w:type="dxa" w:w="2592"/>
          </w:tcPr>
          <w:p>
            <w:pPr>
              <w:spacing w:after="20" w:before="20"/>
            </w:pPr>
            <w:r/>
            <w:r>
              <w:rPr>
                <w:rFonts w:ascii="Calibri" w:hAnsi="Calibri"/>
                <w:b w:val="0"/>
                <w:sz w:val="17"/>
              </w:rPr>
              <w:t>5. Security</w:t>
            </w:r>
          </w:p>
        </w:tc>
        <w:tc>
          <w:tcPr>
            <w:tcW w:type="dxa" w:w="7488"/>
          </w:tcPr>
          <w:p>
            <w:pPr>
              <w:spacing w:after="20" w:before="20"/>
            </w:pPr>
            <w:r/>
            <w:r>
              <w:rPr>
                <w:rFonts w:ascii="Calibri" w:hAnsi="Calibri"/>
                <w:b w:val="0"/>
                <w:sz w:val="17"/>
              </w:rPr>
              <w:t>Audits, bounties, and incident response</w:t>
            </w:r>
          </w:p>
        </w:tc>
      </w:tr>
      <w:tr>
        <w:tc>
          <w:tcPr>
            <w:tcW w:type="dxa" w:w="2592"/>
          </w:tcPr>
          <w:p>
            <w:pPr>
              <w:spacing w:after="20" w:before="20"/>
            </w:pPr>
            <w:r/>
            <w:r>
              <w:rPr>
                <w:rFonts w:ascii="Calibri" w:hAnsi="Calibri"/>
                <w:b w:val="0"/>
                <w:sz w:val="17"/>
              </w:rPr>
              <w:t>6. Operations</w:t>
            </w:r>
          </w:p>
        </w:tc>
        <w:tc>
          <w:tcPr>
            <w:tcW w:type="dxa" w:w="7488"/>
          </w:tcPr>
          <w:p>
            <w:pPr>
              <w:spacing w:after="20" w:before="20"/>
            </w:pPr>
            <w:r/>
            <w:r>
              <w:rPr>
                <w:rFonts w:ascii="Calibri" w:hAnsi="Calibri"/>
                <w:b w:val="0"/>
                <w:sz w:val="17"/>
              </w:rPr>
              <w:t>Day-to-day running costs</w:t>
            </w:r>
          </w:p>
        </w:tc>
      </w:tr>
      <w:tr>
        <w:tc>
          <w:tcPr>
            <w:tcW w:type="dxa" w:w="2592"/>
          </w:tcPr>
          <w:p>
            <w:pPr>
              <w:spacing w:after="20" w:before="20"/>
            </w:pPr>
            <w:r/>
            <w:r>
              <w:rPr>
                <w:rFonts w:ascii="Calibri" w:hAnsi="Calibri"/>
                <w:b w:val="0"/>
                <w:sz w:val="17"/>
              </w:rPr>
              <w:t>7. Marketing</w:t>
            </w:r>
          </w:p>
        </w:tc>
        <w:tc>
          <w:tcPr>
            <w:tcW w:type="dxa" w:w="7488"/>
          </w:tcPr>
          <w:p>
            <w:pPr>
              <w:spacing w:after="20" w:before="20"/>
            </w:pPr>
            <w:r/>
            <w:r>
              <w:rPr>
                <w:rFonts w:ascii="Calibri" w:hAnsi="Calibri"/>
                <w:b w:val="0"/>
                <w:sz w:val="17"/>
              </w:rPr>
              <w:t>Fenced-off marketing spend</w:t>
            </w:r>
          </w:p>
        </w:tc>
      </w:tr>
      <w:tr>
        <w:tc>
          <w:tcPr>
            <w:tcW w:type="dxa" w:w="2592"/>
          </w:tcPr>
          <w:p>
            <w:pPr>
              <w:spacing w:after="20" w:before="20"/>
            </w:pPr>
            <w:r/>
            <w:r>
              <w:rPr>
                <w:rFonts w:ascii="Calibri" w:hAnsi="Calibri"/>
                <w:b w:val="0"/>
                <w:sz w:val="17"/>
              </w:rPr>
              <w:t>8. Treasury</w:t>
            </w:r>
          </w:p>
        </w:tc>
        <w:tc>
          <w:tcPr>
            <w:tcW w:type="dxa" w:w="7488"/>
          </w:tcPr>
          <w:p>
            <w:pPr>
              <w:spacing w:after="20" w:before="20"/>
            </w:pPr>
            <w:r/>
            <w:r>
              <w:rPr>
                <w:rFonts w:ascii="Calibri" w:hAnsi="Calibri"/>
                <w:b w:val="0"/>
                <w:sz w:val="17"/>
              </w:rPr>
              <w:t>Long-term reserve; grants wallet in both directions</w:t>
            </w:r>
          </w:p>
        </w:tc>
      </w:tr>
      <w:tr>
        <w:tc>
          <w:tcPr>
            <w:tcW w:type="dxa" w:w="2592"/>
          </w:tcPr>
          <w:p>
            <w:pPr>
              <w:spacing w:after="20" w:before="20"/>
            </w:pPr>
            <w:r/>
            <w:r>
              <w:rPr>
                <w:rFonts w:ascii="Calibri" w:hAnsi="Calibri"/>
                <w:b w:val="0"/>
                <w:sz w:val="17"/>
              </w:rPr>
              <w:t>9. Team</w:t>
            </w:r>
          </w:p>
        </w:tc>
        <w:tc>
          <w:tcPr>
            <w:tcW w:type="dxa" w:w="7488"/>
          </w:tcPr>
          <w:p>
            <w:pPr>
              <w:spacing w:after="20" w:before="20"/>
            </w:pPr>
            <w:r/>
            <w:r>
              <w:rPr>
                <w:rFonts w:ascii="Calibri" w:hAnsi="Calibri"/>
                <w:b w:val="0"/>
                <w:sz w:val="17"/>
              </w:rPr>
              <w:t>Founder and contributor compensation</w:t>
            </w:r>
          </w:p>
        </w:tc>
      </w:tr>
    </w:tbl>
    <w:p>
      <w:pPr>
        <w:spacing w:after="40"/>
      </w:pPr>
    </w:p>
    <w:p>
      <w:r>
        <w:rPr>
          <w:b w:val="0"/>
          <w:i w:val="0"/>
        </w:rPr>
        <w:t>The sponsorship system is wallets 1–4 working as one unit. Each regional sponsor wallet (1–3) funds gas sponsorship for its region through the paymaster. The refill escrow (4) is a smart contract holding reserve funds with programmed release logic — implemented and tested locally, not yet deployed to testnet. When a regional wallet has spent 90% of its daily cap, the escrow tops it back to 100%, up to three times per day; a fourth trigger in one day trips a circuit breaker that requires human review before further refills. Daily caps adapt to real usage via a moving average whose window progresses 3 → 5 → 7 → 10 → 21 days by timelock decision as usage history accumulates, and every tunable parameter — caps, trigger thresholds, refill limits — is a timelock-gated dial, not a hardcoded constant. The escrow pulls from the Splitter through fundEscrow() when its own balance runs low, and per-wallet pauses are independently timelock-gated and reversible.</w:t>
      </w:r>
    </w:p>
    <w:p>
      <w:r>
        <w:rPr>
          <w:b w:val="0"/>
          <w:i w:val="0"/>
        </w:rPr>
        <w:t>The remaining wallets separate concerns that are commonly mixed. Security (5) pre-funds the audit and monitoring work in §12 before it is needed. Operations (6) covers running costs; Team (9) covers people — the two are separate wallets because the same party controls operations spending and receives team compensation, and mixing them would obscure that relationship. Marketing (7) is fenced off so growth spending cannot silently consume the reserve. Treasury (8) is the long-term reserve and the grants wallet in both directions: incoming grants (such as the Circle grant in §15) land here first, then move to their earmarked purpose; surplus from any wallet overflows here.</w:t>
      </w:r>
    </w:p>
    <w:p>
      <w:r>
        <w:rPr>
          <w:b w:val="0"/>
          <w:i w:val="0"/>
        </w:rPr>
        <w:t>No percentage split is hardcoded in any contract. When revenue is insufficient to fill all wallets, the testnet funding priority is: the sponsorship system first (without gas, the product stops), then team and operations, then security, then marketing, then treasury (which fills via overflow regardless). This priority order is a testnet starting point, reviewed before mainnet.</w:t>
      </w:r>
    </w:p>
    <w:p>
      <w:r>
        <w:rPr>
          <w:b w:val="0"/>
          <w:i w:val="0"/>
        </w:rPr>
        <w:t>Wallet allocations — the actual amounts each wallet holds — are deliberately not set in this paper. They are decided after the grant outcome and the audit, when real cost data exists. Testnet deployments use placeholder values flagged as temporary in the code; they are not commitments and this paper makes no claim about them. Wallet addresses are deployment parameters; their long-term ownership and succession arrangement is subject to the same legal and trust review that governs the .arc root itself. The design intent is circular sustainability rather than extraction: names fund the gas that lets the next names register free, and every receipt is visible on-chain against the wallet that received it.</w:t>
      </w:r>
    </w:p>
    <w:p>
      <w:pPr>
        <w:pStyle w:val="Heading1"/>
      </w:pPr>
      <w:r>
        <w:t>11  Indexing without trusted servers</w:t>
      </w:r>
    </w:p>
    <w:p>
      <w:r>
        <w:rPr>
          <w:b w:val="0"/>
          <w:i w:val="0"/>
        </w:rPr>
        <w:t>A naming system is only as decentralized as its read path. If every wallet must call one company’s API to resolve names, the chain underneath barely matters. Ownership’s query layer is therefore layered so that no layer is a single point of trust:</w:t>
      </w:r>
    </w:p>
    <w:p>
      <w:pPr>
        <w:pStyle w:val="ListBullet"/>
      </w:pPr>
      <w:r>
        <w:t>Owner-scoped queries (“my names”, “my listings”) run as plain eth_getLogs filters against contract events over any Arc RPC endpoint. All state-changing events carry indexed parameters for the fields clients filter on (namehash, owner, and equivalents), which is a contract-level requirement, not an afterthought. Zero infrastructure is required for a wallet to show its user’s names.</w:t>
      </w:r>
    </w:p>
    <w:p>
      <w:pPr>
        <w:pStyle w:val="ListBullet"/>
      </w:pPr>
      <w:r>
        <w:t>Global queries (search and browse) use permissionless IPFS snapshots. An open-source publisher reads chain events, builds the full dataset hourly, and publishes a content-addressed snapshot with a Merkle tree over its entries. Anyone can run a publisher. Clients treat snapshots strictly as hints: before any action affecting funds or ownership, they confirm against the chain directly (eth_call or a Merkle proof verified locally). A lying or stale publisher is detectable by recomputation and replaceable by configuration — there is no canonical publisher and no API key.</w:t>
      </w:r>
    </w:p>
    <w:p>
      <w:pPr>
        <w:pStyle w:val="ListBullet"/>
      </w:pPr>
      <w:r>
        <w:t>Marketplace listings are enumerable directly on-chain, so the “what is for sale?” view needs no indexer at all.</w:t>
      </w:r>
    </w:p>
    <w:p>
      <w:r>
        <w:rPr>
          <w:b w:val="0"/>
          <w:i w:val="0"/>
        </w:rPr>
        <w:t>Third-party indexers in The Graph style are welcome conveniences for developers who want them. The protocol never requires one.</w:t>
      </w:r>
    </w:p>
    <w:p>
      <w:pPr>
        <w:pStyle w:val="Heading1"/>
      </w:pPr>
      <w:r>
        <w:t>12  Security model</w:t>
      </w:r>
    </w:p>
    <w:p>
      <w:pPr>
        <w:pStyle w:val="Heading2"/>
      </w:pPr>
      <w:r>
        <w:t>12.1  Threat model</w:t>
      </w:r>
    </w:p>
    <w:p>
      <w:r>
        <w:rPr>
          <w:b w:val="0"/>
          <w:i w:val="0"/>
        </w:rPr>
        <w:t>The realistic threats to a naming service at this scale are registrar abuse — squatting, impersonation, and sponsorship drain — and key compromise of the administrative or paymaster-signing keys. Nation-state chain attacks and Arc consensus failures are out of scope: Ownership inherits Arc’s security and does not pretend to add to it. The controls below map to the two in-scope threats.</w:t>
      </w:r>
    </w:p>
    <w:p>
      <w:pPr>
        <w:pStyle w:val="Heading2"/>
      </w:pPr>
      <w:r>
        <w:t>12.2  Controls</w:t>
      </w:r>
    </w:p>
    <w:p>
      <w:pPr>
        <w:pStyle w:val="ListBullet"/>
      </w:pPr>
      <w:r>
        <w:t>No global kill-switch exists, by design. A switch that can freeze every name is a more attractive target than the abuse it prevents. Instead, the compromise playbook is sequenced: (1) pause the paymaster instantly to stop sponsor drain; (2) tighten registrar caps instantly; (3) rotate the paymaster signer and any suspect admin keys; (4) take recovery actions through the 7-day timelock; (5) unpause. User-paid transactions and name resolution continue throughout — an incident degrades sponsorship, never ownership.</w:t>
      </w:r>
    </w:p>
    <w:p>
      <w:pPr>
        <w:pStyle w:val="ListBullet"/>
      </w:pPr>
      <w:r>
        <w:t>Upgrade authority sits behind the 7-day timelock (§13). A thief who steals an admin key still cannot move the root, upgrade a contract, loosen caps, or withdraw sponsor funds without a seven-day public waiting period in which the theft is visible and cancellable. The timelock is the detection window; that is its purpose.</w:t>
      </w:r>
    </w:p>
    <w:p>
      <w:pPr>
        <w:pStyle w:val="ListBullet"/>
      </w:pPr>
      <w:r>
        <w:t>Homograph and impersonation risk is handled by the layered stack in §7: client-side UTS-46 normalization, the specified (not yet deployed) on-chain mixed-script guard, exact-match brand reservation, verified marks, and wallet similarity warnings.</w:t>
      </w:r>
    </w:p>
    <w:p>
      <w:pPr>
        <w:pStyle w:val="ListBullet"/>
      </w:pPr>
      <w:r>
        <w:t>Sponsorship abuse is bounded by per-account daily caps, allowlisted actions only, and the tighten-instantly / loosen-slowly asymmetry (§9).</w:t>
      </w:r>
    </w:p>
    <w:p>
      <w:pPr>
        <w:pStyle w:val="Heading2"/>
      </w:pPr>
      <w:r>
        <w:t>12.3  Audit and monitoring path</w:t>
      </w:r>
    </w:p>
    <w:p>
      <w:r>
        <w:rPr>
          <w:b w:val="0"/>
          <w:i w:val="0"/>
        </w:rPr>
        <w:t>The contracts are unaudited today, and this paper does not soften that fact. The planned sequence before any mainnet root deployment is: freeze scope; run a competitive contest sweep (CodeHawks / Sherlock / Cantina class venues); fix findings; commission one traditional audit with a remediation review; then open an Immunefi bug bounty. The all-in planning figure is $45–75K, to be sought as a single grant ask (see §15). After mainnet, monitoring is planned on Forta custom detection bots with Tenderly alerting on the free tier first — the threat model is registrar abuse and key compromise, not TVL exploits, and the monitoring spend is sized to that model. Contract verification, deployment records, and any future audit reports will be published alongside the code on GitHub and IPFS.</w:t>
      </w:r>
    </w:p>
    <w:p>
      <w:pPr>
        <w:spacing w:before="80" w:after="160"/>
        <w:ind w:left="216"/>
      </w:pPr>
      <w:r>
        <w:rPr>
          <w:b/>
          <w:color w:val="002040"/>
          <w:sz w:val="19"/>
        </w:rPr>
        <w:t xml:space="preserve">What “unaudited” means for you today:  </w:t>
      </w:r>
      <w:r>
        <w:rPr>
          <w:color w:val="3A444E"/>
          <w:sz w:val="19"/>
        </w:rPr>
        <w:t>Test freely on testnet; do not build production dependencies, hold real value, or make public claims on these contracts until the audit gate in §15 has been passed and this paper is superseded by a post-audit revision.</w:t>
      </w:r>
    </w:p>
    <w:p>
      <w:pPr>
        <w:pStyle w:val="Heading1"/>
      </w:pPr>
      <w:r>
        <w:t>13  Governance, upgrades, and ossification</w:t>
      </w:r>
    </w:p>
    <w:p>
      <w:r>
        <w:rPr>
          <w:b w:val="0"/>
          <w:i w:val="0"/>
        </w:rPr>
        <w:t>All nine proxies are UUPS-upgradeable, and the upgrade authority for every one of them is the same TimelockController with a 7-day delay. The root node itself is owned by that timelock and transfers only through two-step propose/accept. In the testnet deployment the timelock’s proposers are controlled by the builder for fast iteration; the mainnet intent is a family multisig behind the same timelock, with wallet-role separation (each wallet maps to exactly one role) and successor arrangements coordinated with the trust planning that governs the root’s long-term ownership. Those legal arrangements are intentionally not specified in this technical paper.</w:t>
      </w:r>
    </w:p>
    <w:p>
      <w:r>
        <w:rPr>
          <w:b w:val="0"/>
          <w:i w:val="0"/>
        </w:rPr>
        <w:t>Upgradeability is a deliberate, temporary trust assumption — kept so that pre-audit bugs can be fixed without redeploying the namespace — and the paper states the intended trajectory: after the audit and a stable mainnet period, governance moves toward ossification, narrowing or renouncing upgrade authority so that the rules users registered under cannot be changed beneath them. Any upgrade before ossification is publicly visible in the timelock queue for seven days, and builders can watch the queue the same way they watch any contract (§16).</w:t>
      </w:r>
    </w:p>
    <w:p>
      <w:pPr>
        <w:pStyle w:val="Heading1"/>
      </w:pPr>
      <w:r>
        <w:t>14  What is live today — deployment and verification</w:t>
      </w:r>
    </w:p>
    <w:p>
      <w:r>
        <w:rPr>
          <w:b w:val="0"/>
          <w:i w:val="0"/>
        </w:rPr>
        <w:t>Ownership is deployed on Arc testnet (chain ID 5042002) as of 2 October 2026. The deployment comprised 69 transactions, all successful, standing up the nine proxies, the timelock, and their cross-contract wiring (registry–registrar–resolver links, marketplace and paymaster configuration, brand-vault Merkle root, and attestation gating). A live re-verification on 5 October 2026 confirmed contract bytecode at all nine proxy addresses and the timelock, confirmed each proxy's implementation slot matches the deployment record, and confirmed the deployer account's transaction count is consistent with the 69-transaction deployment record. Gas sponsorship was proven with a real user operation sponsored by ArcPaymaster through the Pimlico bundler against the live EntryPoint — the full ERC-4337 path a production user would take.</w:t>
      </w:r>
    </w:p>
    <w:p>
      <w:r>
        <w:rPr>
          <w:b w:val="0"/>
          <w:i w:val="0"/>
        </w:rPr>
        <w:t>For builders, the ABIs, TypeChain types, and testnet proxy addresses are published as the npm package @lodestarfo/arc-naming-contracts v0.1.0, with a README carrying copy-paste examples for resolving, registering, and sponsoring. The contracts compile with evmVersion paris (Arc rejects the PUSH0 opcode emitted by default from Solidity ≥ 0.8.20), a deployment gotcha the package documentation carries prominently. On 6 October 2026 a Registrar upgrade adding progressive bulk pricing (§10.1) was proposed through the timelock; it executes 13 October 2026. The nine-wallet Splitter and the refill escrow are implemented and tested locally and are not yet deployed. Everything in this section describes testnet only. There is no mainnet deployment, no mainnet root, and no audited claim of any kind.</w:t>
      </w:r>
    </w:p>
    <w:tbl>
      <w:tblPr>
        <w:tblStyle w:val="TableGrid"/>
        <w:tblW w:type="auto" w:w="0"/>
        <w:jc w:val="center"/>
        <w:tblLayout w:type="autofit"/>
        <w:tblLook w:firstColumn="1" w:firstRow="1" w:lastColumn="0" w:lastRow="0" w:noHBand="0" w:noVBand="1" w:val="04A0"/>
      </w:tblPr>
      <w:tblGrid>
        <w:gridCol w:w="4896"/>
        <w:gridCol w:w="4896"/>
      </w:tblGrid>
      <w:tr>
        <w:tc>
          <w:tcPr>
            <w:tcW w:type="dxa" w:w="3456"/>
            <w:shd w:fill="002040"/>
          </w:tcPr>
          <w:p>
            <w:pPr>
              <w:spacing w:after="20" w:before="20"/>
            </w:pPr>
            <w:r/>
            <w:r>
              <w:rPr>
                <w:rFonts w:ascii="Calibri" w:hAnsi="Calibri"/>
                <w:b/>
                <w:color w:val="FFFFFF"/>
                <w:sz w:val="17"/>
              </w:rPr>
              <w:t>Check</w:t>
            </w:r>
          </w:p>
        </w:tc>
        <w:tc>
          <w:tcPr>
            <w:tcW w:type="dxa" w:w="6624"/>
            <w:shd w:fill="002040"/>
          </w:tcPr>
          <w:p>
            <w:pPr>
              <w:spacing w:after="20" w:before="20"/>
            </w:pPr>
            <w:r/>
            <w:r>
              <w:rPr>
                <w:rFonts w:ascii="Calibri" w:hAnsi="Calibri"/>
                <w:b/>
                <w:color w:val="FFFFFF"/>
                <w:sz w:val="17"/>
              </w:rPr>
              <w:t>Result (testnet)</w:t>
            </w:r>
          </w:p>
        </w:tc>
      </w:tr>
      <w:tr>
        <w:tc>
          <w:tcPr>
            <w:tcW w:type="dxa" w:w="3456"/>
          </w:tcPr>
          <w:p>
            <w:pPr>
              <w:spacing w:after="20" w:before="20"/>
            </w:pPr>
            <w:r/>
            <w:r>
              <w:rPr>
                <w:rFonts w:ascii="Calibri" w:hAnsi="Calibri"/>
                <w:b w:val="0"/>
                <w:sz w:val="17"/>
              </w:rPr>
              <w:t>Deployment transactions</w:t>
            </w:r>
          </w:p>
        </w:tc>
        <w:tc>
          <w:tcPr>
            <w:tcW w:type="dxa" w:w="6624"/>
          </w:tcPr>
          <w:p>
            <w:pPr>
              <w:spacing w:after="20" w:before="20"/>
            </w:pPr>
            <w:r/>
            <w:r>
              <w:rPr>
                <w:rFonts w:ascii="Calibri" w:hAnsi="Calibri"/>
                <w:b w:val="0"/>
                <w:sz w:val="17"/>
              </w:rPr>
              <w:t>69 / 69 successful</w:t>
            </w:r>
          </w:p>
        </w:tc>
      </w:tr>
      <w:tr>
        <w:tc>
          <w:tcPr>
            <w:tcW w:type="dxa" w:w="3456"/>
          </w:tcPr>
          <w:p>
            <w:pPr>
              <w:spacing w:after="20" w:before="20"/>
            </w:pPr>
            <w:r/>
            <w:r>
              <w:rPr>
                <w:rFonts w:ascii="Calibri" w:hAnsi="Calibri"/>
                <w:b w:val="0"/>
                <w:sz w:val="17"/>
              </w:rPr>
              <w:t>Live re-verification (5 Oct 2026)</w:t>
            </w:r>
          </w:p>
        </w:tc>
        <w:tc>
          <w:tcPr>
            <w:tcW w:type="dxa" w:w="6624"/>
          </w:tcPr>
          <w:p>
            <w:pPr>
              <w:spacing w:after="20" w:before="20"/>
            </w:pPr>
            <w:r/>
            <w:r>
              <w:rPr>
                <w:rFonts w:ascii="Calibri" w:hAnsi="Calibri"/>
                <w:b w:val="0"/>
                <w:sz w:val="17"/>
              </w:rPr>
              <w:t>Code live at all 9 proxies + timelock; implementations match deployment record</w:t>
            </w:r>
          </w:p>
        </w:tc>
      </w:tr>
      <w:tr>
        <w:tc>
          <w:tcPr>
            <w:tcW w:type="dxa" w:w="3456"/>
          </w:tcPr>
          <w:p>
            <w:pPr>
              <w:spacing w:after="20" w:before="20"/>
            </w:pPr>
            <w:r/>
            <w:r>
              <w:rPr>
                <w:rFonts w:ascii="Calibri" w:hAnsi="Calibri"/>
                <w:b w:val="0"/>
                <w:sz w:val="17"/>
              </w:rPr>
              <w:t>Paymaster live proof</w:t>
            </w:r>
          </w:p>
        </w:tc>
        <w:tc>
          <w:tcPr>
            <w:tcW w:type="dxa" w:w="6624"/>
          </w:tcPr>
          <w:p>
            <w:pPr>
              <w:spacing w:after="20" w:before="20"/>
            </w:pPr>
            <w:r/>
            <w:r>
              <w:rPr>
                <w:rFonts w:ascii="Calibri" w:hAnsi="Calibri"/>
                <w:b w:val="0"/>
                <w:sz w:val="17"/>
              </w:rPr>
              <w:t>Sponsored user op via bundler — confirmed</w:t>
            </w:r>
          </w:p>
        </w:tc>
      </w:tr>
      <w:tr>
        <w:tc>
          <w:tcPr>
            <w:tcW w:type="dxa" w:w="3456"/>
          </w:tcPr>
          <w:p>
            <w:pPr>
              <w:spacing w:after="20" w:before="20"/>
            </w:pPr>
            <w:r/>
            <w:r>
              <w:rPr>
                <w:rFonts w:ascii="Calibri" w:hAnsi="Calibri"/>
                <w:b w:val="0"/>
                <w:sz w:val="17"/>
              </w:rPr>
              <w:t>npm package</w:t>
            </w:r>
          </w:p>
        </w:tc>
        <w:tc>
          <w:tcPr>
            <w:tcW w:type="dxa" w:w="6624"/>
          </w:tcPr>
          <w:p>
            <w:pPr>
              <w:spacing w:after="20" w:before="20"/>
            </w:pPr>
            <w:r/>
            <w:r>
              <w:rPr>
                <w:rFonts w:ascii="Calibri" w:hAnsi="Calibri"/>
                <w:b w:val="0"/>
                <w:sz w:val="17"/>
              </w:rPr>
              <w:t>@lodestarfo/arc-naming-contracts v0.1.0</w:t>
            </w:r>
          </w:p>
        </w:tc>
      </w:tr>
      <w:tr>
        <w:tc>
          <w:tcPr>
            <w:tcW w:type="dxa" w:w="3456"/>
          </w:tcPr>
          <w:p>
            <w:pPr>
              <w:spacing w:after="20" w:before="20"/>
            </w:pPr>
            <w:r/>
            <w:r>
              <w:rPr>
                <w:rFonts w:ascii="Calibri" w:hAnsi="Calibri"/>
                <w:b w:val="0"/>
                <w:sz w:val="17"/>
              </w:rPr>
              <w:t>Audit status</w:t>
            </w:r>
          </w:p>
        </w:tc>
        <w:tc>
          <w:tcPr>
            <w:tcW w:type="dxa" w:w="6624"/>
          </w:tcPr>
          <w:p>
            <w:pPr>
              <w:spacing w:after="20" w:before="20"/>
            </w:pPr>
            <w:r/>
            <w:r>
              <w:rPr>
                <w:rFonts w:ascii="Calibri" w:hAnsi="Calibri"/>
                <w:b w:val="0"/>
                <w:sz w:val="17"/>
              </w:rPr>
              <w:t>Unaudited — audit gates mainnet</w:t>
            </w:r>
          </w:p>
        </w:tc>
      </w:tr>
    </w:tbl>
    <w:p>
      <w:pPr>
        <w:spacing w:after="40"/>
      </w:pPr>
    </w:p>
    <w:p>
      <w:pPr>
        <w:pStyle w:val="Heading1"/>
      </w:pPr>
      <w:r>
        <w:t>15  Roadmap</w:t>
      </w:r>
    </w:p>
    <w:p>
      <w:r>
        <w:rPr>
          <w:b w:val="0"/>
          <w:i w:val="0"/>
        </w:rPr>
        <w:t>The roadmap is gated, not dated. Each phase opens only when its entry condition holds; the audit gate in particular has no calendar override.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304"/>
            <w:shd w:fill="002040"/>
          </w:tcPr>
          <w:p>
            <w:pPr>
              <w:spacing w:after="20" w:before="20"/>
            </w:pPr>
            <w:r/>
            <w:r>
              <w:rPr>
                <w:rFonts w:ascii="Calibri" w:hAnsi="Calibri"/>
                <w:b/>
                <w:color w:val="FFFFFF"/>
                <w:sz w:val="17"/>
              </w:rPr>
              <w:t>Phase</w:t>
            </w:r>
          </w:p>
        </w:tc>
        <w:tc>
          <w:tcPr>
            <w:tcW w:type="dxa" w:w="4176"/>
            <w:shd w:fill="002040"/>
          </w:tcPr>
          <w:p>
            <w:pPr>
              <w:spacing w:after="20" w:before="20"/>
            </w:pPr>
            <w:r/>
            <w:r>
              <w:rPr>
                <w:rFonts w:ascii="Calibri" w:hAnsi="Calibri"/>
                <w:b/>
                <w:color w:val="FFFFFF"/>
                <w:sz w:val="17"/>
              </w:rPr>
              <w:t>Scope</w:t>
            </w:r>
          </w:p>
        </w:tc>
        <w:tc>
          <w:tcPr>
            <w:tcW w:type="dxa" w:w="3600"/>
            <w:shd w:fill="002040"/>
          </w:tcPr>
          <w:p>
            <w:pPr>
              <w:spacing w:after="20" w:before="20"/>
            </w:pPr>
            <w:r/>
            <w:r>
              <w:rPr>
                <w:rFonts w:ascii="Calibri" w:hAnsi="Calibri"/>
                <w:b/>
                <w:color w:val="FFFFFF"/>
                <w:sz w:val="17"/>
              </w:rPr>
              <w:t>Entry condition</w:t>
            </w:r>
          </w:p>
        </w:tc>
      </w:tr>
      <w:tr>
        <w:tc>
          <w:tcPr>
            <w:tcW w:type="dxa" w:w="2304"/>
          </w:tcPr>
          <w:p>
            <w:pPr>
              <w:spacing w:after="20" w:before="20"/>
            </w:pPr>
            <w:r/>
            <w:r>
              <w:rPr>
                <w:rFonts w:ascii="Calibri" w:hAnsi="Calibri"/>
                <w:b w:val="0"/>
                <w:sz w:val="17"/>
              </w:rPr>
              <w:t>0 — Testnet (now)</w:t>
            </w:r>
          </w:p>
        </w:tc>
        <w:tc>
          <w:tcPr>
            <w:tcW w:type="dxa" w:w="4176"/>
          </w:tcPr>
          <w:p>
            <w:pPr>
              <w:spacing w:after="20" w:before="20"/>
            </w:pPr>
            <w:r/>
            <w:r>
              <w:rPr>
                <w:rFonts w:ascii="Calibri" w:hAnsi="Calibri"/>
                <w:b w:val="0"/>
                <w:sz w:val="17"/>
              </w:rPr>
              <w:t>Public testnet, sample vault, placeholder pricing</w:t>
            </w:r>
          </w:p>
        </w:tc>
        <w:tc>
          <w:tcPr>
            <w:tcW w:type="dxa" w:w="3600"/>
          </w:tcPr>
          <w:p>
            <w:pPr>
              <w:spacing w:after="20" w:before="20"/>
            </w:pPr>
            <w:r/>
            <w:r>
              <w:rPr>
                <w:rFonts w:ascii="Calibri" w:hAnsi="Calibri"/>
                <w:b w:val="0"/>
                <w:sz w:val="17"/>
              </w:rPr>
              <w:t>Deployed 2026-10-02</w:t>
            </w:r>
          </w:p>
        </w:tc>
      </w:tr>
      <w:tr>
        <w:tc>
          <w:tcPr>
            <w:tcW w:type="dxa" w:w="2304"/>
          </w:tcPr>
          <w:p>
            <w:pPr>
              <w:spacing w:after="20" w:before="20"/>
            </w:pPr>
            <w:r/>
            <w:r>
              <w:rPr>
                <w:rFonts w:ascii="Calibri" w:hAnsi="Calibri"/>
                <w:b w:val="0"/>
                <w:sz w:val="17"/>
              </w:rPr>
              <w:t>1 — Family alpha</w:t>
            </w:r>
          </w:p>
        </w:tc>
        <w:tc>
          <w:tcPr>
            <w:tcW w:type="dxa" w:w="4176"/>
          </w:tcPr>
          <w:p>
            <w:pPr>
              <w:spacing w:after="20" w:before="20"/>
            </w:pPr>
            <w:r/>
            <w:r>
              <w:rPr>
                <w:rFonts w:ascii="Calibri" w:hAnsi="Calibri"/>
                <w:b w:val="0"/>
                <w:sz w:val="17"/>
              </w:rPr>
              <w:t>Mainnet, allowlist-only, free names</w:t>
            </w:r>
          </w:p>
        </w:tc>
        <w:tc>
          <w:tcPr>
            <w:tcW w:type="dxa" w:w="3600"/>
          </w:tcPr>
          <w:p>
            <w:pPr>
              <w:spacing w:after="20" w:before="20"/>
            </w:pPr>
            <w:r/>
            <w:r>
              <w:rPr>
                <w:rFonts w:ascii="Calibri" w:hAnsi="Calibri"/>
                <w:b w:val="0"/>
                <w:sz w:val="17"/>
              </w:rPr>
              <w:t>Audit passed</w:t>
            </w:r>
          </w:p>
        </w:tc>
      </w:tr>
      <w:tr>
        <w:tc>
          <w:tcPr>
            <w:tcW w:type="dxa" w:w="2304"/>
          </w:tcPr>
          <w:p>
            <w:pPr>
              <w:spacing w:after="20" w:before="20"/>
            </w:pPr>
            <w:r/>
            <w:r>
              <w:rPr>
                <w:rFonts w:ascii="Calibri" w:hAnsi="Calibri"/>
                <w:b w:val="0"/>
                <w:sz w:val="17"/>
              </w:rPr>
              <w:t>2 — Verified users</w:t>
            </w:r>
          </w:p>
        </w:tc>
        <w:tc>
          <w:tcPr>
            <w:tcW w:type="dxa" w:w="4176"/>
          </w:tcPr>
          <w:p>
            <w:pPr>
              <w:spacing w:after="20" w:before="20"/>
            </w:pPr>
            <w:r/>
            <w:r>
              <w:rPr>
                <w:rFonts w:ascii="Calibri" w:hAnsi="Calibri"/>
                <w:b w:val="0"/>
                <w:sz w:val="17"/>
              </w:rPr>
              <w:t>Partners and verified orgs, brand claims open</w:t>
            </w:r>
          </w:p>
        </w:tc>
        <w:tc>
          <w:tcPr>
            <w:tcW w:type="dxa" w:w="3600"/>
          </w:tcPr>
          <w:p>
            <w:pPr>
              <w:spacing w:after="20" w:before="20"/>
            </w:pPr>
            <w:r/>
            <w:r>
              <w:rPr>
                <w:rFonts w:ascii="Calibri" w:hAnsi="Calibri"/>
                <w:b w:val="0"/>
                <w:sz w:val="17"/>
              </w:rPr>
              <w:t>Phase 1 stable</w:t>
            </w:r>
          </w:p>
        </w:tc>
      </w:tr>
      <w:tr>
        <w:tc>
          <w:tcPr>
            <w:tcW w:type="dxa" w:w="2304"/>
          </w:tcPr>
          <w:p>
            <w:pPr>
              <w:spacing w:after="20" w:before="20"/>
            </w:pPr>
            <w:r/>
            <w:r>
              <w:rPr>
                <w:rFonts w:ascii="Calibri" w:hAnsi="Calibri"/>
                <w:b w:val="0"/>
                <w:sz w:val="17"/>
              </w:rPr>
              <w:t>3 — Public</w:t>
            </w:r>
          </w:p>
        </w:tc>
        <w:tc>
          <w:tcPr>
            <w:tcW w:type="dxa" w:w="4176"/>
          </w:tcPr>
          <w:p>
            <w:pPr>
              <w:spacing w:after="20" w:before="20"/>
            </w:pPr>
            <w:r/>
            <w:r>
              <w:rPr>
                <w:rFonts w:ascii="Calibri" w:hAnsi="Calibri"/>
                <w:b w:val="0"/>
                <w:sz w:val="17"/>
              </w:rPr>
              <w:t>Open registration, paymaster caps live, 1–2 char allocation</w:t>
            </w:r>
          </w:p>
        </w:tc>
        <w:tc>
          <w:tcPr>
            <w:tcW w:type="dxa" w:w="3600"/>
          </w:tcPr>
          <w:p>
            <w:pPr>
              <w:spacing w:after="20" w:before="20"/>
            </w:pPr>
            <w:r/>
            <w:r>
              <w:rPr>
                <w:rFonts w:ascii="Calibri" w:hAnsi="Calibri"/>
                <w:b w:val="0"/>
                <w:sz w:val="17"/>
              </w:rPr>
              <w:t>Abuse + dispute process ready</w:t>
            </w:r>
          </w:p>
        </w:tc>
      </w:tr>
    </w:tbl>
    <w:p>
      <w:pPr>
        <w:spacing w:after="40"/>
      </w:pPr>
    </w:p>
    <w:p>
      <w:r>
        <w:rPr>
          <w:b w:val="0"/>
          <w:i w:val="0"/>
        </w:rPr>
        <w:t>No client application ships with this paper. The npm package exposes the contract interfaces for integrators; no DID wallet, mobile app, or SDK exists yet. On funding: no grant has been applied for. A Circle grant draft exists covering gas sponsorship and audit costs; if submitted, funds go to the builder entity, not the family office.</w:t>
      </w:r>
    </w:p>
    <w:p>
      <w:pPr>
        <w:pStyle w:val="Heading1"/>
      </w:pPr>
      <w:r>
        <w:t>16  Building on Ownership</w:t>
      </w:r>
    </w:p>
    <w:p>
      <w:r>
        <w:rPr>
          <w:b w:val="0"/>
          <w:i w:val="0"/>
        </w:rPr>
        <w:t>Most applications need two contracts. If you display names, you need the Registry (to find a name’s resolver) and the Resolver (to read its records) — reads only, no integration with the Registrar, Marketplace, or Paymaster. The npm package ships the proxy addresses and ABIs so the minimal resolve flow is a handful of lines:</w:t>
      </w:r>
    </w:p>
    <w:p>
      <w:r>
        <w:rPr>
          <w:b w:val="0"/>
          <w:i w:val="0"/>
        </w:rPr>
        <w:t>Integration is deliberately frictionless: reads need no keys, no signup, and no indexer — just the two contracts and any Arc RPC endpoint.</w:t>
      </w:r>
    </w:p>
    <w:p>
      <w:r>
        <w:rPr>
          <w:b w:val="0"/>
          <w:i w:val="0"/>
          <w:sz w:val="18"/>
        </w:rPr>
        <w:t>const node = namehash("alice.arc");  // same algorithm as ENS</w:t>
        <w:br/>
        <w:t>const resolver = await registry.resolver(node);</w:t>
        <w:br/>
        <w:t>const wallet = await resolver.addr(node);</w:t>
      </w:r>
    </w:p>
    <w:p>
      <w:r>
        <w:rPr>
          <w:b w:val="0"/>
          <w:i w:val="0"/>
        </w:rPr>
        <w:t>Registering names adds the Registrar — always read matchingFee() live rather than hardcoding a price, because governance can change it through the timelock. Gasless onboarding adds ArcPaymaster plus any ERC-4337 bundler and smart account. Marketplaces, brand claims, and attestation checks each add exactly one contract (Marketplace, BrandVault, AttestationRegistry respectively). Running your own namespace — team names under a parent, or a fully independent root — reuses the Registry/Resolver/namehash machinery with your own Registrar and rules. The integration matrix in the project documentation walks each of these nine builder goals contract-by-contract.</w:t>
      </w:r>
    </w:p>
    <w:p>
      <w:r>
        <w:rPr>
          <w:b w:val="0"/>
          <w:i w:val="0"/>
        </w:rPr>
        <w:t>Three builder-facing facts deserve emphasis. First, watch the timelock: upgrades are queued publicly for seven days, and a monitoring subscription to the TimelockController is the correct way to learn about upcoming changes. Second, forward-verify every reverse record before displaying it (§5.1). Third, confirm snapshot or indexer data against the chain before acting on it (§11). A wallet that follows those three rules inherits the system’s security model rather than reinventing it.</w:t>
      </w:r>
    </w:p>
    <w:p>
      <w:pPr>
        <w:pStyle w:val="Heading1"/>
      </w:pPr>
      <w:r>
        <w:t>17  Open source and distribution</w:t>
      </w:r>
    </w:p>
    <w:p>
      <w:r>
        <w:rPr>
          <w:b w:val="0"/>
          <w:i w:val="0"/>
        </w:rPr>
        <w:t>Ownership is open source under AGPL-3.0-only with a commercial dual license: the copyleft license keeps the commons open for everyone building in the open, and the commercial license gives proprietary products a lawful path that funds stewardship. Attribution is automatic under AGPL. The license choice is effectively permanent once code is published, and it was made deliberately at the start of the project rather than left to be relitigated later.</w:t>
      </w:r>
    </w:p>
    <w:p>
      <w:r>
        <w:rPr>
          <w:b w:val="0"/>
          <w:i w:val="0"/>
        </w:rPr>
        <w:t>Distribution follows the survivability principle: no traditional DNS domain, by deliberate choice. The paper, documentation, and frontend live on GitHub and IPFS (content-addressed, pinnable by anyone), with .arc names and IPNS providing the human-readable entry points once the namespace itself is live. This whitepaper’s canonical homes are its GitHub repository and its IPFS publication; a symbolic Bitcoin inscription anchoring the final text may be added as a timestamp proof, but discovery and reading are designed around GitHub + IPFS, free of charge and free of a domain registrar. If the stewards disappear, the code, the paper, and the names all remain reachable.</w:t>
      </w:r>
    </w:p>
    <w:p>
      <w:pPr>
        <w:pStyle w:val="Heading1"/>
      </w:pPr>
      <w:r>
        <w:t>18  Risks, limitations, and open questions</w:t>
      </w:r>
    </w:p>
    <w:p>
      <w:r>
        <w:rPr>
          <w:b w:val="0"/>
          <w:i w:val="0"/>
        </w:rPr>
        <w:t>An honest paper ends with what it does not know. The following are open at v1.0 and are tracked as pre-mainnet work rather than footnotes:</w:t>
      </w:r>
    </w:p>
    <w:p>
      <w:pPr>
        <w:pStyle w:val="ListBullet"/>
      </w:pPr>
      <w:r>
        <w:t>Unaudited code. The contracts have had internal review and full testnet exercise, but no independent audit. Treat every safety statement in this paper as a design claim awaiting external verification until the §12.3 sequence completes.</w:t>
      </w:r>
    </w:p>
    <w:p>
      <w:pPr>
        <w:pStyle w:val="ListBullet"/>
      </w:pPr>
      <w:r>
        <w:t>Placeholder economics. Tier amounts, split ratios, fee-curve calibration, auction rates, and brand-package prices are structural decisions only. Final values follow testnet gas measurement and may change the sustainability arithmetic in §10.</w:t>
      </w:r>
    </w:p>
    <w:p>
      <w:pPr>
        <w:pStyle w:val="ListBullet"/>
      </w:pPr>
      <w:r>
        <w:t>Mainnet gas is not free. The “free” promise holds at the margin because sponsorship and tier design absorb roughly cent-scale USDC write costs; if Arc’s fee market changes materially, caps and tiers must be revisited. This tension with the free-and-distributed goal is acknowledged openly rather than assumed away.</w:t>
      </w:r>
    </w:p>
    <w:p>
      <w:pPr>
        <w:pStyle w:val="ListBullet"/>
      </w:pPr>
      <w:r>
        <w:t>IPFS pinning and contenthash strategy. Persistence of name-linked websites and documents needs an explicit pinning and redundancy strategy before the public phase; contenthash support in the resolver does not by itself guarantee availability.</w:t>
      </w:r>
    </w:p>
    <w:p>
      <w:pPr>
        <w:pStyle w:val="ListBullet"/>
      </w:pPr>
      <w:r>
        <w:t>Brand dispute process. The vault handles exact-match reservation and ROFR; bad-faith typosquat disputes, competing-claim edge cases beyond the first-verified rule, and takedown governance must be specified before public registration opens.</w:t>
      </w:r>
    </w:p>
    <w:p>
      <w:pPr>
        <w:pStyle w:val="ListBullet"/>
      </w:pPr>
      <w:r>
        <w:t>Root ownership and succession. The long-term holder arrangement for the .arc root (trust coordination, successor designation, multisig composition) is a legal-design question under separate review. This paper specifies the on-chain mechanics (timelock, two-step transfer) and deliberately not the legal outcome.</w:t>
      </w:r>
    </w:p>
    <w:p>
      <w:pPr>
        <w:pStyle w:val="ListBullet"/>
      </w:pPr>
      <w:r>
        <w:t>did:arc registration. The method requires W3C registry submission, a published Universal Resolver driver, and test vectors before wallets should treat it as a registered method (§5.2).</w:t>
      </w:r>
    </w:p>
    <w:p>
      <w:pPr>
        <w:pStyle w:val="ListBullet"/>
      </w:pPr>
      <w:r>
        <w:t>Arc itself is young. Chain upgrades, RPC availability, and ecosystem tooling maturity are dependencies Ownership inherits. The testnet-first, audit-gated roadmap is the mitigation.</w:t>
      </w:r>
    </w:p>
    <w:p>
      <w:r>
        <w:rPr>
          <w:b w:val="0"/>
          <w:i w:val="0"/>
        </w:rPr>
        <w:t>None of these gaps block testnet use. All of them block mainnet claims, and the roadmap in §15 is sequenced so that they close before the gates they guard.</w:t>
      </w:r>
    </w:p>
    <w:p>
      <w:pPr>
        <w:pStyle w:val="Heading1"/>
      </w:pPr>
      <w:r>
        <w:t>19  Conclusion</w:t>
      </w:r>
    </w:p>
    <w:p>
      <w:r>
        <w:rPr>
          <w:b w:val="0"/>
          <w:i w:val="0"/>
        </w:rPr>
        <w:t>Ownership demonstrates that a complete naming stack — registration, records, reverse resolution, brand protection, resale, attestations, and sponsored gas — can run natively on Arc today, in the open, without custody, without a domain name, and without charging rent on names — and without the setup friction that keeps newcomers off-chain. It is ENS-shaped where ENS conventions help builders, Arc-native where sovereignty matters, and honest about the distance between a verified testnet and an audited mainnet.</w:t>
      </w:r>
    </w:p>
    <w:p>
      <w:r>
        <w:rPr>
          <w:b w:val="0"/>
          <w:i w:val="0"/>
        </w:rPr>
        <w:t>What exists today: nine contracts on Arc testnet, a verified deployment, proven gas sponsorship, and open-source code. What comes next: freeze scope, contest, audit, bug bounty — then mainnet. This paper will be revised after the audit and marked with what the auditors found.</w:t>
      </w:r>
    </w:p>
    <w:p>
      <w:r>
        <w:rPr>
          <w:b w:val="0"/>
          <w:i/>
          <w:color w:val="3A444E"/>
          <w:sz w:val="18"/>
        </w:rPr>
        <w:t>Designed and built in the United States. The protocol hashes names on-chain, so names in any language work the same as names in English.</w:t>
      </w:r>
    </w:p>
    <w:p>
      <w:pPr>
        <w:pStyle w:val="Heading1"/>
      </w:pPr>
      <w:r>
        <w:t>Appendix A  Contract reference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736"/>
            <w:shd w:fill="002040"/>
          </w:tcPr>
          <w:p>
            <w:pPr>
              <w:spacing w:after="20" w:before="20"/>
            </w:pPr>
            <w:r/>
            <w:r>
              <w:rPr>
                <w:rFonts w:ascii="Calibri" w:hAnsi="Calibri"/>
                <w:b/>
                <w:color w:val="FFFFFF"/>
                <w:sz w:val="17"/>
              </w:rPr>
              <w:t>Contract</w:t>
            </w:r>
          </w:p>
        </w:tc>
        <w:tc>
          <w:tcPr>
            <w:tcW w:type="dxa" w:w="3456"/>
            <w:shd w:fill="002040"/>
          </w:tcPr>
          <w:p>
            <w:pPr>
              <w:spacing w:after="20" w:before="20"/>
            </w:pPr>
            <w:r/>
            <w:r>
              <w:rPr>
                <w:rFonts w:ascii="Calibri" w:hAnsi="Calibri"/>
                <w:b/>
                <w:color w:val="FFFFFF"/>
                <w:sz w:val="17"/>
              </w:rPr>
              <w:t>Pattern</w:t>
            </w:r>
          </w:p>
        </w:tc>
        <w:tc>
          <w:tcPr>
            <w:tcW w:type="dxa" w:w="3888"/>
            <w:shd w:fill="002040"/>
          </w:tcPr>
          <w:p>
            <w:pPr>
              <w:spacing w:after="20" w:before="20"/>
            </w:pPr>
            <w:r/>
            <w:r>
              <w:rPr>
                <w:rFonts w:ascii="Calibri" w:hAnsi="Calibri"/>
                <w:b/>
                <w:color w:val="FFFFFF"/>
                <w:sz w:val="17"/>
              </w:rPr>
              <w:t>Admin</w:t>
            </w:r>
          </w:p>
        </w:tc>
      </w:tr>
      <w:tr>
        <w:tc>
          <w:tcPr>
            <w:tcW w:type="dxa" w:w="2736"/>
          </w:tcPr>
          <w:p>
            <w:pPr>
              <w:spacing w:after="20" w:before="20"/>
            </w:pPr>
            <w:r/>
            <w:r>
              <w:rPr>
                <w:rFonts w:ascii="Calibri" w:hAnsi="Calibri"/>
                <w:b w:val="0"/>
                <w:sz w:val="17"/>
              </w:rPr>
              <w:t>Registry</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Registrar</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Resolver</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ReverseRegistrar</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BrandVault</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Marketplace</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AttestationRegistry</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Splitter</w:t>
            </w:r>
          </w:p>
        </w:tc>
        <w:tc>
          <w:tcPr>
            <w:tcW w:type="dxa" w:w="3456"/>
          </w:tcPr>
          <w:p>
            <w:pPr>
              <w:spacing w:after="20" w:before="20"/>
            </w:pPr>
            <w:r/>
            <w:r>
              <w:rPr>
                <w:rFonts w:ascii="Calibri" w:hAnsi="Calibri"/>
                <w:b w:val="0"/>
                <w:sz w:val="17"/>
              </w:rPr>
              <w:t>UUPS proxy</w:t>
            </w:r>
          </w:p>
        </w:tc>
        <w:tc>
          <w:tcPr>
            <w:tcW w:type="dxa" w:w="3888"/>
          </w:tcPr>
          <w:p>
            <w:pPr>
              <w:spacing w:after="20" w:before="20"/>
            </w:pPr>
            <w:r/>
            <w:r>
              <w:rPr>
                <w:rFonts w:ascii="Calibri" w:hAnsi="Calibri"/>
                <w:b w:val="0"/>
                <w:sz w:val="17"/>
              </w:rPr>
              <w:t>7-day TimelockController</w:t>
            </w:r>
          </w:p>
        </w:tc>
      </w:tr>
      <w:tr>
        <w:tc>
          <w:tcPr>
            <w:tcW w:type="dxa" w:w="2736"/>
          </w:tcPr>
          <w:p>
            <w:pPr>
              <w:spacing w:after="20" w:before="20"/>
            </w:pPr>
            <w:r/>
            <w:r>
              <w:rPr>
                <w:rFonts w:ascii="Calibri" w:hAnsi="Calibri"/>
                <w:b w:val="0"/>
                <w:sz w:val="17"/>
              </w:rPr>
              <w:t>ArcPaymaster</w:t>
            </w:r>
          </w:p>
        </w:tc>
        <w:tc>
          <w:tcPr>
            <w:tcW w:type="dxa" w:w="3456"/>
          </w:tcPr>
          <w:p>
            <w:pPr>
              <w:spacing w:after="20" w:before="20"/>
            </w:pPr>
            <w:r/>
            <w:r>
              <w:rPr>
                <w:rFonts w:ascii="Calibri" w:hAnsi="Calibri"/>
                <w:b w:val="0"/>
                <w:sz w:val="17"/>
              </w:rPr>
              <w:t>ERC-4337 verifying paymaster</w:t>
            </w:r>
          </w:p>
        </w:tc>
        <w:tc>
          <w:tcPr>
            <w:tcW w:type="dxa" w:w="3888"/>
          </w:tcPr>
          <w:p>
            <w:pPr>
              <w:spacing w:after="20" w:before="20"/>
            </w:pPr>
            <w:r/>
            <w:r>
              <w:rPr>
                <w:rFonts w:ascii="Calibri" w:hAnsi="Calibri"/>
                <w:b w:val="0"/>
                <w:sz w:val="17"/>
              </w:rPr>
              <w:t>Admin + rotatable signer</w:t>
            </w:r>
          </w:p>
        </w:tc>
      </w:tr>
      <w:tr>
        <w:tc>
          <w:tcPr>
            <w:tcW w:type="dxa" w:w="2736"/>
          </w:tcPr>
          <w:p>
            <w:pPr>
              <w:spacing w:after="20" w:before="20"/>
            </w:pPr>
            <w:r/>
            <w:r>
              <w:rPr>
                <w:rFonts w:ascii="Calibri" w:hAnsi="Calibri"/>
                <w:b w:val="0"/>
                <w:sz w:val="17"/>
              </w:rPr>
              <w:t>TimelockController</w:t>
            </w:r>
          </w:p>
        </w:tc>
        <w:tc>
          <w:tcPr>
            <w:tcW w:type="dxa" w:w="3456"/>
          </w:tcPr>
          <w:p>
            <w:pPr>
              <w:spacing w:after="20" w:before="20"/>
            </w:pPr>
            <w:r/>
            <w:r>
              <w:rPr>
                <w:rFonts w:ascii="Calibri" w:hAnsi="Calibri"/>
                <w:b w:val="0"/>
                <w:sz w:val="17"/>
              </w:rPr>
              <w:t>OpenZeppelin Timelock</w:t>
            </w:r>
          </w:p>
        </w:tc>
        <w:tc>
          <w:tcPr>
            <w:tcW w:type="dxa" w:w="3888"/>
          </w:tcPr>
          <w:p>
            <w:pPr>
              <w:spacing w:after="20" w:before="20"/>
            </w:pPr>
            <w:r/>
            <w:r>
              <w:rPr>
                <w:rFonts w:ascii="Calibri" w:hAnsi="Calibri"/>
                <w:b w:val="0"/>
                <w:sz w:val="17"/>
              </w:rPr>
              <w:t>Proposers / executors per §13</w:t>
            </w:r>
          </w:p>
        </w:tc>
      </w:tr>
    </w:tbl>
    <w:p>
      <w:pPr>
        <w:spacing w:after="40"/>
      </w:pPr>
    </w:p>
    <w:p>
      <w:r>
        <w:rPr>
          <w:b w:val="0"/>
          <w:i/>
          <w:color w:val="3A444E"/>
          <w:sz w:val="18"/>
        </w:rPr>
        <w:t>Testnet proxy addresses, ABIs, and TypeChain types: see @lodestarfo/arc-naming-contracts (npm) — always use proxy addresses, never implementation addresses. Solidity is compiled with evmVersion paris for Arc compatibility.</w:t>
      </w:r>
    </w:p>
    <w:p>
      <w:pPr>
        <w:pStyle w:val="Heading1"/>
      </w:pPr>
      <w:r>
        <w:t>Appendix B  Glossary</w:t>
      </w:r>
    </w:p>
    <w:tbl>
      <w:tblPr>
        <w:tblStyle w:val="TableGrid"/>
        <w:tblW w:type="auto" w:w="0"/>
        <w:jc w:val="center"/>
        <w:tblLayout w:type="autofit"/>
        <w:tblLook w:firstColumn="1" w:firstRow="1" w:lastColumn="0" w:lastRow="0" w:noHBand="0" w:noVBand="1" w:val="04A0"/>
      </w:tblPr>
      <w:tblGrid>
        <w:gridCol w:w="4896"/>
        <w:gridCol w:w="4896"/>
      </w:tblGrid>
      <w:tr>
        <w:tc>
          <w:tcPr>
            <w:tcW w:type="dxa" w:w="2592"/>
            <w:shd w:fill="002040"/>
          </w:tcPr>
          <w:p>
            <w:pPr>
              <w:spacing w:after="20" w:before="20"/>
            </w:pPr>
            <w:r/>
            <w:r>
              <w:rPr>
                <w:rFonts w:ascii="Calibri" w:hAnsi="Calibri"/>
                <w:b/>
                <w:color w:val="FFFFFF"/>
                <w:sz w:val="17"/>
              </w:rPr>
              <w:t>Term</w:t>
            </w:r>
          </w:p>
        </w:tc>
        <w:tc>
          <w:tcPr>
            <w:tcW w:type="dxa" w:w="7488"/>
            <w:shd w:fill="002040"/>
          </w:tcPr>
          <w:p>
            <w:pPr>
              <w:spacing w:after="20" w:before="20"/>
            </w:pPr>
            <w:r/>
            <w:r>
              <w:rPr>
                <w:rFonts w:ascii="Calibri" w:hAnsi="Calibri"/>
                <w:b/>
                <w:color w:val="FFFFFF"/>
                <w:sz w:val="17"/>
              </w:rPr>
              <w:t>Meaning</w:t>
            </w:r>
          </w:p>
        </w:tc>
      </w:tr>
      <w:tr>
        <w:tc>
          <w:tcPr>
            <w:tcW w:type="dxa" w:w="2592"/>
          </w:tcPr>
          <w:p>
            <w:pPr>
              <w:spacing w:after="20" w:before="20"/>
            </w:pPr>
            <w:r/>
            <w:r>
              <w:rPr>
                <w:rFonts w:ascii="Calibri" w:hAnsi="Calibri"/>
                <w:b w:val="0"/>
                <w:sz w:val="17"/>
              </w:rPr>
              <w:t>Namehash</w:t>
            </w:r>
          </w:p>
        </w:tc>
        <w:tc>
          <w:tcPr>
            <w:tcW w:type="dxa" w:w="7488"/>
          </w:tcPr>
          <w:p>
            <w:pPr>
              <w:spacing w:after="20" w:before="20"/>
            </w:pPr>
            <w:r/>
            <w:r>
              <w:rPr>
                <w:rFonts w:ascii="Calibri" w:hAnsi="Calibri"/>
                <w:b w:val="0"/>
                <w:sz w:val="17"/>
              </w:rPr>
              <w:t>ENS’s recursive hash turning a name into a registry node</w:t>
            </w:r>
          </w:p>
        </w:tc>
      </w:tr>
      <w:tr>
        <w:tc>
          <w:tcPr>
            <w:tcW w:type="dxa" w:w="2592"/>
          </w:tcPr>
          <w:p>
            <w:pPr>
              <w:spacing w:after="20" w:before="20"/>
            </w:pPr>
            <w:r/>
            <w:r>
              <w:rPr>
                <w:rFonts w:ascii="Calibri" w:hAnsi="Calibri"/>
                <w:b w:val="0"/>
                <w:sz w:val="17"/>
              </w:rPr>
              <w:t>Node</w:t>
            </w:r>
          </w:p>
        </w:tc>
        <w:tc>
          <w:tcPr>
            <w:tcW w:type="dxa" w:w="7488"/>
          </w:tcPr>
          <w:p>
            <w:pPr>
              <w:spacing w:after="20" w:before="20"/>
            </w:pPr>
            <w:r/>
            <w:r>
              <w:rPr>
                <w:rFonts w:ascii="Calibri" w:hAnsi="Calibri"/>
                <w:b w:val="0"/>
                <w:sz w:val="17"/>
              </w:rPr>
              <w:t>The namehash identifier for a name in the Registry</w:t>
            </w:r>
          </w:p>
        </w:tc>
      </w:tr>
      <w:tr>
        <w:tc>
          <w:tcPr>
            <w:tcW w:type="dxa" w:w="2592"/>
          </w:tcPr>
          <w:p>
            <w:pPr>
              <w:spacing w:after="20" w:before="20"/>
            </w:pPr>
            <w:r/>
            <w:r>
              <w:rPr>
                <w:rFonts w:ascii="Calibri" w:hAnsi="Calibri"/>
                <w:b w:val="0"/>
                <w:sz w:val="17"/>
              </w:rPr>
              <w:t>ROFR</w:t>
            </w:r>
          </w:p>
        </w:tc>
        <w:tc>
          <w:tcPr>
            <w:tcW w:type="dxa" w:w="7488"/>
          </w:tcPr>
          <w:p>
            <w:pPr>
              <w:spacing w:after="20" w:before="20"/>
            </w:pPr>
            <w:r/>
            <w:r>
              <w:rPr>
                <w:rFonts w:ascii="Calibri" w:hAnsi="Calibri"/>
                <w:b w:val="0"/>
                <w:sz w:val="17"/>
              </w:rPr>
              <w:t>Right of first refusal — the brand-claim mechanism (§7)</w:t>
            </w:r>
          </w:p>
        </w:tc>
      </w:tr>
      <w:tr>
        <w:tc>
          <w:tcPr>
            <w:tcW w:type="dxa" w:w="2592"/>
          </w:tcPr>
          <w:p>
            <w:pPr>
              <w:spacing w:after="20" w:before="20"/>
            </w:pPr>
            <w:r/>
            <w:r>
              <w:rPr>
                <w:rFonts w:ascii="Calibri" w:hAnsi="Calibri"/>
                <w:b w:val="0"/>
                <w:sz w:val="17"/>
              </w:rPr>
              <w:t>UUPS</w:t>
            </w:r>
          </w:p>
        </w:tc>
        <w:tc>
          <w:tcPr>
            <w:tcW w:type="dxa" w:w="7488"/>
          </w:tcPr>
          <w:p>
            <w:pPr>
              <w:spacing w:after="20" w:before="20"/>
            </w:pPr>
            <w:r/>
            <w:r>
              <w:rPr>
                <w:rFonts w:ascii="Calibri" w:hAnsi="Calibri"/>
                <w:b w:val="0"/>
                <w:sz w:val="17"/>
              </w:rPr>
              <w:t>Upgradeable proxy pattern; logic replaceable via timelock</w:t>
            </w:r>
          </w:p>
        </w:tc>
      </w:tr>
      <w:tr>
        <w:tc>
          <w:tcPr>
            <w:tcW w:type="dxa" w:w="2592"/>
          </w:tcPr>
          <w:p>
            <w:pPr>
              <w:spacing w:after="20" w:before="20"/>
            </w:pPr>
            <w:r/>
            <w:r>
              <w:rPr>
                <w:rFonts w:ascii="Calibri" w:hAnsi="Calibri"/>
                <w:b w:val="0"/>
                <w:sz w:val="17"/>
              </w:rPr>
              <w:t>User operation</w:t>
            </w:r>
          </w:p>
        </w:tc>
        <w:tc>
          <w:tcPr>
            <w:tcW w:type="dxa" w:w="7488"/>
          </w:tcPr>
          <w:p>
            <w:pPr>
              <w:spacing w:after="20" w:before="20"/>
            </w:pPr>
            <w:r/>
            <w:r>
              <w:rPr>
                <w:rFonts w:ascii="Calibri" w:hAnsi="Calibri"/>
                <w:b w:val="0"/>
                <w:sz w:val="17"/>
              </w:rPr>
              <w:t>An ERC-4337 account-abstraction transaction</w:t>
            </w:r>
          </w:p>
        </w:tc>
      </w:tr>
      <w:tr>
        <w:tc>
          <w:tcPr>
            <w:tcW w:type="dxa" w:w="2592"/>
          </w:tcPr>
          <w:p>
            <w:pPr>
              <w:spacing w:after="20" w:before="20"/>
            </w:pPr>
            <w:r/>
            <w:r>
              <w:rPr>
                <w:rFonts w:ascii="Calibri" w:hAnsi="Calibri"/>
                <w:b w:val="0"/>
                <w:sz w:val="17"/>
              </w:rPr>
              <w:t>UTS-46</w:t>
            </w:r>
          </w:p>
        </w:tc>
        <w:tc>
          <w:tcPr>
            <w:tcW w:type="dxa" w:w="7488"/>
          </w:tcPr>
          <w:p>
            <w:pPr>
              <w:spacing w:after="20" w:before="20"/>
            </w:pPr>
            <w:r/>
            <w:r>
              <w:rPr>
                <w:rFonts w:ascii="Calibri" w:hAnsi="Calibri"/>
                <w:b w:val="0"/>
                <w:sz w:val="17"/>
              </w:rPr>
              <w:t>Unicode normalization standard applied client-side before registration</w:t>
            </w:r>
          </w:p>
        </w:tc>
      </w:tr>
      <w:tr>
        <w:tc>
          <w:tcPr>
            <w:tcW w:type="dxa" w:w="2592"/>
          </w:tcPr>
          <w:p>
            <w:pPr>
              <w:spacing w:after="20" w:before="20"/>
            </w:pPr>
            <w:r/>
            <w:r>
              <w:rPr>
                <w:rFonts w:ascii="Calibri" w:hAnsi="Calibri"/>
                <w:b w:val="0"/>
                <w:sz w:val="17"/>
              </w:rPr>
              <w:t>CAIP-10</w:t>
            </w:r>
          </w:p>
        </w:tc>
        <w:tc>
          <w:tcPr>
            <w:tcW w:type="dxa" w:w="7488"/>
          </w:tcPr>
          <w:p>
            <w:pPr>
              <w:spacing w:after="20" w:before="20"/>
            </w:pPr>
            <w:r/>
            <w:r>
              <w:rPr>
                <w:rFonts w:ascii="Calibri" w:hAnsi="Calibri"/>
                <w:b w:val="0"/>
                <w:sz w:val="17"/>
              </w:rPr>
              <w:t>Chain-agnostic account ID format (eip155:…)</w:t>
            </w:r>
          </w:p>
        </w:tc>
      </w:tr>
      <w:tr>
        <w:tc>
          <w:tcPr>
            <w:tcW w:type="dxa" w:w="2592"/>
          </w:tcPr>
          <w:p>
            <w:pPr>
              <w:spacing w:after="20" w:before="20"/>
            </w:pPr>
            <w:r/>
            <w:r>
              <w:rPr>
                <w:rFonts w:ascii="Calibri" w:hAnsi="Calibri"/>
                <w:b w:val="0"/>
                <w:sz w:val="17"/>
              </w:rPr>
              <w:t>Soulbound</w:t>
            </w:r>
          </w:p>
        </w:tc>
        <w:tc>
          <w:tcPr>
            <w:tcW w:type="dxa" w:w="7488"/>
          </w:tcPr>
          <w:p>
            <w:pPr>
              <w:spacing w:after="20" w:before="20"/>
            </w:pPr>
            <w:r/>
            <w:r>
              <w:rPr>
                <w:rFonts w:ascii="Calibri" w:hAnsi="Calibri"/>
                <w:b w:val="0"/>
                <w:sz w:val="17"/>
              </w:rPr>
              <w:t>Non-transferable; attestations cannot be sold or moved</w:t>
            </w:r>
          </w:p>
        </w:tc>
      </w:tr>
      <w:tr>
        <w:tc>
          <w:tcPr>
            <w:tcW w:type="dxa" w:w="2592"/>
          </w:tcPr>
          <w:p>
            <w:pPr>
              <w:spacing w:after="20" w:before="20"/>
            </w:pPr>
            <w:r/>
            <w:r>
              <w:rPr>
                <w:rFonts w:ascii="Calibri" w:hAnsi="Calibri"/>
                <w:b w:val="0"/>
                <w:sz w:val="17"/>
              </w:rPr>
              <w:t>Frictionless</w:t>
            </w:r>
          </w:p>
        </w:tc>
        <w:tc>
          <w:tcPr>
            <w:tcW w:type="dxa" w:w="7488"/>
          </w:tcPr>
          <w:p>
            <w:pPr>
              <w:spacing w:after="20" w:before="20"/>
            </w:pPr>
            <w:r/>
            <w:r>
              <w:rPr>
                <w:rFonts w:ascii="Calibri" w:hAnsi="Calibri"/>
                <w:b w:val="0"/>
                <w:sz w:val="17"/>
              </w:rPr>
              <w:t>Design goal (§2): user and builder flows that remove steps instead of adding them — sponsored gas, auto-renewal, two-contract reads</w:t>
            </w:r>
          </w:p>
        </w:tc>
      </w:tr>
    </w:tbl>
    <w:p>
      <w:pPr>
        <w:spacing w:after="40"/>
      </w:pPr>
    </w:p>
    <w:p>
      <w:pPr>
        <w:pStyle w:val="Heading1"/>
      </w:pPr>
      <w:r>
        <w:t>Appendix C  References</w:t>
      </w:r>
    </w:p>
    <w:p>
      <w:pPr>
        <w:pStyle w:val="ListNumber"/>
      </w:pPr>
      <w:r>
        <w:t>ENS documentation and ENSIPs — namehash, resolver interfaces, text-record conventions, reverse resolution (docs.ens.domains).</w:t>
      </w:r>
    </w:p>
    <w:p>
      <w:pPr>
        <w:pStyle w:val="ListNumber"/>
      </w:pPr>
      <w:r>
        <w:t>ERC-4337: Account Abstraction Using Alt Mempool; ERC-7562: Account Abstraction Validation Scope Rules.</w:t>
      </w:r>
    </w:p>
    <w:p>
      <w:pPr>
        <w:pStyle w:val="ListNumber"/>
      </w:pPr>
      <w:r>
        <w:t>W3C Decentralized Identifiers (DID) Core v1.0; did:ethr method specification (design precedent for did:arc).</w:t>
      </w:r>
    </w:p>
    <w:p>
      <w:pPr>
        <w:pStyle w:val="ListNumber"/>
      </w:pPr>
      <w:r>
        <w:t>CAIP-10: Blockchain Account ID Specification (Chain Agnostic Improvement Proposals).</w:t>
      </w:r>
    </w:p>
    <w:p>
      <w:pPr>
        <w:pStyle w:val="ListNumber"/>
      </w:pPr>
      <w:r>
        <w:t>Unicode Technical Standard #46: Unicode IDNA Compatibility Processing.</w:t>
      </w:r>
    </w:p>
    <w:p>
      <w:pPr>
        <w:pStyle w:val="ListNumber"/>
      </w:pPr>
      <w:r>
        <w:t>OpenZeppelin Contracts — UUPS, TimelockController, AccessControl documentation.</w:t>
      </w:r>
    </w:p>
    <w:p>
      <w:pPr>
        <w:pStyle w:val="ListNumber"/>
      </w:pPr>
      <w:r>
        <w:t>Ownership project documents: TESTNET_SPEC.md; DID_ARC_METHOD_SPEC.md v0.1; INTEGRATION_MATRIX.md (build-project/naming-service).</w:t>
      </w:r>
    </w:p>
    <w:p/>
    <w:p>
      <w:pPr>
        <w:spacing w:before="80" w:after="160"/>
        <w:ind w:left="216"/>
      </w:pPr>
      <w:r>
        <w:rPr>
          <w:b/>
          <w:color w:val="002040"/>
          <w:sz w:val="19"/>
        </w:rPr>
        <w:t xml:space="preserve">Disclaimer:  </w:t>
      </w:r>
      <w:r>
        <w:rPr>
          <w:color w:val="3A444E"/>
          <w:sz w:val="19"/>
        </w:rPr>
        <w:t>This whitepaper is technical documentation for a testnet system. It is not investment, legal, or tax advice; not an offer or solicitation of any kind; and not a statement by, or endorsement from, Circle Internet Financial or any Arc-affiliated entity. “Ownership™” is used as a trademark claim on first use; it is not a registered mark, and no ® symbol is used. Contract behavior described here reflects testnet deployments that may change; the deployed code and, after audit, the audit reports are the authoritative references.</w:t>
      </w:r>
    </w:p>
    <w:sectPr w:rsidR="00FC693F" w:rsidRPr="0006063C" w:rsidSect="00034616">
      <w:footerReference w:type="default" r:id="rId9"/>
      <w:pgSz w:w="12240" w:h="15840"/>
      <w:pgMar w:top="1008"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44E"/>
        <w:sz w:val="16"/>
      </w:rPr>
      <w:t xml:space="preserve">Ownership™ — .arc Naming Service  •  Whitepaper v1.0  •  Testnet only — unaudited  •  Page </w:t>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22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2040"/>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2040"/>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02040"/>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0204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Ownership Whitepaper - Arc Naming Service</dc:title>
  <dc:subject>The .arc naming service for Arc — architecture, economics, security model</dc:subject>
  <dc:creator>python-docx</dc:creator>
  <cp:keywords>Ownership, .arc, Arc, ENS, naming service, did:arc, ERC-4337, whitepaper</cp:keywords>
  <dc:description>Testnet only — unaudited. Published via GitHub + IPFS; no DNS domain by design.</dc:description>
  <cp:lastModifiedBy/>
  <cp:revision>1</cp:revision>
  <dcterms:created xsi:type="dcterms:W3CDTF">2013-12-23T23:15:00Z</dcterms:created>
  <dcterms:modified xsi:type="dcterms:W3CDTF">2013-12-23T23:15:00Z</dcterms:modified>
  <cp:category/>
</cp:coreProperties>
</file>