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542" w:rsidRDefault="004F00A8" w:rsidP="00D52AD5">
      <w:pPr>
        <w:jc w:val="center"/>
        <w:rPr>
          <w:b/>
          <w:sz w:val="32"/>
        </w:rPr>
      </w:pPr>
      <w:r w:rsidRPr="00D52AD5">
        <w:rPr>
          <w:b/>
          <w:sz w:val="32"/>
        </w:rPr>
        <w:t>Logbook 07/08/2026</w:t>
      </w:r>
    </w:p>
    <w:p w:rsidR="00D52AD5" w:rsidRDefault="00D52AD5" w:rsidP="00D52AD5">
      <w:pPr>
        <w:jc w:val="center"/>
        <w:rPr>
          <w:b/>
          <w:sz w:val="32"/>
        </w:rPr>
      </w:pPr>
    </w:p>
    <w:p w:rsidR="00D52AD5" w:rsidRDefault="00D52AD5" w:rsidP="00D52AD5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Made a function that searches in the gene excel file for genes which satisfy the given metrics (mean </w:t>
      </w:r>
      <w:proofErr w:type="spellStart"/>
      <w:r>
        <w:rPr>
          <w:sz w:val="24"/>
        </w:rPr>
        <w:t>logFC</w:t>
      </w:r>
      <w:proofErr w:type="spellEnd"/>
      <w:r>
        <w:rPr>
          <w:sz w:val="24"/>
        </w:rPr>
        <w:t xml:space="preserve">, min </w:t>
      </w:r>
      <w:proofErr w:type="spellStart"/>
      <w:r>
        <w:rPr>
          <w:sz w:val="24"/>
        </w:rPr>
        <w:t>padj</w:t>
      </w:r>
      <w:proofErr w:type="spellEnd"/>
      <w:r>
        <w:rPr>
          <w:sz w:val="24"/>
        </w:rPr>
        <w:t xml:space="preserve"> and amount of experiments in which the gene is significant)</w:t>
      </w:r>
    </w:p>
    <w:p w:rsidR="00AD0C16" w:rsidRDefault="00AD0C16" w:rsidP="00D52AD5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Performed GRN on DESeq2 data, to see which GRN were DE between conditions</w:t>
      </w:r>
    </w:p>
    <w:p w:rsidR="00AD0C16" w:rsidRDefault="00AD0C16" w:rsidP="00D52AD5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Performed it too on individual experiments, to see the </w:t>
      </w:r>
      <w:r w:rsidR="00BF1F9F">
        <w:rPr>
          <w:sz w:val="24"/>
        </w:rPr>
        <w:t>TFs</w:t>
      </w:r>
    </w:p>
    <w:p w:rsidR="00C80DF9" w:rsidRDefault="00C80DF9" w:rsidP="00C80DF9">
      <w:pPr>
        <w:jc w:val="both"/>
        <w:rPr>
          <w:sz w:val="24"/>
        </w:rPr>
      </w:pPr>
    </w:p>
    <w:p w:rsidR="00C80DF9" w:rsidRDefault="00C80DF9" w:rsidP="00C80DF9">
      <w:pPr>
        <w:jc w:val="both"/>
        <w:rPr>
          <w:sz w:val="24"/>
        </w:rPr>
      </w:pPr>
    </w:p>
    <w:p w:rsidR="00C80DF9" w:rsidRDefault="00C80DF9" w:rsidP="00C80DF9">
      <w:pPr>
        <w:jc w:val="both"/>
        <w:rPr>
          <w:sz w:val="24"/>
        </w:rPr>
      </w:pPr>
    </w:p>
    <w:p w:rsidR="008A260C" w:rsidRDefault="00022F5C" w:rsidP="00A93200">
      <w:pPr>
        <w:jc w:val="both"/>
        <w:rPr>
          <w:sz w:val="24"/>
          <w:lang w:val="en-BE"/>
        </w:rPr>
      </w:pPr>
      <w:r>
        <w:rPr>
          <w:sz w:val="24"/>
          <w:lang w:val="en-BE"/>
        </w:rPr>
        <w:t>TODO:</w:t>
      </w:r>
    </w:p>
    <w:p w:rsidR="00DF14F7" w:rsidRDefault="00022F5C" w:rsidP="00DF14F7">
      <w:pPr>
        <w:pStyle w:val="ListParagraph"/>
        <w:numPr>
          <w:ilvl w:val="0"/>
          <w:numId w:val="1"/>
        </w:numPr>
        <w:jc w:val="both"/>
        <w:rPr>
          <w:sz w:val="24"/>
          <w:lang w:val="en-BE"/>
        </w:rPr>
      </w:pPr>
      <w:r>
        <w:rPr>
          <w:sz w:val="24"/>
          <w:lang w:val="en-BE"/>
        </w:rPr>
        <w:t>GRN DESeq2 of the Test vs WT and visualize it with heatmaps</w:t>
      </w:r>
    </w:p>
    <w:p w:rsidR="0086294D" w:rsidRDefault="0086294D" w:rsidP="00DF14F7">
      <w:pPr>
        <w:pStyle w:val="ListParagraph"/>
        <w:numPr>
          <w:ilvl w:val="0"/>
          <w:numId w:val="1"/>
        </w:numPr>
        <w:jc w:val="both"/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vs other immunogenic (qualitative)</w:t>
      </w:r>
    </w:p>
    <w:p w:rsidR="00B470D8" w:rsidRDefault="00B470D8" w:rsidP="00DF14F7">
      <w:pPr>
        <w:pStyle w:val="ListParagraph"/>
        <w:numPr>
          <w:ilvl w:val="0"/>
          <w:numId w:val="1"/>
        </w:numPr>
        <w:jc w:val="both"/>
        <w:rPr>
          <w:sz w:val="24"/>
          <w:lang w:val="en-BE"/>
        </w:rPr>
      </w:pPr>
      <w:proofErr w:type="spellStart"/>
      <w:r>
        <w:rPr>
          <w:sz w:val="24"/>
          <w:lang w:val="en-BE"/>
        </w:rPr>
        <w:t>RShiny</w:t>
      </w:r>
      <w:proofErr w:type="spellEnd"/>
    </w:p>
    <w:p w:rsidR="006C1648" w:rsidRDefault="006C1648" w:rsidP="00DF14F7">
      <w:pPr>
        <w:pStyle w:val="ListParagraph"/>
        <w:numPr>
          <w:ilvl w:val="0"/>
          <w:numId w:val="1"/>
        </w:numPr>
        <w:jc w:val="both"/>
        <w:rPr>
          <w:sz w:val="24"/>
          <w:lang w:val="en-BE"/>
        </w:rPr>
      </w:pPr>
      <w:r>
        <w:rPr>
          <w:sz w:val="24"/>
          <w:lang w:val="en-BE"/>
        </w:rPr>
        <w:t>Metadata change in Samuel’s object, or use Lode’s object</w:t>
      </w:r>
      <w:r w:rsidR="00417E1B">
        <w:rPr>
          <w:sz w:val="24"/>
          <w:lang w:val="en-BE"/>
        </w:rPr>
        <w:t xml:space="preserve"> (typo, SAM6 WT</w:t>
      </w:r>
      <w:r w:rsidR="00EA3B9F">
        <w:rPr>
          <w:sz w:val="24"/>
          <w:lang w:val="en-BE"/>
        </w:rPr>
        <w:t>, extra annotation</w:t>
      </w:r>
      <w:r w:rsidR="00DF1542">
        <w:rPr>
          <w:sz w:val="24"/>
          <w:lang w:val="en-BE"/>
        </w:rPr>
        <w:t xml:space="preserve">, </w:t>
      </w:r>
      <w:proofErr w:type="spellStart"/>
      <w:r w:rsidR="00DF1542">
        <w:rPr>
          <w:sz w:val="24"/>
          <w:lang w:val="en-BE"/>
        </w:rPr>
        <w:t>mouse_id</w:t>
      </w:r>
      <w:proofErr w:type="spellEnd"/>
      <w:r w:rsidR="00417E1B">
        <w:rPr>
          <w:sz w:val="24"/>
          <w:lang w:val="en-BE"/>
        </w:rPr>
        <w:t>)</w:t>
      </w:r>
      <w:r w:rsidR="00DF1542">
        <w:rPr>
          <w:sz w:val="24"/>
          <w:lang w:val="en-BE"/>
        </w:rPr>
        <w:t xml:space="preserve">, so best turn </w:t>
      </w:r>
      <w:r w:rsidR="00A66BEC">
        <w:rPr>
          <w:sz w:val="24"/>
          <w:lang w:val="en-BE"/>
        </w:rPr>
        <w:t>Lode’s object to Seurat or extract the metadata</w:t>
      </w:r>
      <w:bookmarkStart w:id="0" w:name="_GoBack"/>
      <w:bookmarkEnd w:id="0"/>
    </w:p>
    <w:p w:rsidR="00B470D8" w:rsidRPr="00B470D8" w:rsidRDefault="00B470D8" w:rsidP="00B470D8">
      <w:pPr>
        <w:jc w:val="both"/>
        <w:rPr>
          <w:sz w:val="24"/>
          <w:lang w:val="en-BE"/>
        </w:rPr>
      </w:pPr>
    </w:p>
    <w:sectPr w:rsidR="00B470D8" w:rsidRPr="00B47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9435C"/>
    <w:multiLevelType w:val="hybridMultilevel"/>
    <w:tmpl w:val="5BD221B8"/>
    <w:lvl w:ilvl="0" w:tplc="26782C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D8"/>
    <w:rsid w:val="00022F5C"/>
    <w:rsid w:val="00277542"/>
    <w:rsid w:val="00417E1B"/>
    <w:rsid w:val="004F00A8"/>
    <w:rsid w:val="006C1648"/>
    <w:rsid w:val="00791965"/>
    <w:rsid w:val="0086294D"/>
    <w:rsid w:val="008A260C"/>
    <w:rsid w:val="00A66BEC"/>
    <w:rsid w:val="00A93200"/>
    <w:rsid w:val="00AD0C16"/>
    <w:rsid w:val="00B470D8"/>
    <w:rsid w:val="00BF1F9F"/>
    <w:rsid w:val="00C568D8"/>
    <w:rsid w:val="00C80DF9"/>
    <w:rsid w:val="00D52AD5"/>
    <w:rsid w:val="00DF14F7"/>
    <w:rsid w:val="00DF1542"/>
    <w:rsid w:val="00E73D3C"/>
    <w:rsid w:val="00EA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D94579"/>
  <w15:chartTrackingRefBased/>
  <w15:docId w15:val="{74940EAC-835F-46EA-B4CA-A171FA23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17</cp:revision>
  <dcterms:created xsi:type="dcterms:W3CDTF">2026-08-07T08:14:00Z</dcterms:created>
  <dcterms:modified xsi:type="dcterms:W3CDTF">2026-08-07T11:26:00Z</dcterms:modified>
</cp:coreProperties>
</file>