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0A451" w14:textId="77777777" w:rsidR="00EF4204" w:rsidRPr="00EF4204" w:rsidRDefault="00EF4204" w:rsidP="00EF4204">
      <w:pPr>
        <w:rPr>
          <w:lang w:val="nl-NL"/>
        </w:rPr>
      </w:pPr>
      <w:r w:rsidRPr="00EF4204">
        <w:rPr>
          <w:lang w:val="nl-NL"/>
        </w:rPr>
        <w:t xml:space="preserve">Ja — en Oostenrijk levert opnieuw een </w:t>
      </w:r>
      <w:r w:rsidRPr="00EF4204">
        <w:rPr>
          <w:b/>
          <w:bCs/>
          <w:lang w:val="nl-NL"/>
        </w:rPr>
        <w:t>ander type landschap</w:t>
      </w:r>
      <w:r w:rsidRPr="00EF4204">
        <w:rPr>
          <w:lang w:val="nl-NL"/>
        </w:rPr>
        <w:t xml:space="preserve"> op dan Nederland en Denemarken. Mijn voorlopige lezing is dat Oostenrijk het best te begrijpen is als een </w:t>
      </w:r>
      <w:r w:rsidRPr="00EF4204">
        <w:rPr>
          <w:b/>
          <w:bCs/>
          <w:lang w:val="nl-NL"/>
        </w:rPr>
        <w:t>juridisch verankerd maar sterk interinstitutioneel georganiseerd systeem</w:t>
      </w:r>
      <w:r w:rsidRPr="00EF4204">
        <w:rPr>
          <w:lang w:val="nl-NL"/>
        </w:rPr>
        <w:t xml:space="preserve">: de basis ligt in </w:t>
      </w:r>
      <w:r w:rsidRPr="00EF4204">
        <w:rPr>
          <w:b/>
          <w:bCs/>
          <w:lang w:val="nl-NL"/>
        </w:rPr>
        <w:t>grondwettelijke en hogeronderwijsrechtelijke ankers</w:t>
      </w:r>
      <w:r w:rsidRPr="00EF4204">
        <w:rPr>
          <w:lang w:val="nl-NL"/>
        </w:rPr>
        <w:t xml:space="preserve">, de nationale infrastructuur draait in hoge mate via de </w:t>
      </w:r>
      <w:r w:rsidRPr="00EF4204">
        <w:rPr>
          <w:b/>
          <w:bCs/>
          <w:lang w:val="nl-NL"/>
        </w:rPr>
        <w:t>Österreichische Agentur für wissenschaftliche Integrität (ÖAWI)</w:t>
      </w:r>
      <w:r w:rsidRPr="00EF4204">
        <w:rPr>
          <w:lang w:val="nl-NL"/>
        </w:rPr>
        <w:t xml:space="preserve">, de sectorbrede normatieve vertaling loopt via de </w:t>
      </w:r>
      <w:r w:rsidRPr="00EF4204">
        <w:rPr>
          <w:b/>
          <w:bCs/>
          <w:lang w:val="nl-NL"/>
        </w:rPr>
        <w:t>Hochschulkonferenz</w:t>
      </w:r>
      <w:r w:rsidRPr="00EF4204">
        <w:rPr>
          <w:lang w:val="nl-NL"/>
        </w:rPr>
        <w:t xml:space="preserve"> en het ministerie, en de feitelijke uitvoering zit bij </w:t>
      </w:r>
      <w:r w:rsidRPr="00EF4204">
        <w:rPr>
          <w:b/>
          <w:bCs/>
          <w:lang w:val="nl-NL"/>
        </w:rPr>
        <w:t>instellingen, ombudsstelle(n), commissies, ethiekorganen en fondsen</w:t>
      </w:r>
      <w:r w:rsidRPr="00EF4204">
        <w:rPr>
          <w:lang w:val="nl-NL"/>
        </w:rPr>
        <w:t>. Anders dan Denemarken lijkt Oostenrijk dus niet primair gebouwd rond één staatsrechtelijk misconduct-board; anders dan Nederland is het systeem wel duidelijker in meerdere wetten en sectorregimes verankerd. (</w:t>
      </w:r>
      <w:hyperlink r:id="rId5" w:tooltip="https://www.ris.bka.gv.at/NormDokument.wxe?Abfrage=Bundesnormen&amp;Anlage=&amp;Artikel=17&amp;Gesetzesnummer=10000006&amp;Paragraf=&amp;ShowPrintPreview=True&amp;Uebergangsrecht=" w:history="1">
        <w:r w:rsidRPr="00EF4204">
          <w:rPr>
            <w:rStyle w:val="Hyperlink"/>
            <w:lang w:val="nl-NL"/>
          </w:rPr>
          <w:t>BKA.gv.at</w:t>
        </w:r>
      </w:hyperlink>
      <w:r w:rsidRPr="00EF4204">
        <w:rPr>
          <w:lang w:val="nl-NL"/>
        </w:rPr>
        <w:t>)</w:t>
      </w:r>
    </w:p>
    <w:p w14:paraId="705C7743" w14:textId="77777777" w:rsidR="00EF4204" w:rsidRPr="00EF4204" w:rsidRDefault="00EF4204" w:rsidP="00EF4204">
      <w:pPr>
        <w:rPr>
          <w:lang w:val="nl-NL"/>
        </w:rPr>
      </w:pPr>
      <w:r w:rsidRPr="00EF4204">
        <w:rPr>
          <w:lang w:val="nl-NL"/>
        </w:rPr>
        <w:t xml:space="preserve">Wat voor jouw project meteen belangrijk is: Oostenrijk moet je </w:t>
      </w:r>
      <w:r w:rsidRPr="00EF4204">
        <w:rPr>
          <w:b/>
          <w:bCs/>
          <w:lang w:val="nl-NL"/>
        </w:rPr>
        <w:t>niet</w:t>
      </w:r>
      <w:r w:rsidRPr="00EF4204">
        <w:rPr>
          <w:lang w:val="nl-NL"/>
        </w:rPr>
        <w:t xml:space="preserve"> alleen als “universiteitenland” lezen. De officiële bronnen behandelen het hogeronderwijslandschap expliciet als een stelsel van </w:t>
      </w:r>
      <w:r w:rsidRPr="00EF4204">
        <w:rPr>
          <w:b/>
          <w:bCs/>
          <w:lang w:val="nl-NL"/>
        </w:rPr>
        <w:t>meerdere sectoren</w:t>
      </w:r>
      <w:r w:rsidRPr="00EF4204">
        <w:rPr>
          <w:lang w:val="nl-NL"/>
        </w:rPr>
        <w:t xml:space="preserve"> — universiteiten, Fachhochschulen, Pädagogische Hochschulen en private instellingen — en de Hochschulkonferenz is juist opgezet als advies- en coördinatieorgaan waarin </w:t>
      </w:r>
      <w:r w:rsidRPr="00EF4204">
        <w:rPr>
          <w:b/>
          <w:bCs/>
          <w:lang w:val="nl-NL"/>
        </w:rPr>
        <w:t>alle vier</w:t>
      </w:r>
      <w:r w:rsidRPr="00EF4204">
        <w:rPr>
          <w:lang w:val="nl-NL"/>
        </w:rPr>
        <w:t xml:space="preserve"> hogeronderwijssectoren samenkomen. Tegelijk laat de ÖAWI-ledenstructuur zien dat het systeem ook </w:t>
      </w:r>
      <w:r w:rsidRPr="00EF4204">
        <w:rPr>
          <w:b/>
          <w:bCs/>
          <w:lang w:val="nl-NL"/>
        </w:rPr>
        <w:t>extra-universitaire onderzoeksinstituten</w:t>
      </w:r>
      <w:r w:rsidRPr="00EF4204">
        <w:rPr>
          <w:lang w:val="nl-NL"/>
        </w:rPr>
        <w:t xml:space="preserve"> en </w:t>
      </w:r>
      <w:r w:rsidRPr="00EF4204">
        <w:rPr>
          <w:b/>
          <w:bCs/>
          <w:lang w:val="nl-NL"/>
        </w:rPr>
        <w:t>fondsen</w:t>
      </w:r>
      <w:r w:rsidRPr="00EF4204">
        <w:rPr>
          <w:lang w:val="nl-NL"/>
        </w:rPr>
        <w:t xml:space="preserve"> omvat. Voor jouw bronkaart betekent dat: Oostenrijk is in de middenlaag eerder </w:t>
      </w:r>
      <w:r w:rsidRPr="00EF4204">
        <w:rPr>
          <w:b/>
          <w:bCs/>
          <w:lang w:val="nl-NL"/>
        </w:rPr>
        <w:t>sectoraal/interinstitutioneel</w:t>
      </w:r>
      <w:r w:rsidRPr="00EF4204">
        <w:rPr>
          <w:lang w:val="nl-NL"/>
        </w:rPr>
        <w:t xml:space="preserve"> dan territoriaal-regionaal georganiseerd. (</w:t>
      </w:r>
      <w:hyperlink r:id="rId6" w:tooltip="https://www.bmfwf.gv.at/wissenschaft/hochschulgremien/hsk.html" w:history="1">
        <w:r w:rsidRPr="00EF4204">
          <w:rPr>
            <w:rStyle w:val="Hyperlink"/>
            <w:lang w:val="nl-NL"/>
          </w:rPr>
          <w:t>Women, Science and Research Ministry</w:t>
        </w:r>
      </w:hyperlink>
      <w:r w:rsidRPr="00EF4204">
        <w:rPr>
          <w:lang w:val="nl-NL"/>
        </w:rPr>
        <w:t>)</w:t>
      </w:r>
    </w:p>
    <w:p w14:paraId="26583C41" w14:textId="77777777" w:rsidR="00EF4204" w:rsidRPr="00EF4204" w:rsidRDefault="00EF4204" w:rsidP="00EF4204">
      <w:pPr>
        <w:rPr>
          <w:b/>
          <w:bCs/>
          <w:lang w:val="nl-NL"/>
        </w:rPr>
      </w:pPr>
      <w:r w:rsidRPr="00EF4204">
        <w:rPr>
          <w:b/>
          <w:bCs/>
          <w:lang w:val="nl-NL"/>
        </w:rPr>
        <w:t>1. De juridische buitenschil: vrijheid van wetenschap en wettelijke verankering</w:t>
      </w:r>
    </w:p>
    <w:p w14:paraId="220C4748" w14:textId="77777777" w:rsidR="00EF4204" w:rsidRPr="00EF4204" w:rsidRDefault="00EF4204" w:rsidP="00EF4204">
      <w:pPr>
        <w:rPr>
          <w:lang w:val="nl-NL"/>
        </w:rPr>
      </w:pPr>
      <w:r w:rsidRPr="00EF4204">
        <w:rPr>
          <w:lang w:val="nl-NL"/>
        </w:rPr>
        <w:t xml:space="preserve">Het normatieve vertrekpunt is in Oostenrijk opvallend klassiek: </w:t>
      </w:r>
      <w:r w:rsidRPr="00EF4204">
        <w:rPr>
          <w:b/>
          <w:bCs/>
          <w:lang w:val="nl-NL"/>
        </w:rPr>
        <w:t>artikel 17 StGG</w:t>
      </w:r>
      <w:r w:rsidRPr="00EF4204">
        <w:rPr>
          <w:lang w:val="nl-NL"/>
        </w:rPr>
        <w:t xml:space="preserve"> bepaalt dat “</w:t>
      </w:r>
      <w:r w:rsidRPr="00EF4204">
        <w:rPr>
          <w:b/>
          <w:bCs/>
          <w:lang w:val="nl-NL"/>
        </w:rPr>
        <w:t>Die Wissenschaft und ihre Lehre ist frei</w:t>
      </w:r>
      <w:r w:rsidRPr="00EF4204">
        <w:rPr>
          <w:lang w:val="nl-NL"/>
        </w:rPr>
        <w:t xml:space="preserve">.” Die vrijheid van wetenschap blijft niet abstract; de Oostenrijkse best-practice-documenten koppelen onderzoeksintegriteit en onderzoeksethiek expliciet aan die constitutionele vrijheid. Daardoor is integriteit in Oostenrijk niet alleen een gedragscode-vraag, maar ook een vraag van </w:t>
      </w:r>
      <w:r w:rsidRPr="00EF4204">
        <w:rPr>
          <w:b/>
          <w:bCs/>
          <w:lang w:val="nl-NL"/>
        </w:rPr>
        <w:t>institutionele verantwoordelijkheid binnen wetenschappelijke vrijheid</w:t>
      </w:r>
      <w:r w:rsidRPr="00EF4204">
        <w:rPr>
          <w:lang w:val="nl-NL"/>
        </w:rPr>
        <w:t>. (</w:t>
      </w:r>
      <w:hyperlink r:id="rId7" w:tooltip="https://www.ris.bka.gv.at/NormDokument.wxe?Abfrage=Bundesnormen&amp;Anlage=&amp;Artikel=17&amp;Gesetzesnummer=10000006&amp;Paragraf=&amp;ShowPrintPreview=True&amp;Uebergangsrecht=" w:history="1">
        <w:r w:rsidRPr="00EF4204">
          <w:rPr>
            <w:rStyle w:val="Hyperlink"/>
            <w:lang w:val="nl-NL"/>
          </w:rPr>
          <w:t>BKA.gv.at</w:t>
        </w:r>
      </w:hyperlink>
      <w:r w:rsidRPr="00EF4204">
        <w:rPr>
          <w:lang w:val="nl-NL"/>
        </w:rPr>
        <w:t>)</w:t>
      </w:r>
    </w:p>
    <w:p w14:paraId="4C175B70" w14:textId="77777777" w:rsidR="00EF4204" w:rsidRPr="00EF4204" w:rsidRDefault="00EF4204" w:rsidP="00EF4204">
      <w:pPr>
        <w:rPr>
          <w:lang w:val="nl-NL"/>
        </w:rPr>
      </w:pPr>
      <w:r w:rsidRPr="00EF4204">
        <w:rPr>
          <w:lang w:val="nl-NL"/>
        </w:rPr>
        <w:t xml:space="preserve">Belangrijker nog voor jouw mapping: de recente Oostenrijkse materialen tonen dat </w:t>
      </w:r>
      <w:r w:rsidRPr="00EF4204">
        <w:rPr>
          <w:b/>
          <w:bCs/>
          <w:lang w:val="nl-NL"/>
        </w:rPr>
        <w:t>goede wetenschappelijke praktijk</w:t>
      </w:r>
      <w:r w:rsidRPr="00EF4204">
        <w:rPr>
          <w:lang w:val="nl-NL"/>
        </w:rPr>
        <w:t xml:space="preserve"> en </w:t>
      </w:r>
      <w:r w:rsidRPr="00EF4204">
        <w:rPr>
          <w:b/>
          <w:bCs/>
          <w:lang w:val="nl-NL"/>
        </w:rPr>
        <w:t>academische integriteit</w:t>
      </w:r>
      <w:r w:rsidRPr="00EF4204">
        <w:rPr>
          <w:lang w:val="nl-NL"/>
        </w:rPr>
        <w:t xml:space="preserve"> niet in één losse integriteitswet zitten, maar </w:t>
      </w:r>
      <w:r w:rsidRPr="00EF4204">
        <w:rPr>
          <w:b/>
          <w:bCs/>
          <w:lang w:val="nl-NL"/>
        </w:rPr>
        <w:t>verspreid verankerd</w:t>
      </w:r>
      <w:r w:rsidRPr="00EF4204">
        <w:rPr>
          <w:lang w:val="nl-NL"/>
        </w:rPr>
        <w:t xml:space="preserve"> zijn in het hogeronderwijsrecht. Het BMFWF beschrijft dat de </w:t>
      </w:r>
      <w:r w:rsidRPr="00EF4204">
        <w:rPr>
          <w:b/>
          <w:bCs/>
          <w:lang w:val="nl-NL"/>
        </w:rPr>
        <w:t>UG-novelle 2021</w:t>
      </w:r>
      <w:r w:rsidRPr="00EF4204">
        <w:rPr>
          <w:lang w:val="nl-NL"/>
        </w:rPr>
        <w:t xml:space="preserve"> een definitie van goede wetenschappelijke praktijk in het Universitätsgesetz heeft ingevoegd en de borging van goede wetenschappelijke praktijk en academische integriteit in de leidende beginselen heeft verankerd; daarnaast laten officiële wetsverwijzingen zien dat vergelijkbare ankers ook bestaan in het </w:t>
      </w:r>
      <w:r w:rsidRPr="00EF4204">
        <w:rPr>
          <w:b/>
          <w:bCs/>
          <w:lang w:val="nl-NL"/>
        </w:rPr>
        <w:t>Fachhochschulgesetz</w:t>
      </w:r>
      <w:r w:rsidRPr="00EF4204">
        <w:rPr>
          <w:lang w:val="nl-NL"/>
        </w:rPr>
        <w:t xml:space="preserve">, het </w:t>
      </w:r>
      <w:r w:rsidRPr="00EF4204">
        <w:rPr>
          <w:b/>
          <w:bCs/>
          <w:lang w:val="nl-NL"/>
        </w:rPr>
        <w:t>Privathochschulgesetz</w:t>
      </w:r>
      <w:r w:rsidRPr="00EF4204">
        <w:rPr>
          <w:lang w:val="nl-NL"/>
        </w:rPr>
        <w:t xml:space="preserve"> en het </w:t>
      </w:r>
      <w:r w:rsidRPr="00EF4204">
        <w:rPr>
          <w:b/>
          <w:bCs/>
          <w:lang w:val="nl-NL"/>
        </w:rPr>
        <w:t>Hochschulgesetz 2005</w:t>
      </w:r>
      <w:r w:rsidRPr="00EF4204">
        <w:rPr>
          <w:lang w:val="nl-NL"/>
        </w:rPr>
        <w:t xml:space="preserve">. Voor jouw methode is dit cruciaal: Oostenrijk vraagt om een </w:t>
      </w:r>
      <w:r w:rsidRPr="00EF4204">
        <w:rPr>
          <w:b/>
          <w:bCs/>
          <w:lang w:val="nl-NL"/>
        </w:rPr>
        <w:t>juridische corpusmap per sectorwet</w:t>
      </w:r>
      <w:r w:rsidRPr="00EF4204">
        <w:rPr>
          <w:lang w:val="nl-NL"/>
        </w:rPr>
        <w:t>, niet alleen één integriteitsmap. (</w:t>
      </w:r>
      <w:hyperlink r:id="rId8" w:tooltip="https://unibericht.bmbwf.gv.at/2023/83/" w:history="1">
        <w:r w:rsidRPr="00EF4204">
          <w:rPr>
            <w:rStyle w:val="Hyperlink"/>
            <w:lang w:val="nl-NL"/>
          </w:rPr>
          <w:t>unibericht.bmbwf.gv.at</w:t>
        </w:r>
      </w:hyperlink>
      <w:r w:rsidRPr="00EF4204">
        <w:rPr>
          <w:lang w:val="nl-NL"/>
        </w:rPr>
        <w:t>)</w:t>
      </w:r>
    </w:p>
    <w:p w14:paraId="371BC010" w14:textId="77777777" w:rsidR="00EF4204" w:rsidRPr="00EF4204" w:rsidRDefault="00EF4204" w:rsidP="00EF4204">
      <w:pPr>
        <w:rPr>
          <w:lang w:val="nl-NL"/>
        </w:rPr>
      </w:pPr>
      <w:r w:rsidRPr="00EF4204">
        <w:rPr>
          <w:lang w:val="nl-NL"/>
        </w:rPr>
        <w:lastRenderedPageBreak/>
        <w:t xml:space="preserve">Een tweede juridisch punt is dat Oostenrijk de integriteitsvraag inmiddels verbreedt van alleen onderzoek naar een bredere categorie van </w:t>
      </w:r>
      <w:r w:rsidRPr="00EF4204">
        <w:rPr>
          <w:b/>
          <w:bCs/>
          <w:lang w:val="nl-NL"/>
        </w:rPr>
        <w:t>“Integrität im wissenschaftlichen und künstlerischen Studien-, Lehr- und Forschungsbereich”</w:t>
      </w:r>
      <w:r w:rsidRPr="00EF4204">
        <w:rPr>
          <w:lang w:val="nl-NL"/>
        </w:rPr>
        <w:t xml:space="preserve">. In het BMFWF-universiteitsrapport wordt uitgelegd dat de wetgever juist voor deze brede formulering koos, zodat studenten, onderzoekers en docenten in verschillende sectoren onder één harmoniserend kader kunnen worden gebracht; dezelfde lijn komt terug in de recente ontwikkelingen rond </w:t>
      </w:r>
      <w:r w:rsidRPr="00EF4204">
        <w:rPr>
          <w:b/>
          <w:bCs/>
          <w:lang w:val="nl-NL"/>
        </w:rPr>
        <w:t>HS-QSG</w:t>
      </w:r>
      <w:r w:rsidRPr="00EF4204">
        <w:rPr>
          <w:lang w:val="nl-NL"/>
        </w:rPr>
        <w:t xml:space="preserve">. Dit betekent dat Oostenrijk voor jouw project ook methodologisch interessant is omdat het </w:t>
      </w:r>
      <w:r w:rsidRPr="00EF4204">
        <w:rPr>
          <w:b/>
          <w:bCs/>
          <w:lang w:val="nl-NL"/>
        </w:rPr>
        <w:t>integriteit niet alleen als onderzoeksfraude</w:t>
      </w:r>
      <w:r w:rsidRPr="00EF4204">
        <w:rPr>
          <w:lang w:val="nl-NL"/>
        </w:rPr>
        <w:t xml:space="preserve"> leest, maar ook als kwaliteits- en cultuurvraag over studie, onderwijs en onderzoek heen. (</w:t>
      </w:r>
      <w:hyperlink r:id="rId9" w:tooltip="https://unibericht.bmbwf.gv.at/2023/83/" w:history="1">
        <w:r w:rsidRPr="00EF4204">
          <w:rPr>
            <w:rStyle w:val="Hyperlink"/>
            <w:lang w:val="nl-NL"/>
          </w:rPr>
          <w:t>unibericht.bmbwf.gv.at</w:t>
        </w:r>
      </w:hyperlink>
      <w:r w:rsidRPr="00EF4204">
        <w:rPr>
          <w:lang w:val="nl-NL"/>
        </w:rPr>
        <w:t>)</w:t>
      </w:r>
    </w:p>
    <w:p w14:paraId="3EA400A0" w14:textId="77777777" w:rsidR="00EF4204" w:rsidRPr="00EF4204" w:rsidRDefault="00EF4204" w:rsidP="00EF4204">
      <w:pPr>
        <w:rPr>
          <w:lang w:val="nl-NL"/>
        </w:rPr>
      </w:pPr>
      <w:r w:rsidRPr="00EF4204">
        <w:rPr>
          <w:lang w:val="nl-NL"/>
        </w:rPr>
        <w:t xml:space="preserve">Het BMFWF-rapport maakt bovendien zichtbaar dat de wettelijke rand ook </w:t>
      </w:r>
      <w:r w:rsidRPr="00EF4204">
        <w:rPr>
          <w:b/>
          <w:bCs/>
          <w:lang w:val="nl-NL"/>
        </w:rPr>
        <w:t>concrete sanctiedomeinen</w:t>
      </w:r>
      <w:r w:rsidRPr="00EF4204">
        <w:rPr>
          <w:lang w:val="nl-NL"/>
        </w:rPr>
        <w:t xml:space="preserve"> raakt. Het rapport noemt expliciet de administratiefrechtelijke overtredingen rond </w:t>
      </w:r>
      <w:r w:rsidRPr="00EF4204">
        <w:rPr>
          <w:b/>
          <w:bCs/>
          <w:lang w:val="nl-NL"/>
        </w:rPr>
        <w:t>onrechtmatig gebruik van academische graden</w:t>
      </w:r>
      <w:r w:rsidRPr="00EF4204">
        <w:rPr>
          <w:lang w:val="nl-NL"/>
        </w:rPr>
        <w:t xml:space="preserve"> en </w:t>
      </w:r>
      <w:r w:rsidRPr="00EF4204">
        <w:rPr>
          <w:b/>
          <w:bCs/>
          <w:lang w:val="nl-NL"/>
        </w:rPr>
        <w:t>ghostwriting</w:t>
      </w:r>
      <w:r w:rsidRPr="00EF4204">
        <w:rPr>
          <w:lang w:val="nl-NL"/>
        </w:rPr>
        <w:t xml:space="preserve">, met substantiële geldboetes en in herhaalde gevallen verdere gevolgen. Dat is voor jouw bronkaart belangrijk: in Oostenrijk hoort dus naast “research integrity” ook een map met </w:t>
      </w:r>
      <w:r w:rsidRPr="00EF4204">
        <w:rPr>
          <w:b/>
          <w:bCs/>
          <w:lang w:val="nl-NL"/>
        </w:rPr>
        <w:t>plagiaat/ghostwriting- en titelmisbruikwetgeving</w:t>
      </w:r>
      <w:r w:rsidRPr="00EF4204">
        <w:rPr>
          <w:lang w:val="nl-NL"/>
        </w:rPr>
        <w:t xml:space="preserve"> thuis, omdat juist daar de grens tussen studentintegriteit, academische integriteit en wetenschappelijke integriteit zichtbaar wordt. (</w:t>
      </w:r>
      <w:hyperlink r:id="rId10" w:tooltip="https://unibericht.bmbwf.gv.at/2023/83/" w:history="1">
        <w:r w:rsidRPr="00EF4204">
          <w:rPr>
            <w:rStyle w:val="Hyperlink"/>
            <w:lang w:val="nl-NL"/>
          </w:rPr>
          <w:t>unibericht.bmbwf.gv.at</w:t>
        </w:r>
      </w:hyperlink>
      <w:r w:rsidRPr="00EF4204">
        <w:rPr>
          <w:lang w:val="nl-NL"/>
        </w:rPr>
        <w:t>)</w:t>
      </w:r>
    </w:p>
    <w:p w14:paraId="34B8D9A9" w14:textId="77777777" w:rsidR="00EF4204" w:rsidRPr="00EF4204" w:rsidRDefault="00EF4204" w:rsidP="00EF4204">
      <w:pPr>
        <w:rPr>
          <w:b/>
          <w:bCs/>
          <w:lang w:val="nl-NL"/>
        </w:rPr>
      </w:pPr>
      <w:r w:rsidRPr="00EF4204">
        <w:rPr>
          <w:b/>
          <w:bCs/>
          <w:lang w:val="nl-NL"/>
        </w:rPr>
        <w:t>2. De nationale kerninstantie: ÖAWI</w:t>
      </w:r>
    </w:p>
    <w:p w14:paraId="3282F293" w14:textId="77777777" w:rsidR="00EF4204" w:rsidRPr="00EF4204" w:rsidRDefault="00EF4204" w:rsidP="00EF4204">
      <w:pPr>
        <w:rPr>
          <w:lang w:val="nl-NL"/>
        </w:rPr>
      </w:pPr>
      <w:r w:rsidRPr="00EF4204">
        <w:rPr>
          <w:lang w:val="nl-NL"/>
        </w:rPr>
        <w:t xml:space="preserve">De Oostenrijkse nationale kernspeler is de </w:t>
      </w:r>
      <w:r w:rsidRPr="00EF4204">
        <w:rPr>
          <w:b/>
          <w:bCs/>
          <w:lang w:val="nl-NL"/>
        </w:rPr>
        <w:t>Österreichische Agentur für wissenschaftliche Integrität (ÖAWI)</w:t>
      </w:r>
      <w:r w:rsidRPr="00EF4204">
        <w:rPr>
          <w:lang w:val="nl-NL"/>
        </w:rPr>
        <w:t xml:space="preserve">. Methodologisch is deze organisatie voor jouw project bijna de Oostenrijkse tegenhanger van een gecombineerd </w:t>
      </w:r>
      <w:r w:rsidRPr="00EF4204">
        <w:rPr>
          <w:b/>
          <w:bCs/>
          <w:lang w:val="nl-NL"/>
        </w:rPr>
        <w:t>nationaal netwerk, onderzoeksinstantie, trainingshub en download-archief</w:t>
      </w:r>
      <w:r w:rsidRPr="00EF4204">
        <w:rPr>
          <w:lang w:val="nl-NL"/>
        </w:rPr>
        <w:t xml:space="preserve">. De ÖAWI is eind </w:t>
      </w:r>
      <w:r w:rsidRPr="00EF4204">
        <w:rPr>
          <w:b/>
          <w:bCs/>
          <w:lang w:val="nl-NL"/>
        </w:rPr>
        <w:t>2008</w:t>
      </w:r>
      <w:r w:rsidRPr="00EF4204">
        <w:rPr>
          <w:lang w:val="nl-NL"/>
        </w:rPr>
        <w:t xml:space="preserve"> als vereniging opgericht, wordt gefinancierd via </w:t>
      </w:r>
      <w:r w:rsidRPr="00EF4204">
        <w:rPr>
          <w:b/>
          <w:bCs/>
          <w:lang w:val="nl-NL"/>
        </w:rPr>
        <w:t>lidmaatschapsbijdragen</w:t>
      </w:r>
      <w:r w:rsidRPr="00EF4204">
        <w:rPr>
          <w:lang w:val="nl-NL"/>
        </w:rPr>
        <w:t xml:space="preserve">, en telt inmiddels </w:t>
      </w:r>
      <w:r w:rsidRPr="00EF4204">
        <w:rPr>
          <w:b/>
          <w:bCs/>
          <w:lang w:val="nl-NL"/>
        </w:rPr>
        <w:t>meer dan 60 stemgerechtigde lidinstellingen</w:t>
      </w:r>
      <w:r w:rsidRPr="00EF4204">
        <w:rPr>
          <w:lang w:val="nl-NL"/>
        </w:rPr>
        <w:t xml:space="preserve">, waaronder alle publieke Oostenrijkse universiteiten en daarnaast private universiteiten, Fachhochschulen, extra-universitaire onderzoeksinstellingen en fondsen. Dat betekent dat je de ÖAWI niet alleen als “één orgaan” moet opslaan, maar ook als </w:t>
      </w:r>
      <w:r w:rsidRPr="00EF4204">
        <w:rPr>
          <w:b/>
          <w:bCs/>
          <w:lang w:val="nl-NL"/>
        </w:rPr>
        <w:t>kaart van het nationale ecosysteem</w:t>
      </w:r>
      <w:r w:rsidRPr="00EF4204">
        <w:rPr>
          <w:lang w:val="nl-NL"/>
        </w:rPr>
        <w:t>. (</w:t>
      </w:r>
      <w:hyperlink r:id="rId11" w:tooltip="https://oeawi.at/ueber-die-oeawi/" w:history="1">
        <w:r w:rsidRPr="00EF4204">
          <w:rPr>
            <w:rStyle w:val="Hyperlink"/>
            <w:lang w:val="nl-NL"/>
          </w:rPr>
          <w:t>ÖAWI</w:t>
        </w:r>
      </w:hyperlink>
      <w:r w:rsidRPr="00EF4204">
        <w:rPr>
          <w:lang w:val="nl-NL"/>
        </w:rPr>
        <w:t>)</w:t>
      </w:r>
    </w:p>
    <w:p w14:paraId="64A0C47F" w14:textId="77777777" w:rsidR="00EF4204" w:rsidRPr="00EF4204" w:rsidRDefault="00EF4204" w:rsidP="00EF4204">
      <w:pPr>
        <w:rPr>
          <w:lang w:val="nl-NL"/>
        </w:rPr>
      </w:pPr>
      <w:r w:rsidRPr="00EF4204">
        <w:rPr>
          <w:lang w:val="nl-NL"/>
        </w:rPr>
        <w:t xml:space="preserve">De missie van de ÖAWI is ook inhoudelijk veelzeggend. De organisatie presenteert zichzelf niet primair als sanctieorgaan, maar als instantie voor </w:t>
      </w:r>
      <w:r w:rsidRPr="00EF4204">
        <w:rPr>
          <w:b/>
          <w:bCs/>
          <w:lang w:val="nl-NL"/>
        </w:rPr>
        <w:t>bewustwording, preventie, advies, training, netwerking en onderzoek naar vermoedelijke schendingen</w:t>
      </w:r>
      <w:r w:rsidRPr="00EF4204">
        <w:rPr>
          <w:lang w:val="nl-NL"/>
        </w:rPr>
        <w:t xml:space="preserve">. De About-pagina benadrukt zelfs dat de focus ligt op </w:t>
      </w:r>
      <w:r w:rsidRPr="00EF4204">
        <w:rPr>
          <w:b/>
          <w:bCs/>
          <w:lang w:val="nl-NL"/>
        </w:rPr>
        <w:t>verduidelijking en voorkoming</w:t>
      </w:r>
      <w:r w:rsidRPr="00EF4204">
        <w:rPr>
          <w:lang w:val="nl-NL"/>
        </w:rPr>
        <w:t>, niet op sanctionering. Dat maakt Oostenrijk weer anders dan Denemarken: de nationale infrastructuur is sterk, maar niet zuiver staatsrechtelijk-punitief. (</w:t>
      </w:r>
      <w:hyperlink r:id="rId12" w:tooltip="https://oeawi.at/" w:history="1">
        <w:r w:rsidRPr="00EF4204">
          <w:rPr>
            <w:rStyle w:val="Hyperlink"/>
            <w:lang w:val="nl-NL"/>
          </w:rPr>
          <w:t>ÖAWI</w:t>
        </w:r>
      </w:hyperlink>
      <w:r w:rsidRPr="00EF4204">
        <w:rPr>
          <w:lang w:val="nl-NL"/>
        </w:rPr>
        <w:t>)</w:t>
      </w:r>
    </w:p>
    <w:p w14:paraId="069F26D7" w14:textId="77777777" w:rsidR="00EF4204" w:rsidRPr="00EF4204" w:rsidRDefault="00EF4204" w:rsidP="00EF4204">
      <w:pPr>
        <w:rPr>
          <w:lang w:val="nl-NL"/>
        </w:rPr>
      </w:pPr>
      <w:r w:rsidRPr="00EF4204">
        <w:rPr>
          <w:lang w:val="nl-NL"/>
        </w:rPr>
        <w:t xml:space="preserve">Voor jouw documentverzameling zijn rond de ÖAWI in elk geval vijf bronsoorten essentieel. De </w:t>
      </w:r>
      <w:r w:rsidRPr="00EF4204">
        <w:rPr>
          <w:b/>
          <w:bCs/>
          <w:lang w:val="nl-NL"/>
        </w:rPr>
        <w:t>About-pagina</w:t>
      </w:r>
      <w:r w:rsidRPr="00EF4204">
        <w:rPr>
          <w:lang w:val="nl-NL"/>
        </w:rPr>
        <w:t xml:space="preserve"> bewijst missie, financiering en ledenbasis; de pagina </w:t>
      </w:r>
      <w:r w:rsidRPr="00EF4204">
        <w:rPr>
          <w:b/>
          <w:bCs/>
          <w:lang w:val="nl-NL"/>
        </w:rPr>
        <w:t>Organs</w:t>
      </w:r>
      <w:r w:rsidRPr="00EF4204">
        <w:rPr>
          <w:lang w:val="nl-NL"/>
        </w:rPr>
        <w:t xml:space="preserve"> bewijst governance; de pagina </w:t>
      </w:r>
      <w:r w:rsidRPr="00EF4204">
        <w:rPr>
          <w:b/>
          <w:bCs/>
          <w:lang w:val="nl-NL"/>
        </w:rPr>
        <w:t>Investigation of Allegations</w:t>
      </w:r>
      <w:r w:rsidRPr="00EF4204">
        <w:rPr>
          <w:lang w:val="nl-NL"/>
        </w:rPr>
        <w:t xml:space="preserve"> bewijst procedure </w:t>
      </w:r>
      <w:r w:rsidRPr="00EF4204">
        <w:rPr>
          <w:lang w:val="nl-NL"/>
        </w:rPr>
        <w:lastRenderedPageBreak/>
        <w:t xml:space="preserve">en bevoegdheid; de </w:t>
      </w:r>
      <w:r w:rsidRPr="00EF4204">
        <w:rPr>
          <w:b/>
          <w:bCs/>
          <w:lang w:val="nl-NL"/>
        </w:rPr>
        <w:t>Downloads</w:t>
      </w:r>
      <w:r w:rsidRPr="00EF4204">
        <w:rPr>
          <w:lang w:val="nl-NL"/>
        </w:rPr>
        <w:t xml:space="preserve">-pagina ontsluit jaarverslagen, activiteitenrapporten, statuten en richtlijnen; en de </w:t>
      </w:r>
      <w:r w:rsidRPr="00EF4204">
        <w:rPr>
          <w:b/>
          <w:bCs/>
          <w:lang w:val="nl-NL"/>
        </w:rPr>
        <w:t>Commission annual reports</w:t>
      </w:r>
      <w:r w:rsidRPr="00EF4204">
        <w:rPr>
          <w:lang w:val="nl-NL"/>
        </w:rPr>
        <w:t xml:space="preserve"> laten de praktijklaag zien. Alleen al met deze vijf documentfamilies kun je de nationale Oostenrijkse middenlaag behoorlijk precies reconstrueren. (</w:t>
      </w:r>
      <w:hyperlink r:id="rId13" w:tooltip="https://oeawi.at/ueber-die-oeawi/" w:history="1">
        <w:r w:rsidRPr="00EF4204">
          <w:rPr>
            <w:rStyle w:val="Hyperlink"/>
            <w:lang w:val="nl-NL"/>
          </w:rPr>
          <w:t>ÖAWI</w:t>
        </w:r>
      </w:hyperlink>
      <w:r w:rsidRPr="00EF4204">
        <w:rPr>
          <w:lang w:val="nl-NL"/>
        </w:rPr>
        <w:t>)</w:t>
      </w:r>
    </w:p>
    <w:p w14:paraId="22A1AC65" w14:textId="77777777" w:rsidR="00EF4204" w:rsidRPr="00EF4204" w:rsidRDefault="00EF4204" w:rsidP="00EF4204">
      <w:pPr>
        <w:rPr>
          <w:lang w:val="nl-NL"/>
        </w:rPr>
      </w:pPr>
      <w:r w:rsidRPr="00EF4204">
        <w:rPr>
          <w:lang w:val="nl-NL"/>
        </w:rPr>
        <w:t xml:space="preserve">De </w:t>
      </w:r>
      <w:r w:rsidRPr="00EF4204">
        <w:rPr>
          <w:b/>
          <w:bCs/>
          <w:lang w:val="nl-NL"/>
        </w:rPr>
        <w:t>Commissie van de ÖAWI</w:t>
      </w:r>
      <w:r w:rsidRPr="00EF4204">
        <w:rPr>
          <w:lang w:val="nl-NL"/>
        </w:rPr>
        <w:t xml:space="preserve"> is hierbij het hart van het onderzoeksproces. De commissie is een </w:t>
      </w:r>
      <w:r w:rsidRPr="00EF4204">
        <w:rPr>
          <w:b/>
          <w:bCs/>
          <w:lang w:val="nl-NL"/>
        </w:rPr>
        <w:t>onafhankelijk orgaan</w:t>
      </w:r>
      <w:r w:rsidRPr="00EF4204">
        <w:rPr>
          <w:lang w:val="nl-NL"/>
        </w:rPr>
        <w:t xml:space="preserve">, bestaat hoofdzakelijk uit </w:t>
      </w:r>
      <w:r w:rsidRPr="00EF4204">
        <w:rPr>
          <w:b/>
          <w:bCs/>
          <w:lang w:val="nl-NL"/>
        </w:rPr>
        <w:t>buitenlandse topwetenschappers</w:t>
      </w:r>
      <w:r w:rsidRPr="00EF4204">
        <w:rPr>
          <w:lang w:val="nl-NL"/>
        </w:rPr>
        <w:t xml:space="preserve"> uit verschillende disciplines en wordt aangevuld met een </w:t>
      </w:r>
      <w:r w:rsidRPr="00EF4204">
        <w:rPr>
          <w:b/>
          <w:bCs/>
          <w:lang w:val="nl-NL"/>
        </w:rPr>
        <w:t>Oostenrijkse jurist zonder stemrecht</w:t>
      </w:r>
      <w:r w:rsidRPr="00EF4204">
        <w:rPr>
          <w:lang w:val="nl-NL"/>
        </w:rPr>
        <w:t xml:space="preserve">; zij is uitdrukkelijk geen rechterlijke instantie. Volgens de organenpagina worden de leden op voorstel van de Oostenrijkse Wissenschaftsrat benoemd door de algemene vergadering. Dat is precies het soort documentatie dat jij zoekt: niet alleen dát er een commissie is, maar </w:t>
      </w:r>
      <w:r w:rsidRPr="00EF4204">
        <w:rPr>
          <w:b/>
          <w:bCs/>
          <w:lang w:val="nl-NL"/>
        </w:rPr>
        <w:t>wie haar legitimeert en hoe onafhankelijkheid institutioneel wordt georganiseerd</w:t>
      </w:r>
      <w:r w:rsidRPr="00EF4204">
        <w:rPr>
          <w:lang w:val="nl-NL"/>
        </w:rPr>
        <w:t>. (</w:t>
      </w:r>
      <w:hyperlink r:id="rId14" w:tooltip="https://oeawi.at/vereinsorgane/" w:history="1">
        <w:r w:rsidRPr="00EF4204">
          <w:rPr>
            <w:rStyle w:val="Hyperlink"/>
            <w:lang w:val="nl-NL"/>
          </w:rPr>
          <w:t>ÖAWI</w:t>
        </w:r>
      </w:hyperlink>
      <w:r w:rsidRPr="00EF4204">
        <w:rPr>
          <w:lang w:val="nl-NL"/>
        </w:rPr>
        <w:t>)</w:t>
      </w:r>
    </w:p>
    <w:p w14:paraId="2F5F7190" w14:textId="77777777" w:rsidR="00EF4204" w:rsidRPr="00EF4204" w:rsidRDefault="00EF4204" w:rsidP="00EF4204">
      <w:pPr>
        <w:rPr>
          <w:lang w:val="nl-NL"/>
        </w:rPr>
      </w:pPr>
      <w:r w:rsidRPr="00EF4204">
        <w:rPr>
          <w:lang w:val="nl-NL"/>
        </w:rPr>
        <w:t xml:space="preserve">Procedureel is Oostenrijk hier ook helder. De ÖAWI-commissie behandelt vermoedelijke schendingen van goede wetenschappelijke praktijk voor </w:t>
      </w:r>
      <w:r w:rsidRPr="00EF4204">
        <w:rPr>
          <w:b/>
          <w:bCs/>
          <w:lang w:val="nl-NL"/>
        </w:rPr>
        <w:t>lidinstellingen</w:t>
      </w:r>
      <w:r w:rsidRPr="00EF4204">
        <w:rPr>
          <w:lang w:val="nl-NL"/>
        </w:rPr>
        <w:t xml:space="preserve">, maar ook natuurlijke personen die door vermeend wangedrag met een </w:t>
      </w:r>
      <w:r w:rsidRPr="00EF4204">
        <w:rPr>
          <w:b/>
          <w:bCs/>
          <w:lang w:val="nl-NL"/>
        </w:rPr>
        <w:t>Oostenrijk-link</w:t>
      </w:r>
      <w:r w:rsidRPr="00EF4204">
        <w:rPr>
          <w:lang w:val="nl-NL"/>
        </w:rPr>
        <w:t xml:space="preserve"> zijn getroffen kunnen zich melden. De procedure loopt via een schriftelijke melding in het whistleblower-systeem, waarna eerst bevoegdheid en ontvankelijkheid worden getoetst; zaken kunnen worden afgewezen als zij te oud zijn of elders al lopen. Daarna kan de commissie verklaringen opvragen, externe expertises inwinnen, partijen horen of bemiddeling inzetten. Het </w:t>
      </w:r>
      <w:r w:rsidRPr="00EF4204">
        <w:rPr>
          <w:b/>
          <w:bCs/>
          <w:lang w:val="nl-NL"/>
        </w:rPr>
        <w:t>eindoordeel</w:t>
      </w:r>
      <w:r w:rsidRPr="00EF4204">
        <w:rPr>
          <w:lang w:val="nl-NL"/>
        </w:rPr>
        <w:t xml:space="preserve"> gaat vervolgens naar de betrokken personen en instellingen, maar de </w:t>
      </w:r>
      <w:r w:rsidRPr="00EF4204">
        <w:rPr>
          <w:b/>
          <w:bCs/>
          <w:lang w:val="nl-NL"/>
        </w:rPr>
        <w:t>uitvoering van eventuele gevolgen of sancties ligt bij de instelling</w:t>
      </w:r>
      <w:r w:rsidRPr="00EF4204">
        <w:rPr>
          <w:lang w:val="nl-NL"/>
        </w:rPr>
        <w:t xml:space="preserve">. Dat laatste is voor jouw vergelijking heel belangrijk: Oostenrijk heeft een sterke nationale onderzoeksinfrastructuur, maar de </w:t>
      </w:r>
      <w:r w:rsidRPr="00EF4204">
        <w:rPr>
          <w:b/>
          <w:bCs/>
          <w:lang w:val="nl-NL"/>
        </w:rPr>
        <w:t>consequenties blijven institutioneel</w:t>
      </w:r>
      <w:r w:rsidRPr="00EF4204">
        <w:rPr>
          <w:lang w:val="nl-NL"/>
        </w:rPr>
        <w:t>. (</w:t>
      </w:r>
      <w:hyperlink r:id="rId15" w:tooltip="https://oeawi.at/untersuchung/" w:history="1">
        <w:r w:rsidRPr="00EF4204">
          <w:rPr>
            <w:rStyle w:val="Hyperlink"/>
            <w:lang w:val="nl-NL"/>
          </w:rPr>
          <w:t>ÖAWI</w:t>
        </w:r>
      </w:hyperlink>
      <w:r w:rsidRPr="00EF4204">
        <w:rPr>
          <w:lang w:val="nl-NL"/>
        </w:rPr>
        <w:t>)</w:t>
      </w:r>
    </w:p>
    <w:p w14:paraId="7B94771A" w14:textId="77777777" w:rsidR="00EF4204" w:rsidRPr="00EF4204" w:rsidRDefault="00EF4204" w:rsidP="00EF4204">
      <w:pPr>
        <w:rPr>
          <w:lang w:val="nl-NL"/>
        </w:rPr>
      </w:pPr>
      <w:r w:rsidRPr="00EF4204">
        <w:rPr>
          <w:lang w:val="nl-NL"/>
        </w:rPr>
        <w:t xml:space="preserve">De jaarverslagen tonen dat dit geen symbolische structuur is. Het commissie-jaarverslag 2023 meldt dat de commissie sinds juni 2009 tot eind 2023 in totaal </w:t>
      </w:r>
      <w:r w:rsidRPr="00EF4204">
        <w:rPr>
          <w:b/>
          <w:bCs/>
          <w:lang w:val="nl-NL"/>
        </w:rPr>
        <w:t>238 aanvragen/inquiries</w:t>
      </w:r>
      <w:r w:rsidRPr="00EF4204">
        <w:rPr>
          <w:lang w:val="nl-NL"/>
        </w:rPr>
        <w:t xml:space="preserve"> behandelde; in 2023 ging het om </w:t>
      </w:r>
      <w:r w:rsidRPr="00EF4204">
        <w:rPr>
          <w:b/>
          <w:bCs/>
          <w:lang w:val="nl-NL"/>
        </w:rPr>
        <w:t>15</w:t>
      </w:r>
      <w:r w:rsidRPr="00EF4204">
        <w:rPr>
          <w:lang w:val="nl-NL"/>
        </w:rPr>
        <w:t xml:space="preserve"> behandelde verzoeken, waarvan </w:t>
      </w:r>
      <w:r w:rsidRPr="00EF4204">
        <w:rPr>
          <w:b/>
          <w:bCs/>
          <w:lang w:val="nl-NL"/>
        </w:rPr>
        <w:t>13</w:t>
      </w:r>
      <w:r w:rsidRPr="00EF4204">
        <w:rPr>
          <w:lang w:val="nl-NL"/>
        </w:rPr>
        <w:t xml:space="preserve"> werden afgerond. Voor jouw project zijn deze jaarverslagen dus niet alleen administratieve documenten, maar </w:t>
      </w:r>
      <w:r w:rsidRPr="00EF4204">
        <w:rPr>
          <w:b/>
          <w:bCs/>
          <w:lang w:val="nl-NL"/>
        </w:rPr>
        <w:t>praktijkbewijzen van activiteit, schaal en caseload</w:t>
      </w:r>
      <w:r w:rsidRPr="00EF4204">
        <w:rPr>
          <w:lang w:val="nl-NL"/>
        </w:rPr>
        <w:t>. (</w:t>
      </w:r>
      <w:hyperlink r:id="rId16" w:tooltip="https://oeawi.at/wp-content/uploads/2024/11/Jahresbericht-Kommission-2023-1.pdf" w:history="1">
        <w:r w:rsidRPr="00EF4204">
          <w:rPr>
            <w:rStyle w:val="Hyperlink"/>
            <w:lang w:val="nl-NL"/>
          </w:rPr>
          <w:t>ÖAWI</w:t>
        </w:r>
      </w:hyperlink>
      <w:r w:rsidRPr="00EF4204">
        <w:rPr>
          <w:lang w:val="nl-NL"/>
        </w:rPr>
        <w:t>)</w:t>
      </w:r>
    </w:p>
    <w:p w14:paraId="09AA1FD4" w14:textId="77777777" w:rsidR="00EF4204" w:rsidRPr="00EF4204" w:rsidRDefault="00EF4204" w:rsidP="00EF4204">
      <w:pPr>
        <w:rPr>
          <w:lang w:val="nl-NL"/>
        </w:rPr>
      </w:pPr>
      <w:r w:rsidRPr="00EF4204">
        <w:rPr>
          <w:lang w:val="nl-NL"/>
        </w:rPr>
        <w:t xml:space="preserve">Daarnaast is training in Oostenrijk sterk zichtbaar als nationale bronlaag. De activiteitenrapporten van de ÖAWI beschrijven training als een </w:t>
      </w:r>
      <w:r w:rsidRPr="00EF4204">
        <w:rPr>
          <w:b/>
          <w:bCs/>
          <w:lang w:val="nl-NL"/>
        </w:rPr>
        <w:t>centrale pijler</w:t>
      </w:r>
      <w:r w:rsidRPr="00EF4204">
        <w:rPr>
          <w:lang w:val="nl-NL"/>
        </w:rPr>
        <w:t xml:space="preserve">, met onder meer </w:t>
      </w:r>
      <w:r w:rsidRPr="00EF4204">
        <w:rPr>
          <w:b/>
          <w:bCs/>
          <w:lang w:val="nl-NL"/>
        </w:rPr>
        <w:t>train-the-trainer</w:t>
      </w:r>
      <w:r w:rsidRPr="00EF4204">
        <w:rPr>
          <w:lang w:val="nl-NL"/>
        </w:rPr>
        <w:t xml:space="preserve">, </w:t>
      </w:r>
      <w:r w:rsidRPr="00EF4204">
        <w:rPr>
          <w:b/>
          <w:bCs/>
          <w:lang w:val="nl-NL"/>
        </w:rPr>
        <w:t>e-learning</w:t>
      </w:r>
      <w:r w:rsidRPr="00EF4204">
        <w:rPr>
          <w:lang w:val="nl-NL"/>
        </w:rPr>
        <w:t xml:space="preserve"> en cursussen over goede wetenschappelijke praktijk, wangedrag, auteurschap, publicatie, plagiaat en datamanagement. Ook als jij training nog niet volledig wilt modelleren, zijn deze documenten relevant omdat ze laten zien </w:t>
      </w:r>
      <w:r w:rsidRPr="00EF4204">
        <w:rPr>
          <w:b/>
          <w:bCs/>
          <w:lang w:val="nl-NL"/>
        </w:rPr>
        <w:t>hoe de nationale infrastructuur preventie operationaliseert</w:t>
      </w:r>
      <w:r w:rsidRPr="00EF4204">
        <w:rPr>
          <w:lang w:val="nl-NL"/>
        </w:rPr>
        <w:t>. (</w:t>
      </w:r>
      <w:hyperlink r:id="rId17" w:tooltip="https://oeawi.at/wp-content/uploads/2025/05/OeAWI_Tatigkeitsbericht_2023.pdf" w:history="1">
        <w:r w:rsidRPr="00EF4204">
          <w:rPr>
            <w:rStyle w:val="Hyperlink"/>
            <w:lang w:val="nl-NL"/>
          </w:rPr>
          <w:t>ÖAWI</w:t>
        </w:r>
      </w:hyperlink>
      <w:r w:rsidRPr="00EF4204">
        <w:rPr>
          <w:lang w:val="nl-NL"/>
        </w:rPr>
        <w:t>)</w:t>
      </w:r>
    </w:p>
    <w:p w14:paraId="5E93B366" w14:textId="77777777" w:rsidR="00EF4204" w:rsidRPr="00EF4204" w:rsidRDefault="00EF4204" w:rsidP="00EF4204">
      <w:pPr>
        <w:rPr>
          <w:b/>
          <w:bCs/>
          <w:lang w:val="nl-NL"/>
        </w:rPr>
      </w:pPr>
      <w:r w:rsidRPr="00EF4204">
        <w:rPr>
          <w:b/>
          <w:bCs/>
          <w:lang w:val="nl-NL"/>
        </w:rPr>
        <w:t>3. De nationale normatieve vertaallaag: Hochschulkonferenz en BMFWF</w:t>
      </w:r>
    </w:p>
    <w:p w14:paraId="63563069" w14:textId="77777777" w:rsidR="00EF4204" w:rsidRPr="00EF4204" w:rsidRDefault="00EF4204" w:rsidP="00EF4204">
      <w:pPr>
        <w:rPr>
          <w:lang w:val="nl-NL"/>
        </w:rPr>
      </w:pPr>
      <w:r w:rsidRPr="00EF4204">
        <w:rPr>
          <w:lang w:val="nl-NL"/>
        </w:rPr>
        <w:lastRenderedPageBreak/>
        <w:t xml:space="preserve">Naast de ÖAWI heeft Oostenrijk een tweede nationale laag die voor jouw bronkaart misschien nog wel belangrijker is: de </w:t>
      </w:r>
      <w:r w:rsidRPr="00EF4204">
        <w:rPr>
          <w:b/>
          <w:bCs/>
          <w:lang w:val="nl-NL"/>
        </w:rPr>
        <w:t>Hochschulkonferenz</w:t>
      </w:r>
      <w:r w:rsidRPr="00EF4204">
        <w:rPr>
          <w:lang w:val="nl-NL"/>
        </w:rPr>
        <w:t xml:space="preserve"> en het </w:t>
      </w:r>
      <w:r w:rsidRPr="00EF4204">
        <w:rPr>
          <w:b/>
          <w:bCs/>
          <w:lang w:val="nl-NL"/>
        </w:rPr>
        <w:t>BMFWF</w:t>
      </w:r>
      <w:r w:rsidRPr="00EF4204">
        <w:rPr>
          <w:lang w:val="nl-NL"/>
        </w:rPr>
        <w:t xml:space="preserve">. De Hochschulkonferenz is door het ministerie opgezet als centraal </w:t>
      </w:r>
      <w:r w:rsidRPr="00EF4204">
        <w:rPr>
          <w:b/>
          <w:bCs/>
          <w:lang w:val="nl-NL"/>
        </w:rPr>
        <w:t>advies- en coördinatieorgaan</w:t>
      </w:r>
      <w:r w:rsidRPr="00EF4204">
        <w:rPr>
          <w:lang w:val="nl-NL"/>
        </w:rPr>
        <w:t xml:space="preserve"> waarin alle vier hogeronderwijssectoren samenkomen. Juist daardoor is zij een sleutelbron voor alles wat </w:t>
      </w:r>
      <w:r w:rsidRPr="00EF4204">
        <w:rPr>
          <w:b/>
          <w:bCs/>
          <w:lang w:val="nl-NL"/>
        </w:rPr>
        <w:t>sectoroverstijgend</w:t>
      </w:r>
      <w:r w:rsidRPr="00EF4204">
        <w:rPr>
          <w:lang w:val="nl-NL"/>
        </w:rPr>
        <w:t xml:space="preserve"> wordt geformuleerd. (</w:t>
      </w:r>
      <w:hyperlink r:id="rId18" w:tooltip="https://www.bmfwf.gv.at/wissenschaft/hochschulgremien/hsk.html" w:history="1">
        <w:r w:rsidRPr="00EF4204">
          <w:rPr>
            <w:rStyle w:val="Hyperlink"/>
            <w:lang w:val="nl-NL"/>
          </w:rPr>
          <w:t>Women, Science and Research Ministry</w:t>
        </w:r>
      </w:hyperlink>
      <w:r w:rsidRPr="00EF4204">
        <w:rPr>
          <w:lang w:val="nl-NL"/>
        </w:rPr>
        <w:t>)</w:t>
      </w:r>
    </w:p>
    <w:p w14:paraId="7C8C1C9C" w14:textId="77777777" w:rsidR="00EF4204" w:rsidRPr="00EF4204" w:rsidRDefault="00EF4204" w:rsidP="00EF4204">
      <w:pPr>
        <w:rPr>
          <w:lang w:val="nl-NL"/>
        </w:rPr>
      </w:pPr>
      <w:r w:rsidRPr="00EF4204">
        <w:rPr>
          <w:lang w:val="nl-NL"/>
        </w:rPr>
        <w:t xml:space="preserve">Het kernstuk hier is de </w:t>
      </w:r>
      <w:r w:rsidRPr="00EF4204">
        <w:rPr>
          <w:b/>
          <w:bCs/>
          <w:lang w:val="nl-NL"/>
        </w:rPr>
        <w:t>Praxisleitfaden für Integrität und Ethik in der Wissenschaft</w:t>
      </w:r>
      <w:r w:rsidRPr="00EF4204">
        <w:rPr>
          <w:lang w:val="nl-NL"/>
        </w:rPr>
        <w:t xml:space="preserve">, die door de Hochschulkonferenz in </w:t>
      </w:r>
      <w:r w:rsidRPr="00EF4204">
        <w:rPr>
          <w:b/>
          <w:bCs/>
          <w:lang w:val="nl-NL"/>
        </w:rPr>
        <w:t>2020</w:t>
      </w:r>
      <w:r w:rsidRPr="00EF4204">
        <w:rPr>
          <w:lang w:val="nl-NL"/>
        </w:rPr>
        <w:t xml:space="preserve"> is aangenomen na een werkproces dat sinds 2017/2018 liep. Deze gids is voor jouw Oostenrijk-map bijna een droombron: zij is </w:t>
      </w:r>
      <w:r w:rsidRPr="00EF4204">
        <w:rPr>
          <w:b/>
          <w:bCs/>
          <w:lang w:val="nl-NL"/>
        </w:rPr>
        <w:t>niet juridisch bindend</w:t>
      </w:r>
      <w:r w:rsidRPr="00EF4204">
        <w:rPr>
          <w:lang w:val="nl-NL"/>
        </w:rPr>
        <w:t xml:space="preserve">, maar expliciet bedoeld voor onderzoekers en verantwoordelijken aan universiteiten, Fachhochschulen, Pädagogische Hochschulen, niet-universitaire onderzoeksinstellingen, financieringsorganisaties, publieke en private instellingen, en zelfs studenten en het bredere publiek. Met andere woorden: dit document vertelt je meteen </w:t>
      </w:r>
      <w:r w:rsidRPr="00EF4204">
        <w:rPr>
          <w:b/>
          <w:bCs/>
          <w:lang w:val="nl-NL"/>
        </w:rPr>
        <w:t>voor wie Oostenrijk zijn integriteitskader bedoelt</w:t>
      </w:r>
      <w:r w:rsidRPr="00EF4204">
        <w:rPr>
          <w:lang w:val="nl-NL"/>
        </w:rPr>
        <w:t>. (</w:t>
      </w:r>
      <w:hyperlink r:id="rId19" w:tooltip="https://oeawi.at/wp-content/uploads/2020/12/2020-10-20_Praxisleitfaden-fuer-Integritaet-und-Ethik-in-der-Wissenschaft_engl_.pdf" w:history="1">
        <w:r w:rsidRPr="00EF4204">
          <w:rPr>
            <w:rStyle w:val="Hyperlink"/>
            <w:lang w:val="nl-NL"/>
          </w:rPr>
          <w:t>ÖAWI</w:t>
        </w:r>
      </w:hyperlink>
      <w:r w:rsidRPr="00EF4204">
        <w:rPr>
          <w:lang w:val="nl-NL"/>
        </w:rPr>
        <w:t>)</w:t>
      </w:r>
    </w:p>
    <w:p w14:paraId="26327F2A" w14:textId="77777777" w:rsidR="00EF4204" w:rsidRPr="00EF4204" w:rsidRDefault="00EF4204" w:rsidP="00EF4204">
      <w:pPr>
        <w:rPr>
          <w:lang w:val="nl-NL"/>
        </w:rPr>
      </w:pPr>
      <w:r w:rsidRPr="00EF4204">
        <w:rPr>
          <w:lang w:val="nl-NL"/>
        </w:rPr>
        <w:t xml:space="preserve">Nog belangrijker is wat de gids bevat. Zij bundelt </w:t>
      </w:r>
      <w:r w:rsidRPr="00EF4204">
        <w:rPr>
          <w:b/>
          <w:bCs/>
          <w:lang w:val="nl-NL"/>
        </w:rPr>
        <w:t>standaarden van goede onderzoekspraktijk en onderzoeksethiek</w:t>
      </w:r>
      <w:r w:rsidRPr="00EF4204">
        <w:rPr>
          <w:lang w:val="nl-NL"/>
        </w:rPr>
        <w:t xml:space="preserve">, bespreekt </w:t>
      </w:r>
      <w:r w:rsidRPr="00EF4204">
        <w:rPr>
          <w:b/>
          <w:bCs/>
          <w:lang w:val="nl-NL"/>
        </w:rPr>
        <w:t>fundamentele principes</w:t>
      </w:r>
      <w:r w:rsidRPr="00EF4204">
        <w:rPr>
          <w:lang w:val="nl-NL"/>
        </w:rPr>
        <w:t xml:space="preserve">, </w:t>
      </w:r>
      <w:r w:rsidRPr="00EF4204">
        <w:rPr>
          <w:b/>
          <w:bCs/>
          <w:lang w:val="nl-NL"/>
        </w:rPr>
        <w:t>plichten van onderzoekers</w:t>
      </w:r>
      <w:r w:rsidRPr="00EF4204">
        <w:rPr>
          <w:lang w:val="nl-NL"/>
        </w:rPr>
        <w:t xml:space="preserve">, </w:t>
      </w:r>
      <w:r w:rsidRPr="00EF4204">
        <w:rPr>
          <w:b/>
          <w:bCs/>
          <w:lang w:val="nl-NL"/>
        </w:rPr>
        <w:t>instellingszorgplichten</w:t>
      </w:r>
      <w:r w:rsidRPr="00EF4204">
        <w:rPr>
          <w:lang w:val="nl-NL"/>
        </w:rPr>
        <w:t xml:space="preserve">, de rol van </w:t>
      </w:r>
      <w:r w:rsidRPr="00EF4204">
        <w:rPr>
          <w:b/>
          <w:bCs/>
          <w:lang w:val="nl-NL"/>
        </w:rPr>
        <w:t>research integrity committees</w:t>
      </w:r>
      <w:r w:rsidRPr="00EF4204">
        <w:rPr>
          <w:lang w:val="nl-NL"/>
        </w:rPr>
        <w:t xml:space="preserve">, </w:t>
      </w:r>
      <w:r w:rsidRPr="00EF4204">
        <w:rPr>
          <w:b/>
          <w:bCs/>
          <w:lang w:val="nl-NL"/>
        </w:rPr>
        <w:t>ethics committees</w:t>
      </w:r>
      <w:r w:rsidRPr="00EF4204">
        <w:rPr>
          <w:lang w:val="nl-NL"/>
        </w:rPr>
        <w:t xml:space="preserve">, </w:t>
      </w:r>
      <w:r w:rsidRPr="00EF4204">
        <w:rPr>
          <w:b/>
          <w:bCs/>
          <w:lang w:val="nl-NL"/>
        </w:rPr>
        <w:t>ombudspersonen en adviesorganen</w:t>
      </w:r>
      <w:r w:rsidRPr="00EF4204">
        <w:rPr>
          <w:lang w:val="nl-NL"/>
        </w:rPr>
        <w:t xml:space="preserve">, en ook </w:t>
      </w:r>
      <w:r w:rsidRPr="00EF4204">
        <w:rPr>
          <w:b/>
          <w:bCs/>
          <w:lang w:val="nl-NL"/>
        </w:rPr>
        <w:t>sancties en publieke communicatie</w:t>
      </w:r>
      <w:r w:rsidRPr="00EF4204">
        <w:rPr>
          <w:lang w:val="nl-NL"/>
        </w:rPr>
        <w:t xml:space="preserve">. De tekst noemt zichzelf bovendien een </w:t>
      </w:r>
      <w:r w:rsidRPr="00EF4204">
        <w:rPr>
          <w:b/>
          <w:bCs/>
          <w:lang w:val="nl-NL"/>
        </w:rPr>
        <w:t>“living document”</w:t>
      </w:r>
      <w:r w:rsidRPr="00EF4204">
        <w:rPr>
          <w:lang w:val="nl-NL"/>
        </w:rPr>
        <w:t xml:space="preserve">. Voor jouw documenttypologie is dit dus niet zomaar een code, maar een combinatie van </w:t>
      </w:r>
      <w:r w:rsidRPr="00EF4204">
        <w:rPr>
          <w:b/>
          <w:bCs/>
          <w:lang w:val="nl-NL"/>
        </w:rPr>
        <w:t>normatief document, systeemgids, discovery tool en beleidsagenda</w:t>
      </w:r>
      <w:r w:rsidRPr="00EF4204">
        <w:rPr>
          <w:lang w:val="nl-NL"/>
        </w:rPr>
        <w:t>. (</w:t>
      </w:r>
      <w:hyperlink r:id="rId20" w:tooltip="https://oeawi.at/wp-content/uploads/2020/12/2020-10-20_Praxisleitfaden-fuer-Integritaet-und-Ethik-in-der-Wissenschaft_engl_.pdf" w:history="1">
        <w:r w:rsidRPr="00EF4204">
          <w:rPr>
            <w:rStyle w:val="Hyperlink"/>
            <w:lang w:val="nl-NL"/>
          </w:rPr>
          <w:t>ÖAWI</w:t>
        </w:r>
      </w:hyperlink>
      <w:r w:rsidRPr="00EF4204">
        <w:rPr>
          <w:lang w:val="nl-NL"/>
        </w:rPr>
        <w:t>)</w:t>
      </w:r>
    </w:p>
    <w:p w14:paraId="7A4536B6" w14:textId="77777777" w:rsidR="00EF4204" w:rsidRPr="00EF4204" w:rsidRDefault="00EF4204" w:rsidP="00EF4204">
      <w:pPr>
        <w:rPr>
          <w:lang w:val="nl-NL"/>
        </w:rPr>
      </w:pPr>
      <w:r w:rsidRPr="00EF4204">
        <w:rPr>
          <w:lang w:val="nl-NL"/>
        </w:rPr>
        <w:t xml:space="preserve">Voor Oostenrijk is deze gids nog om een tweede reden goud waard: volgens de ÖAWI- en Hochschulkonferenz-bronnen bevat het werkproces ook een </w:t>
      </w:r>
      <w:r w:rsidRPr="00EF4204">
        <w:rPr>
          <w:b/>
          <w:bCs/>
          <w:lang w:val="nl-NL"/>
        </w:rPr>
        <w:t>overzicht van Oostenrijkse ethiek- en integriteitscommissies</w:t>
      </w:r>
      <w:r w:rsidRPr="00EF4204">
        <w:rPr>
          <w:lang w:val="nl-NL"/>
        </w:rPr>
        <w:t xml:space="preserve"> en best practices voor relevante actievelden. Dat maakt de gids niet alleen inhoudelijk interessant, maar ook praktisch bruikbaar als </w:t>
      </w:r>
      <w:r w:rsidRPr="00EF4204">
        <w:rPr>
          <w:b/>
          <w:bCs/>
          <w:lang w:val="nl-NL"/>
        </w:rPr>
        <w:t>vindplaats voor institutionele actoren</w:t>
      </w:r>
      <w:r w:rsidRPr="00EF4204">
        <w:rPr>
          <w:lang w:val="nl-NL"/>
        </w:rPr>
        <w:t>. Als je één Oostenrijks document moest kiezen om het veld open te breken, dan zou dit waarschijnlijk bovenaan staan. (</w:t>
      </w:r>
      <w:hyperlink r:id="rId21" w:tooltip="https://oeawi.at/events/praxisleitfaden-fuer-integritaet-und-ethik/" w:history="1">
        <w:r w:rsidRPr="00EF4204">
          <w:rPr>
            <w:rStyle w:val="Hyperlink"/>
            <w:lang w:val="nl-NL"/>
          </w:rPr>
          <w:t>ÖAWI</w:t>
        </w:r>
      </w:hyperlink>
      <w:r w:rsidRPr="00EF4204">
        <w:rPr>
          <w:lang w:val="nl-NL"/>
        </w:rPr>
        <w:t>)</w:t>
      </w:r>
    </w:p>
    <w:p w14:paraId="4C50D6C2" w14:textId="77777777" w:rsidR="00EF4204" w:rsidRPr="00EF4204" w:rsidRDefault="00EF4204" w:rsidP="00EF4204">
      <w:pPr>
        <w:rPr>
          <w:lang w:val="nl-NL"/>
        </w:rPr>
      </w:pPr>
      <w:r w:rsidRPr="00EF4204">
        <w:rPr>
          <w:lang w:val="nl-NL"/>
        </w:rPr>
        <w:t xml:space="preserve">De relatie tussen deze soft-law laag en de wet is in Oostenrijk ook netjes benoemd. De ÖAWI-richtlijnen voor goede wetenschappelijke praktijk zijn in </w:t>
      </w:r>
      <w:r w:rsidRPr="00EF4204">
        <w:rPr>
          <w:b/>
          <w:bCs/>
          <w:lang w:val="nl-NL"/>
        </w:rPr>
        <w:t>2015</w:t>
      </w:r>
      <w:r w:rsidRPr="00EF4204">
        <w:rPr>
          <w:lang w:val="nl-NL"/>
        </w:rPr>
        <w:t xml:space="preserve"> herzien en door de algemene vergadering aangenomen; tegelijk wordt expliciet gezegd dat deze richtlijnen het </w:t>
      </w:r>
      <w:r w:rsidRPr="00EF4204">
        <w:rPr>
          <w:b/>
          <w:bCs/>
          <w:lang w:val="nl-NL"/>
        </w:rPr>
        <w:t>juridische systeem aanvullen</w:t>
      </w:r>
      <w:r w:rsidRPr="00EF4204">
        <w:rPr>
          <w:lang w:val="nl-NL"/>
        </w:rPr>
        <w:t xml:space="preserve"> en er niet mee concurreren. Dat is een heel mooie formulering voor jouw vergelijkende project, omdat zij precies laat zien hoe Oostenrijk </w:t>
      </w:r>
      <w:r w:rsidRPr="00EF4204">
        <w:rPr>
          <w:b/>
          <w:bCs/>
          <w:lang w:val="nl-NL"/>
        </w:rPr>
        <w:t>law + code + institutionele implementatie</w:t>
      </w:r>
      <w:r w:rsidRPr="00EF4204">
        <w:rPr>
          <w:lang w:val="nl-NL"/>
        </w:rPr>
        <w:t xml:space="preserve"> op elkaar stapelt. (</w:t>
      </w:r>
      <w:hyperlink r:id="rId22" w:tooltip="https://oeawi.at/en/guidelines/" w:history="1">
        <w:r w:rsidRPr="00EF4204">
          <w:rPr>
            <w:rStyle w:val="Hyperlink"/>
            <w:lang w:val="nl-NL"/>
          </w:rPr>
          <w:t>ÖAWI</w:t>
        </w:r>
      </w:hyperlink>
      <w:r w:rsidRPr="00EF4204">
        <w:rPr>
          <w:lang w:val="nl-NL"/>
        </w:rPr>
        <w:t>)</w:t>
      </w:r>
    </w:p>
    <w:p w14:paraId="544BA705" w14:textId="77777777" w:rsidR="00EF4204" w:rsidRPr="00EF4204" w:rsidRDefault="00EF4204" w:rsidP="00EF4204">
      <w:pPr>
        <w:rPr>
          <w:b/>
          <w:bCs/>
          <w:lang w:val="nl-NL"/>
        </w:rPr>
      </w:pPr>
      <w:r w:rsidRPr="00EF4204">
        <w:rPr>
          <w:b/>
          <w:bCs/>
          <w:lang w:val="nl-NL"/>
        </w:rPr>
        <w:t>4. De kwaliteitszorglaag: AQ Austria</w:t>
      </w:r>
    </w:p>
    <w:p w14:paraId="75533CC9" w14:textId="77777777" w:rsidR="00EF4204" w:rsidRPr="00EF4204" w:rsidRDefault="00EF4204" w:rsidP="00EF4204">
      <w:pPr>
        <w:rPr>
          <w:lang w:val="nl-NL"/>
        </w:rPr>
      </w:pPr>
      <w:r w:rsidRPr="00EF4204">
        <w:rPr>
          <w:lang w:val="nl-NL"/>
        </w:rPr>
        <w:t xml:space="preserve">Een bijzonder Oostenrijks element dat je in Nederland en Denemarken minder scherp zag, is de rol van </w:t>
      </w:r>
      <w:r w:rsidRPr="00EF4204">
        <w:rPr>
          <w:b/>
          <w:bCs/>
          <w:lang w:val="nl-NL"/>
        </w:rPr>
        <w:t>AQ Austria</w:t>
      </w:r>
      <w:r w:rsidRPr="00EF4204">
        <w:rPr>
          <w:lang w:val="nl-NL"/>
        </w:rPr>
        <w:t>. AQ Austria is de nationale kwaliteitszorg- en accreditatie-</w:t>
      </w:r>
      <w:r w:rsidRPr="00EF4204">
        <w:rPr>
          <w:lang w:val="nl-NL"/>
        </w:rPr>
        <w:lastRenderedPageBreak/>
        <w:t xml:space="preserve">instantie voor delen van het Oostenrijkse hogeronderwijs en positioneert </w:t>
      </w:r>
      <w:r w:rsidRPr="00EF4204">
        <w:rPr>
          <w:b/>
          <w:bCs/>
          <w:lang w:val="nl-NL"/>
        </w:rPr>
        <w:t>wetenschappelijke en artistieke integriteit</w:t>
      </w:r>
      <w:r w:rsidRPr="00EF4204">
        <w:rPr>
          <w:lang w:val="nl-NL"/>
        </w:rPr>
        <w:t xml:space="preserve"> inmiddels expliciet als een belangrijk kwaliteitsthema. Officiële AQ-bronnen en recente jaarstukken maken duidelijk dat de wetswijzigingen van </w:t>
      </w:r>
      <w:r w:rsidRPr="00EF4204">
        <w:rPr>
          <w:b/>
          <w:bCs/>
          <w:lang w:val="nl-NL"/>
        </w:rPr>
        <w:t>2024</w:t>
      </w:r>
      <w:r w:rsidRPr="00EF4204">
        <w:rPr>
          <w:lang w:val="nl-NL"/>
        </w:rPr>
        <w:t xml:space="preserve"> de betekenis van integriteit in de kwaliteitszorg hebben versterkt en dat AQ Austria dit ook zelf als kernthema benoemt. Dat betekent dat je in Oostenrijk naast wet, code en commissies ook een aparte map voor </w:t>
      </w:r>
      <w:r w:rsidRPr="00EF4204">
        <w:rPr>
          <w:b/>
          <w:bCs/>
          <w:lang w:val="nl-NL"/>
        </w:rPr>
        <w:t>quality assurance / accreditation as integrity infrastructure</w:t>
      </w:r>
      <w:r w:rsidRPr="00EF4204">
        <w:rPr>
          <w:lang w:val="nl-NL"/>
        </w:rPr>
        <w:t xml:space="preserve"> moet opnemen. (</w:t>
      </w:r>
      <w:hyperlink r:id="rId23" w:tooltip="https://www.aq.ac.at/" w:history="1">
        <w:r w:rsidRPr="00EF4204">
          <w:rPr>
            <w:rStyle w:val="Hyperlink"/>
            <w:lang w:val="nl-NL"/>
          </w:rPr>
          <w:t>aq.ac.at</w:t>
        </w:r>
      </w:hyperlink>
      <w:r w:rsidRPr="00EF4204">
        <w:rPr>
          <w:lang w:val="nl-NL"/>
        </w:rPr>
        <w:t>)</w:t>
      </w:r>
    </w:p>
    <w:p w14:paraId="154FE049" w14:textId="77777777" w:rsidR="00EF4204" w:rsidRPr="00EF4204" w:rsidRDefault="00EF4204" w:rsidP="00EF4204">
      <w:pPr>
        <w:rPr>
          <w:lang w:val="nl-NL"/>
        </w:rPr>
      </w:pPr>
      <w:r w:rsidRPr="00EF4204">
        <w:rPr>
          <w:lang w:val="nl-NL"/>
        </w:rPr>
        <w:t xml:space="preserve">Methodologisch is dit belangrijk, omdat Oostenrijk integriteit kennelijk niet alleen via klachten en commissies organiseert, maar ook via </w:t>
      </w:r>
      <w:r w:rsidRPr="00EF4204">
        <w:rPr>
          <w:b/>
          <w:bCs/>
          <w:lang w:val="nl-NL"/>
        </w:rPr>
        <w:t>kwaliteitsborging en accreditatie</w:t>
      </w:r>
      <w:r w:rsidRPr="00EF4204">
        <w:rPr>
          <w:lang w:val="nl-NL"/>
        </w:rPr>
        <w:t xml:space="preserve">. Juist voor vergelijking met andere landen is dat interessant: het suggereert dat integriteit hier deels ook als </w:t>
      </w:r>
      <w:r w:rsidRPr="00EF4204">
        <w:rPr>
          <w:b/>
          <w:bCs/>
          <w:lang w:val="nl-NL"/>
        </w:rPr>
        <w:t>audit- en systeemkwaliteit</w:t>
      </w:r>
      <w:r w:rsidRPr="00EF4204">
        <w:rPr>
          <w:lang w:val="nl-NL"/>
        </w:rPr>
        <w:t xml:space="preserve"> wordt gelezen, niet alleen als casusafhandeling. (</w:t>
      </w:r>
      <w:hyperlink r:id="rId24" w:tooltip="https://www.aq.ac.at/de/ueber-uns/" w:history="1">
        <w:r w:rsidRPr="00EF4204">
          <w:rPr>
            <w:rStyle w:val="Hyperlink"/>
            <w:lang w:val="nl-NL"/>
          </w:rPr>
          <w:t>aq.ac.at</w:t>
        </w:r>
      </w:hyperlink>
      <w:r w:rsidRPr="00EF4204">
        <w:rPr>
          <w:lang w:val="nl-NL"/>
        </w:rPr>
        <w:t>)</w:t>
      </w:r>
    </w:p>
    <w:p w14:paraId="345C0E56" w14:textId="77777777" w:rsidR="00EF4204" w:rsidRPr="00EF4204" w:rsidRDefault="00EF4204" w:rsidP="00EF4204">
      <w:pPr>
        <w:rPr>
          <w:b/>
          <w:bCs/>
          <w:lang w:val="nl-NL"/>
        </w:rPr>
      </w:pPr>
      <w:r w:rsidRPr="00EF4204">
        <w:rPr>
          <w:b/>
          <w:bCs/>
          <w:lang w:val="nl-NL"/>
        </w:rPr>
        <w:t>5. De fondsenlaag: FWF, FFG en anderen</w:t>
      </w:r>
    </w:p>
    <w:p w14:paraId="4A9ECD76" w14:textId="77777777" w:rsidR="00EF4204" w:rsidRPr="00EF4204" w:rsidRDefault="00EF4204" w:rsidP="00EF4204">
      <w:pPr>
        <w:rPr>
          <w:lang w:val="nl-NL"/>
        </w:rPr>
      </w:pPr>
      <w:r w:rsidRPr="00EF4204">
        <w:rPr>
          <w:lang w:val="nl-NL"/>
        </w:rPr>
        <w:t xml:space="preserve">De sterkste financieringsactor in jouw Oostenrijkse kaart is duidelijk </w:t>
      </w:r>
      <w:r w:rsidRPr="00EF4204">
        <w:rPr>
          <w:b/>
          <w:bCs/>
          <w:lang w:val="nl-NL"/>
        </w:rPr>
        <w:t>FWF</w:t>
      </w:r>
      <w:r w:rsidRPr="00EF4204">
        <w:rPr>
          <w:lang w:val="nl-NL"/>
        </w:rPr>
        <w:t xml:space="preserve">. Officiële FWF-pagina’s maken expliciet dat aanvragers en projectleiders bij aanvraag én uitvoering de </w:t>
      </w:r>
      <w:r w:rsidRPr="00EF4204">
        <w:rPr>
          <w:b/>
          <w:bCs/>
          <w:lang w:val="nl-NL"/>
        </w:rPr>
        <w:t>ÖAWI-richtlijnen</w:t>
      </w:r>
      <w:r w:rsidRPr="00EF4204">
        <w:rPr>
          <w:lang w:val="nl-NL"/>
        </w:rPr>
        <w:t xml:space="preserve"> moeten naleven. FWF heeft daarnaast een eigen formele </w:t>
      </w:r>
      <w:r w:rsidRPr="00EF4204">
        <w:rPr>
          <w:b/>
          <w:bCs/>
          <w:lang w:val="nl-NL"/>
        </w:rPr>
        <w:t>procedure</w:t>
      </w:r>
      <w:r w:rsidRPr="00EF4204">
        <w:rPr>
          <w:lang w:val="nl-NL"/>
        </w:rPr>
        <w:t xml:space="preserve"> voor vermoedens van wetenschappelijk wangedrag, werkt daarbij nauw samen met de ÖAWI en publiceert de uitkomsten in geanonimiseerde vorm in zijn jaarverslag. Daarmee is FWF niet alleen een geldschieter, maar een echte </w:t>
      </w:r>
      <w:r w:rsidRPr="00EF4204">
        <w:rPr>
          <w:b/>
          <w:bCs/>
          <w:lang w:val="nl-NL"/>
        </w:rPr>
        <w:t>integriteitsactor met eigen procedurele bevoegdheid</w:t>
      </w:r>
      <w:r w:rsidRPr="00EF4204">
        <w:rPr>
          <w:lang w:val="nl-NL"/>
        </w:rPr>
        <w:t>. (</w:t>
      </w:r>
      <w:hyperlink r:id="rId25" w:tooltip="https://www.fwf.ac.at/en/funding/steps-to-your-fwf-project/further-information/integrity-and-ethics" w:history="1">
        <w:r w:rsidRPr="00EF4204">
          <w:rPr>
            <w:rStyle w:val="Hyperlink"/>
            <w:lang w:val="nl-NL"/>
          </w:rPr>
          <w:t>Österreichischer Wissenschaftsfonds FWF</w:t>
        </w:r>
      </w:hyperlink>
      <w:r w:rsidRPr="00EF4204">
        <w:rPr>
          <w:lang w:val="nl-NL"/>
        </w:rPr>
        <w:t>)</w:t>
      </w:r>
    </w:p>
    <w:p w14:paraId="493D0800" w14:textId="77777777" w:rsidR="00EF4204" w:rsidRPr="00EF4204" w:rsidRDefault="00EF4204" w:rsidP="00EF4204">
      <w:pPr>
        <w:rPr>
          <w:lang w:val="nl-NL"/>
        </w:rPr>
      </w:pPr>
      <w:r w:rsidRPr="00EF4204">
        <w:rPr>
          <w:lang w:val="nl-NL"/>
        </w:rPr>
        <w:t xml:space="preserve">Die FWF-procedure is voor jouw project bijzonder nuttig, omdat zij precies laat zien hoe de Oostenrijkse systeemlagen elkaar raken. Meldingen lopen via een whistleblower-systeem; als een zaak serieus is, verwacht FWF normaal gesproken dat de betrokken onderzoeksinstelling zelf onderzoekt en FWF informeert; bovendien moeten onderzoeksinstellingen </w:t>
      </w:r>
      <w:r w:rsidRPr="00EF4204">
        <w:rPr>
          <w:b/>
          <w:bCs/>
          <w:lang w:val="nl-NL"/>
        </w:rPr>
        <w:t>vermoede overtredingen melden aan de ÖAWI</w:t>
      </w:r>
      <w:r w:rsidRPr="00EF4204">
        <w:rPr>
          <w:lang w:val="nl-NL"/>
        </w:rPr>
        <w:t xml:space="preserve">. Als een instelling geen adequate procedure heeft of de zaak niet tijdig kan afhandelen, kan FWF zelf de zaak verder oppakken en naar de ÖAWI sturen. Na onderzoek door instelling of ÖAWI beslist het FWF-bestuur over maatregelen zoals waarschuwingen, tijdelijke aanvraagverboden, langdurige uitsluiting, projectbeëindiging of terugvordering. Dit ene document bewijst dus heel mooi </w:t>
      </w:r>
      <w:r w:rsidRPr="00EF4204">
        <w:rPr>
          <w:b/>
          <w:bCs/>
          <w:lang w:val="nl-NL"/>
        </w:rPr>
        <w:t>wie onderzoekt, wie doorverwijst en wie uiteindelijk financiëel sanctioneert</w:t>
      </w:r>
      <w:r w:rsidRPr="00EF4204">
        <w:rPr>
          <w:lang w:val="nl-NL"/>
        </w:rPr>
        <w:t>. (</w:t>
      </w:r>
      <w:hyperlink r:id="rId26" w:tooltip="https://www.fwf.ac.at/fileadmin/Website/Dokumente/Foerdern/6_Schritte/Weitere_Informationen/fwf_procedure_research_misconduct_en.pdf" w:history="1">
        <w:r w:rsidRPr="00EF4204">
          <w:rPr>
            <w:rStyle w:val="Hyperlink"/>
            <w:lang w:val="nl-NL"/>
          </w:rPr>
          <w:t>Österreichischer Wissenschaftsfonds FWF</w:t>
        </w:r>
      </w:hyperlink>
      <w:r w:rsidRPr="00EF4204">
        <w:rPr>
          <w:lang w:val="nl-NL"/>
        </w:rPr>
        <w:t>)</w:t>
      </w:r>
    </w:p>
    <w:p w14:paraId="4568C390" w14:textId="77777777" w:rsidR="00EF4204" w:rsidRPr="00EF4204" w:rsidRDefault="00EF4204" w:rsidP="00EF4204">
      <w:pPr>
        <w:rPr>
          <w:lang w:val="nl-NL"/>
        </w:rPr>
      </w:pPr>
      <w:r w:rsidRPr="00EF4204">
        <w:rPr>
          <w:b/>
          <w:bCs/>
          <w:lang w:val="nl-NL"/>
        </w:rPr>
        <w:t>FFG</w:t>
      </w:r>
      <w:r w:rsidRPr="00EF4204">
        <w:rPr>
          <w:lang w:val="nl-NL"/>
        </w:rPr>
        <w:t xml:space="preserve"> hoort ook in deze laag thuis. Officiële FFG-pagina’s maken duidelijk dat ethische kwesties en wetenschappelijke integriteit fundamentele onderdelen zijn van Europese programma’s zoals Horizon Europe, en recente programmarichtlijnen zeggen expliciet dat FFG lid is van de ÖAWI en alleen subsidie verstrekt aan aanvragers die hoge wetenschappelijke integriteit laten zien tijdens aanvraag en uitvoering. Daarmee zie je </w:t>
      </w:r>
      <w:r w:rsidRPr="00EF4204">
        <w:rPr>
          <w:lang w:val="nl-NL"/>
        </w:rPr>
        <w:lastRenderedPageBreak/>
        <w:t>dat ook de toegepaste innovatie- en programmalaag in Oostenrijk duidelijk aan het integriteitskader is gekoppeld. (</w:t>
      </w:r>
      <w:hyperlink r:id="rId27" w:tooltip="https://www.ffg.at/europa/ethik" w:history="1">
        <w:r w:rsidRPr="00EF4204">
          <w:rPr>
            <w:rStyle w:val="Hyperlink"/>
            <w:lang w:val="nl-NL"/>
          </w:rPr>
          <w:t>FFG</w:t>
        </w:r>
      </w:hyperlink>
      <w:r w:rsidRPr="00EF4204">
        <w:rPr>
          <w:lang w:val="nl-NL"/>
        </w:rPr>
        <w:t>)</w:t>
      </w:r>
    </w:p>
    <w:p w14:paraId="5F2343CD" w14:textId="77777777" w:rsidR="00EF4204" w:rsidRPr="00EF4204" w:rsidRDefault="00EF4204" w:rsidP="00EF4204">
      <w:pPr>
        <w:rPr>
          <w:lang w:val="nl-NL"/>
        </w:rPr>
      </w:pPr>
      <w:r w:rsidRPr="00EF4204">
        <w:rPr>
          <w:lang w:val="nl-NL"/>
        </w:rPr>
        <w:t xml:space="preserve">Ook de bredere Oostenrijkse financierings- en onderzoekswereld loopt via deze infrastructuur. Op de ÖAWI-ledenlijst staan onder de financiers in elk geval </w:t>
      </w:r>
      <w:r w:rsidRPr="00EF4204">
        <w:rPr>
          <w:b/>
          <w:bCs/>
          <w:lang w:val="nl-NL"/>
        </w:rPr>
        <w:t>FWF, FFG, CDG en WWTF</w:t>
      </w:r>
      <w:r w:rsidRPr="00EF4204">
        <w:rPr>
          <w:lang w:val="nl-NL"/>
        </w:rPr>
        <w:t xml:space="preserve">, terwijl het </w:t>
      </w:r>
      <w:r w:rsidRPr="00EF4204">
        <w:rPr>
          <w:b/>
          <w:bCs/>
          <w:lang w:val="nl-NL"/>
        </w:rPr>
        <w:t>BMFWF</w:t>
      </w:r>
      <w:r w:rsidRPr="00EF4204">
        <w:rPr>
          <w:lang w:val="nl-NL"/>
        </w:rPr>
        <w:t xml:space="preserve"> zelf als buitengewoon lid verschijnt. Dat is voor jouw netwerkkaart belangrijk, omdat het laat zien dat de nationale integriteitsinfrastructuur in Oostenrijk niet buiten de financieringswereld staat, maar er </w:t>
      </w:r>
      <w:r w:rsidRPr="00EF4204">
        <w:rPr>
          <w:b/>
          <w:bCs/>
          <w:lang w:val="nl-NL"/>
        </w:rPr>
        <w:t>institutioneel mee verweven</w:t>
      </w:r>
      <w:r w:rsidRPr="00EF4204">
        <w:rPr>
          <w:lang w:val="nl-NL"/>
        </w:rPr>
        <w:t xml:space="preserve"> is. (</w:t>
      </w:r>
      <w:hyperlink r:id="rId28" w:tooltip="https://oeawi.at/mitglieder/" w:history="1">
        <w:r w:rsidRPr="00EF4204">
          <w:rPr>
            <w:rStyle w:val="Hyperlink"/>
            <w:lang w:val="nl-NL"/>
          </w:rPr>
          <w:t>ÖAWI</w:t>
        </w:r>
      </w:hyperlink>
      <w:r w:rsidRPr="00EF4204">
        <w:rPr>
          <w:lang w:val="nl-NL"/>
        </w:rPr>
        <w:t>)</w:t>
      </w:r>
    </w:p>
    <w:p w14:paraId="66ECFD2A" w14:textId="77777777" w:rsidR="00EF4204" w:rsidRPr="00EF4204" w:rsidRDefault="00EF4204" w:rsidP="00EF4204">
      <w:pPr>
        <w:rPr>
          <w:b/>
          <w:bCs/>
          <w:lang w:val="nl-NL"/>
        </w:rPr>
      </w:pPr>
      <w:r w:rsidRPr="00EF4204">
        <w:rPr>
          <w:b/>
          <w:bCs/>
          <w:lang w:val="nl-NL"/>
        </w:rPr>
        <w:t>6. Hoe instellingen dit lokaal uitvoeren</w:t>
      </w:r>
    </w:p>
    <w:p w14:paraId="2CB93177" w14:textId="77777777" w:rsidR="00EF4204" w:rsidRPr="00EF4204" w:rsidRDefault="00EF4204" w:rsidP="00EF4204">
      <w:pPr>
        <w:rPr>
          <w:lang w:val="nl-NL"/>
        </w:rPr>
      </w:pPr>
      <w:r w:rsidRPr="00EF4204">
        <w:rPr>
          <w:lang w:val="nl-NL"/>
        </w:rPr>
        <w:t xml:space="preserve">Op instellingsniveau lijkt Oostenrijk een rijk palet aan lokale implementaties te hebben. Bij de </w:t>
      </w:r>
      <w:r w:rsidRPr="00EF4204">
        <w:rPr>
          <w:b/>
          <w:bCs/>
          <w:lang w:val="nl-NL"/>
        </w:rPr>
        <w:t>Universität Wien</w:t>
      </w:r>
      <w:r w:rsidRPr="00EF4204">
        <w:rPr>
          <w:lang w:val="nl-NL"/>
        </w:rPr>
        <w:t xml:space="preserve"> staat een </w:t>
      </w:r>
      <w:r w:rsidRPr="00EF4204">
        <w:rPr>
          <w:b/>
          <w:bCs/>
          <w:lang w:val="nl-NL"/>
        </w:rPr>
        <w:t>Ombudsstelle</w:t>
      </w:r>
      <w:r w:rsidRPr="00EF4204">
        <w:rPr>
          <w:lang w:val="nl-NL"/>
        </w:rPr>
        <w:t xml:space="preserve"> centraal: die doet eerste navraag, waarna een </w:t>
      </w:r>
      <w:r w:rsidRPr="00EF4204">
        <w:rPr>
          <w:b/>
          <w:bCs/>
          <w:lang w:val="nl-NL"/>
        </w:rPr>
        <w:t>Ständige Kommission</w:t>
      </w:r>
      <w:r w:rsidRPr="00EF4204">
        <w:rPr>
          <w:lang w:val="nl-NL"/>
        </w:rPr>
        <w:t xml:space="preserve"> verder onderzoekt als een vermoeden niet kan worden weggenomen; plagiaatverdenkingen bij scripties en dissertaties lopen via de </w:t>
      </w:r>
      <w:r w:rsidRPr="00EF4204">
        <w:rPr>
          <w:b/>
          <w:bCs/>
          <w:lang w:val="nl-NL"/>
        </w:rPr>
        <w:t>Studienpräses</w:t>
      </w:r>
      <w:r w:rsidRPr="00EF4204">
        <w:rPr>
          <w:lang w:val="nl-NL"/>
        </w:rPr>
        <w:t xml:space="preserve">, en de lokale pagina verwijst tegelijk naar het eigen rectoraatsdocument, de ÖAWI-richtlijnen, de Europese gedragscode, de Singapore Statement en de Montreal Statement. Dit is exact het soort institutionele bron waaruit je kunt afleiden </w:t>
      </w:r>
      <w:r w:rsidRPr="00EF4204">
        <w:rPr>
          <w:b/>
          <w:bCs/>
          <w:lang w:val="nl-NL"/>
        </w:rPr>
        <w:t>welke normlagen een instelling samen gebruikt</w:t>
      </w:r>
      <w:r w:rsidRPr="00EF4204">
        <w:rPr>
          <w:lang w:val="nl-NL"/>
        </w:rPr>
        <w:t>. (</w:t>
      </w:r>
      <w:hyperlink r:id="rId29" w:tooltip="https://www.qs.univie.ac.at/services/ombudsstelle-gute-wissenschaftliche-praxis/" w:history="1">
        <w:r w:rsidRPr="00EF4204">
          <w:rPr>
            <w:rStyle w:val="Hyperlink"/>
            <w:lang w:val="nl-NL"/>
          </w:rPr>
          <w:t>qs.univie.ac.at</w:t>
        </w:r>
      </w:hyperlink>
      <w:r w:rsidRPr="00EF4204">
        <w:rPr>
          <w:lang w:val="nl-NL"/>
        </w:rPr>
        <w:t>)</w:t>
      </w:r>
    </w:p>
    <w:p w14:paraId="57AB69B6" w14:textId="77777777" w:rsidR="00EF4204" w:rsidRPr="00EF4204" w:rsidRDefault="00EF4204" w:rsidP="00EF4204">
      <w:pPr>
        <w:rPr>
          <w:lang w:val="nl-NL"/>
        </w:rPr>
      </w:pPr>
      <w:r w:rsidRPr="00EF4204">
        <w:rPr>
          <w:lang w:val="nl-NL"/>
        </w:rPr>
        <w:t xml:space="preserve">Bij </w:t>
      </w:r>
      <w:r w:rsidRPr="00EF4204">
        <w:rPr>
          <w:b/>
          <w:bCs/>
          <w:lang w:val="nl-NL"/>
        </w:rPr>
        <w:t>TU Wien</w:t>
      </w:r>
      <w:r w:rsidRPr="00EF4204">
        <w:rPr>
          <w:lang w:val="nl-NL"/>
        </w:rPr>
        <w:t xml:space="preserve"> zie je weer een ander model. Daar is er een expliciete functie/eenheid rond </w:t>
      </w:r>
      <w:r w:rsidRPr="00EF4204">
        <w:rPr>
          <w:b/>
          <w:bCs/>
          <w:lang w:val="nl-NL"/>
        </w:rPr>
        <w:t>Responsible Research Practices</w:t>
      </w:r>
      <w:r w:rsidRPr="00EF4204">
        <w:rPr>
          <w:lang w:val="nl-NL"/>
        </w:rPr>
        <w:t xml:space="preserve"> die onderzoekers en docenten ondersteunt op het gebied van onderzoeksethiek en wetenschappelijke integriteit, en die ook strategisch adviseert aan rectoraat, faculteiten en instituten. TU Wien publiceert bovendien een eigen bibliotheek van beleidsdocumenten, waaronder een </w:t>
      </w:r>
      <w:r w:rsidRPr="00EF4204">
        <w:rPr>
          <w:b/>
          <w:bCs/>
          <w:lang w:val="nl-NL"/>
        </w:rPr>
        <w:t>Code of Conduct</w:t>
      </w:r>
      <w:r w:rsidRPr="00EF4204">
        <w:rPr>
          <w:lang w:val="nl-NL"/>
        </w:rPr>
        <w:t xml:space="preserve">, open-access- en research-data-managementbeleid, publicatierichtlijnen en plagiaatdocumenten. In conflictsituaties kan de zaak vanuit de universiteit naar de </w:t>
      </w:r>
      <w:r w:rsidRPr="00EF4204">
        <w:rPr>
          <w:b/>
          <w:bCs/>
          <w:lang w:val="nl-NL"/>
        </w:rPr>
        <w:t>ÖAWI</w:t>
      </w:r>
      <w:r w:rsidRPr="00EF4204">
        <w:rPr>
          <w:lang w:val="nl-NL"/>
        </w:rPr>
        <w:t xml:space="preserve"> worden doorgezet. Voor jouw Oostenrijkse kaart is dit een mooi voorbeeld van een instelling met een sterke </w:t>
      </w:r>
      <w:r w:rsidRPr="00EF4204">
        <w:rPr>
          <w:b/>
          <w:bCs/>
          <w:lang w:val="nl-NL"/>
        </w:rPr>
        <w:t>policy stack</w:t>
      </w:r>
      <w:r w:rsidRPr="00EF4204">
        <w:rPr>
          <w:lang w:val="nl-NL"/>
        </w:rPr>
        <w:t>. (</w:t>
      </w:r>
      <w:hyperlink r:id="rId30" w:tooltip="https://www.tuwien.at/forschung/fti-support/responsible-research-practices" w:history="1">
        <w:r w:rsidRPr="00EF4204">
          <w:rPr>
            <w:rStyle w:val="Hyperlink"/>
            <w:lang w:val="nl-NL"/>
          </w:rPr>
          <w:t>TU Wien</w:t>
        </w:r>
      </w:hyperlink>
      <w:r w:rsidRPr="00EF4204">
        <w:rPr>
          <w:lang w:val="nl-NL"/>
        </w:rPr>
        <w:t>)</w:t>
      </w:r>
    </w:p>
    <w:p w14:paraId="66034FE5" w14:textId="77777777" w:rsidR="00EF4204" w:rsidRPr="00EF4204" w:rsidRDefault="00EF4204" w:rsidP="00EF4204">
      <w:pPr>
        <w:rPr>
          <w:lang w:val="nl-NL"/>
        </w:rPr>
      </w:pPr>
      <w:r w:rsidRPr="00EF4204">
        <w:rPr>
          <w:lang w:val="nl-NL"/>
        </w:rPr>
        <w:t xml:space="preserve">De </w:t>
      </w:r>
      <w:r w:rsidRPr="00EF4204">
        <w:rPr>
          <w:b/>
          <w:bCs/>
          <w:lang w:val="nl-NL"/>
        </w:rPr>
        <w:t>Universität Innsbruck</w:t>
      </w:r>
      <w:r w:rsidRPr="00EF4204">
        <w:rPr>
          <w:lang w:val="nl-NL"/>
        </w:rPr>
        <w:t xml:space="preserve"> is methodologisch misschien nog interessanter, omdat daar een </w:t>
      </w:r>
      <w:r w:rsidRPr="00EF4204">
        <w:rPr>
          <w:b/>
          <w:bCs/>
          <w:lang w:val="nl-NL"/>
        </w:rPr>
        <w:t>Büro für wissenschaftliche Integrität</w:t>
      </w:r>
      <w:r w:rsidRPr="00EF4204">
        <w:rPr>
          <w:lang w:val="nl-NL"/>
        </w:rPr>
        <w:t xml:space="preserve"> zichtbaar is dat zowel vermoedelijke schendingen van goede wetenschappelijke praktijk als </w:t>
      </w:r>
      <w:r w:rsidRPr="00EF4204">
        <w:rPr>
          <w:b/>
          <w:bCs/>
          <w:lang w:val="nl-NL"/>
        </w:rPr>
        <w:t>ethische beoordeling van studies/projecten</w:t>
      </w:r>
      <w:r w:rsidRPr="00EF4204">
        <w:rPr>
          <w:lang w:val="nl-NL"/>
        </w:rPr>
        <w:t xml:space="preserve"> organisatorisch ondersteunt. De takenlijst omvat intake, informatie, casusadministratie, ondersteuning van een adviesorgaan voor ethische vragen, training, certificaten, documentatie, nationale en internationale contacten en kwaliteitsborging van processen. Dit is een sterk voorbeeld van een instelling waar integriteit en ethiek al in de </w:t>
      </w:r>
      <w:r w:rsidRPr="00EF4204">
        <w:rPr>
          <w:b/>
          <w:bCs/>
          <w:lang w:val="nl-NL"/>
        </w:rPr>
        <w:t>administratieve infrastructuur</w:t>
      </w:r>
      <w:r w:rsidRPr="00EF4204">
        <w:rPr>
          <w:lang w:val="nl-NL"/>
        </w:rPr>
        <w:t xml:space="preserve"> samenkomen. (</w:t>
      </w:r>
      <w:hyperlink r:id="rId31" w:tooltip="https://www.uibk.ac.at/de/forschung/qualitaetssicherung/buero-wissenschaftliche-integritaet/" w:history="1">
        <w:r w:rsidRPr="00EF4204">
          <w:rPr>
            <w:rStyle w:val="Hyperlink"/>
            <w:lang w:val="nl-NL"/>
          </w:rPr>
          <w:t>Universität Innsbruck</w:t>
        </w:r>
      </w:hyperlink>
      <w:r w:rsidRPr="00EF4204">
        <w:rPr>
          <w:lang w:val="nl-NL"/>
        </w:rPr>
        <w:t>)</w:t>
      </w:r>
    </w:p>
    <w:p w14:paraId="281CE9CC" w14:textId="77777777" w:rsidR="00EF4204" w:rsidRPr="00EF4204" w:rsidRDefault="00EF4204" w:rsidP="00EF4204">
      <w:pPr>
        <w:rPr>
          <w:lang w:val="nl-NL"/>
        </w:rPr>
      </w:pPr>
      <w:r w:rsidRPr="00EF4204">
        <w:rPr>
          <w:lang w:val="nl-NL"/>
        </w:rPr>
        <w:t xml:space="preserve">Bij </w:t>
      </w:r>
      <w:r w:rsidRPr="00EF4204">
        <w:rPr>
          <w:b/>
          <w:bCs/>
          <w:lang w:val="nl-NL"/>
        </w:rPr>
        <w:t>Medizinische Universität Graz</w:t>
      </w:r>
      <w:r w:rsidRPr="00EF4204">
        <w:rPr>
          <w:lang w:val="nl-NL"/>
        </w:rPr>
        <w:t xml:space="preserve"> zie je opnieuw een andere lokale architectuur. De universiteit noemt wetenschappelijke integriteit expliciet de basis voor excellente research; lokale normen voor goede wetenschappelijke praktijk zijn bindend voor onderzoekers, studenten, habilitatiekandidaten, gastonderzoekers en begeleiders; en </w:t>
      </w:r>
      <w:r w:rsidRPr="00EF4204">
        <w:rPr>
          <w:lang w:val="nl-NL"/>
        </w:rPr>
        <w:lastRenderedPageBreak/>
        <w:t xml:space="preserve">een </w:t>
      </w:r>
      <w:r w:rsidRPr="00EF4204">
        <w:rPr>
          <w:b/>
          <w:bCs/>
          <w:lang w:val="nl-NL"/>
        </w:rPr>
        <w:t>Ombudsstelle</w:t>
      </w:r>
      <w:r w:rsidRPr="00EF4204">
        <w:rPr>
          <w:lang w:val="nl-NL"/>
        </w:rPr>
        <w:t xml:space="preserve"> fungeert als aanspreekpunt. De universiteitsstatuten maken bovendien duidelijk dat de Ombudsstelle een rol heeft in het opstellen en actualiseren van de lokale richtlijn, die door het rectoraat wordt vastgesteld en bindend is voor alle leden. Hier heb je dus een mooi voorbeeld van een instelling waar integriteit zowel </w:t>
      </w:r>
      <w:r w:rsidRPr="00EF4204">
        <w:rPr>
          <w:b/>
          <w:bCs/>
          <w:lang w:val="nl-NL"/>
        </w:rPr>
        <w:t>organisatorisch</w:t>
      </w:r>
      <w:r w:rsidRPr="00EF4204">
        <w:rPr>
          <w:lang w:val="nl-NL"/>
        </w:rPr>
        <w:t xml:space="preserve"> als </w:t>
      </w:r>
      <w:r w:rsidRPr="00EF4204">
        <w:rPr>
          <w:b/>
          <w:bCs/>
          <w:lang w:val="nl-NL"/>
        </w:rPr>
        <w:t>statutair</w:t>
      </w:r>
      <w:r w:rsidRPr="00EF4204">
        <w:rPr>
          <w:lang w:val="nl-NL"/>
        </w:rPr>
        <w:t xml:space="preserve"> is ingebed. (</w:t>
      </w:r>
      <w:hyperlink r:id="rId32" w:tooltip="https://www.medunigraz.at/good-scientific-practice" w:history="1">
        <w:r w:rsidRPr="00EF4204">
          <w:rPr>
            <w:rStyle w:val="Hyperlink"/>
            <w:lang w:val="nl-NL"/>
          </w:rPr>
          <w:t>Medizinische Universität Graz</w:t>
        </w:r>
      </w:hyperlink>
      <w:r w:rsidRPr="00EF4204">
        <w:rPr>
          <w:lang w:val="nl-NL"/>
        </w:rPr>
        <w:t>)</w:t>
      </w:r>
    </w:p>
    <w:p w14:paraId="7841F645" w14:textId="77777777" w:rsidR="00EF4204" w:rsidRPr="00EF4204" w:rsidRDefault="00EF4204" w:rsidP="00EF4204">
      <w:pPr>
        <w:rPr>
          <w:lang w:val="nl-NL"/>
        </w:rPr>
      </w:pPr>
      <w:r w:rsidRPr="00EF4204">
        <w:rPr>
          <w:lang w:val="nl-NL"/>
        </w:rPr>
        <w:t xml:space="preserve">Een belangrijk signaal voor jouw “hele spectrum” is dat Oostenrijk niet bij klassieke universiteiten ophoudt. </w:t>
      </w:r>
      <w:r w:rsidRPr="00EF4204">
        <w:rPr>
          <w:b/>
          <w:bCs/>
          <w:lang w:val="nl-NL"/>
        </w:rPr>
        <w:t>FH Campus Wien</w:t>
      </w:r>
      <w:r w:rsidRPr="00EF4204">
        <w:rPr>
          <w:lang w:val="nl-NL"/>
        </w:rPr>
        <w:t xml:space="preserve"> heeft een eigen </w:t>
      </w:r>
      <w:r w:rsidRPr="00EF4204">
        <w:rPr>
          <w:b/>
          <w:bCs/>
          <w:lang w:val="nl-NL"/>
        </w:rPr>
        <w:t>ethics commission for research activities</w:t>
      </w:r>
      <w:r w:rsidRPr="00EF4204">
        <w:rPr>
          <w:lang w:val="nl-NL"/>
        </w:rPr>
        <w:t xml:space="preserve"> die adviseert over onderzoeksethiek, juridische kwesties en data protection, en zich expliciet oriënteert op de Helsinki-principes, de ÖAWI-richtlijn en kernprincipes van sociale-wetenschaps-ethiek. Dit laat zien dat de Fachhochschul-laag eigen integriteits- en ethiekdocumenten produceert en dus niet alleen indirect via universiteiten moet worden meegenomen. (</w:t>
      </w:r>
      <w:hyperlink r:id="rId33" w:tooltip="https://www.hcw.ac.at/forschung/ethikkommission-fuer-forschungsaktivitaeten" w:history="1">
        <w:r w:rsidRPr="00EF4204">
          <w:rPr>
            <w:rStyle w:val="Hyperlink"/>
            <w:lang w:val="nl-NL"/>
          </w:rPr>
          <w:t>Hochschule Campus Wien</w:t>
        </w:r>
      </w:hyperlink>
      <w:r w:rsidRPr="00EF4204">
        <w:rPr>
          <w:lang w:val="nl-NL"/>
        </w:rPr>
        <w:t>)</w:t>
      </w:r>
    </w:p>
    <w:p w14:paraId="1591B9FE" w14:textId="77777777" w:rsidR="00EF4204" w:rsidRPr="00EF4204" w:rsidRDefault="00EF4204" w:rsidP="00EF4204">
      <w:pPr>
        <w:rPr>
          <w:lang w:val="nl-NL"/>
        </w:rPr>
      </w:pPr>
      <w:r w:rsidRPr="00EF4204">
        <w:rPr>
          <w:lang w:val="nl-NL"/>
        </w:rPr>
        <w:t xml:space="preserve">Ook extra-universitaire topinstituten horen in de Oostenrijkse kaart thuis. Het </w:t>
      </w:r>
      <w:r w:rsidRPr="00EF4204">
        <w:rPr>
          <w:b/>
          <w:bCs/>
          <w:lang w:val="nl-NL"/>
        </w:rPr>
        <w:t>ISTA</w:t>
      </w:r>
      <w:r w:rsidRPr="00EF4204">
        <w:rPr>
          <w:lang w:val="nl-NL"/>
        </w:rPr>
        <w:t xml:space="preserve"> stelt expliciet dat alle personen die bij research betrokken zijn de ÖAWI-richtlijnen en de Europese gedragscode moeten volgen, en publiceert daarnaast eigen guidance over het </w:t>
      </w:r>
      <w:r w:rsidRPr="00EF4204">
        <w:rPr>
          <w:b/>
          <w:bCs/>
          <w:lang w:val="nl-NL"/>
        </w:rPr>
        <w:t>verantwoord gebruik van generatieve AI in onderzoek</w:t>
      </w:r>
      <w:r w:rsidRPr="00EF4204">
        <w:rPr>
          <w:lang w:val="nl-NL"/>
        </w:rPr>
        <w:t>. Dat is precies het soort bron waarmee je kunt zien hoe de nationale code en internationale normen lokaal worden vertaald naar nieuwe risico’s. (</w:t>
      </w:r>
      <w:hyperlink r:id="rId34" w:tooltip="https://ista.ac.at/en/research/responsible-research/" w:history="1">
        <w:r w:rsidRPr="00EF4204">
          <w:rPr>
            <w:rStyle w:val="Hyperlink"/>
            <w:lang w:val="nl-NL"/>
          </w:rPr>
          <w:t>ISTA</w:t>
        </w:r>
      </w:hyperlink>
      <w:r w:rsidRPr="00EF4204">
        <w:rPr>
          <w:lang w:val="nl-NL"/>
        </w:rPr>
        <w:t>)</w:t>
      </w:r>
    </w:p>
    <w:p w14:paraId="129901BE" w14:textId="77777777" w:rsidR="00EF4204" w:rsidRPr="00EF4204" w:rsidRDefault="00EF4204" w:rsidP="00EF4204">
      <w:pPr>
        <w:rPr>
          <w:b/>
          <w:bCs/>
          <w:lang w:val="nl-NL"/>
        </w:rPr>
      </w:pPr>
      <w:r w:rsidRPr="00EF4204">
        <w:rPr>
          <w:b/>
          <w:bCs/>
          <w:lang w:val="nl-NL"/>
        </w:rPr>
        <w:t>7. De grenslaag: ethiek, data, open science, AI, dierproeven</w:t>
      </w:r>
    </w:p>
    <w:p w14:paraId="12E49FE8" w14:textId="77777777" w:rsidR="00EF4204" w:rsidRPr="00EF4204" w:rsidRDefault="00EF4204" w:rsidP="00EF4204">
      <w:pPr>
        <w:rPr>
          <w:lang w:val="nl-NL"/>
        </w:rPr>
      </w:pPr>
      <w:r w:rsidRPr="00EF4204">
        <w:rPr>
          <w:lang w:val="nl-NL"/>
        </w:rPr>
        <w:t xml:space="preserve">De Oostenrijkse best-practice-gids maakt duidelijk dat </w:t>
      </w:r>
      <w:r w:rsidRPr="00EF4204">
        <w:rPr>
          <w:b/>
          <w:bCs/>
          <w:lang w:val="nl-NL"/>
        </w:rPr>
        <w:t>onderzoeksintegriteit</w:t>
      </w:r>
      <w:r w:rsidRPr="00EF4204">
        <w:rPr>
          <w:lang w:val="nl-NL"/>
        </w:rPr>
        <w:t xml:space="preserve"> en </w:t>
      </w:r>
      <w:r w:rsidRPr="00EF4204">
        <w:rPr>
          <w:b/>
          <w:bCs/>
          <w:lang w:val="nl-NL"/>
        </w:rPr>
        <w:t>onderzoeksethiek</w:t>
      </w:r>
      <w:r w:rsidRPr="00EF4204">
        <w:rPr>
          <w:lang w:val="nl-NL"/>
        </w:rPr>
        <w:t xml:space="preserve"> in het nationale discours nauw verweven zijn. De gids wijdt afzonderlijke delen aan </w:t>
      </w:r>
      <w:r w:rsidRPr="00EF4204">
        <w:rPr>
          <w:b/>
          <w:bCs/>
          <w:lang w:val="nl-NL"/>
        </w:rPr>
        <w:t>integriteitscommissies</w:t>
      </w:r>
      <w:r w:rsidRPr="00EF4204">
        <w:rPr>
          <w:lang w:val="nl-NL"/>
        </w:rPr>
        <w:t xml:space="preserve">, </w:t>
      </w:r>
      <w:r w:rsidRPr="00EF4204">
        <w:rPr>
          <w:b/>
          <w:bCs/>
          <w:lang w:val="nl-NL"/>
        </w:rPr>
        <w:t>ethiekcommissies</w:t>
      </w:r>
      <w:r w:rsidRPr="00EF4204">
        <w:rPr>
          <w:lang w:val="nl-NL"/>
        </w:rPr>
        <w:t xml:space="preserve">, en aan </w:t>
      </w:r>
      <w:r w:rsidRPr="00EF4204">
        <w:rPr>
          <w:b/>
          <w:bCs/>
          <w:lang w:val="nl-NL"/>
        </w:rPr>
        <w:t>ombuds- en adviesorganen</w:t>
      </w:r>
      <w:r w:rsidRPr="00EF4204">
        <w:rPr>
          <w:lang w:val="nl-NL"/>
        </w:rPr>
        <w:t xml:space="preserve"> die daaraan voorafgaan. Dat betekent dat je voor Oostenrijk niet alleen een misconduct-map nodig hebt, maar ook een expliciete </w:t>
      </w:r>
      <w:r w:rsidRPr="00EF4204">
        <w:rPr>
          <w:b/>
          <w:bCs/>
          <w:lang w:val="nl-NL"/>
        </w:rPr>
        <w:t>ethics- en advisory-map</w:t>
      </w:r>
      <w:r w:rsidRPr="00EF4204">
        <w:rPr>
          <w:lang w:val="nl-NL"/>
        </w:rPr>
        <w:t>. (</w:t>
      </w:r>
      <w:hyperlink r:id="rId35" w:tooltip="https://oeawi.at/wp-content/uploads/2020/12/2020-10-20_Praxisleitfaden-fuer-Integritaet-und-Ethik-in-der-Wissenschaft_engl_.pdf" w:history="1">
        <w:r w:rsidRPr="00EF4204">
          <w:rPr>
            <w:rStyle w:val="Hyperlink"/>
            <w:lang w:val="nl-NL"/>
          </w:rPr>
          <w:t>ÖAWI</w:t>
        </w:r>
      </w:hyperlink>
      <w:r w:rsidRPr="00EF4204">
        <w:rPr>
          <w:lang w:val="nl-NL"/>
        </w:rPr>
        <w:t>)</w:t>
      </w:r>
    </w:p>
    <w:p w14:paraId="67D73E80" w14:textId="77777777" w:rsidR="00EF4204" w:rsidRPr="00EF4204" w:rsidRDefault="00EF4204" w:rsidP="00EF4204">
      <w:pPr>
        <w:rPr>
          <w:lang w:val="nl-NL"/>
        </w:rPr>
      </w:pPr>
      <w:r w:rsidRPr="00EF4204">
        <w:rPr>
          <w:lang w:val="nl-NL"/>
        </w:rPr>
        <w:t xml:space="preserve">Daarnaast is </w:t>
      </w:r>
      <w:r w:rsidRPr="00EF4204">
        <w:rPr>
          <w:b/>
          <w:bCs/>
          <w:lang w:val="nl-NL"/>
        </w:rPr>
        <w:t>open science en data</w:t>
      </w:r>
      <w:r w:rsidRPr="00EF4204">
        <w:rPr>
          <w:lang w:val="nl-NL"/>
        </w:rPr>
        <w:t xml:space="preserve"> een duidelijke randlaag van het systeem. De juridische analyse van het BMFWF rond Open Science koppelt goede wetenschappelijke praktijk expliciet aan </w:t>
      </w:r>
      <w:r w:rsidRPr="00EF4204">
        <w:rPr>
          <w:b/>
          <w:bCs/>
          <w:lang w:val="nl-NL"/>
        </w:rPr>
        <w:t>nauwkeurige documentatie</w:t>
      </w:r>
      <w:r w:rsidRPr="00EF4204">
        <w:rPr>
          <w:lang w:val="nl-NL"/>
        </w:rPr>
        <w:t xml:space="preserve"> en </w:t>
      </w:r>
      <w:r w:rsidRPr="00EF4204">
        <w:rPr>
          <w:b/>
          <w:bCs/>
          <w:lang w:val="nl-NL"/>
        </w:rPr>
        <w:t>bewaring van primaire/originele data</w:t>
      </w:r>
      <w:r w:rsidRPr="00EF4204">
        <w:rPr>
          <w:lang w:val="nl-NL"/>
        </w:rPr>
        <w:t xml:space="preserve">, en bespreekt tegelijk de spanning met juridische, ethische en veiligheidsgrenzen. Dat is voor jouw bronarchitectuur heel relevant: Oostenrijk levert niet alleen codes, maar ook </w:t>
      </w:r>
      <w:r w:rsidRPr="00EF4204">
        <w:rPr>
          <w:b/>
          <w:bCs/>
          <w:lang w:val="nl-NL"/>
        </w:rPr>
        <w:t>juridische interpretatiedocumenten</w:t>
      </w:r>
      <w:r w:rsidRPr="00EF4204">
        <w:rPr>
          <w:lang w:val="nl-NL"/>
        </w:rPr>
        <w:t xml:space="preserve"> die laten zien hoe integriteit in data- en open-science-vraagstukken doorwerkt. (</w:t>
      </w:r>
      <w:hyperlink r:id="rId36" w:tooltip="https://www.bmbwf.gv.at/dam/jcr%3A8e3c899e-60c9-4841-83a2-da20d47a5a5c/Open_Science_Analyse_der_rechtlichen_Rahmenbedingungen_in_%C3%96sterreich_%C5%A0korjanc%2C_Endbericht_%28Okt_2023%29_2023-12-17.pdf" w:history="1">
        <w:r w:rsidRPr="00EF4204">
          <w:rPr>
            <w:rStyle w:val="Hyperlink"/>
            <w:lang w:val="nl-NL"/>
          </w:rPr>
          <w:t>Federal Ministry of Education</w:t>
        </w:r>
      </w:hyperlink>
      <w:r w:rsidRPr="00EF4204">
        <w:rPr>
          <w:lang w:val="nl-NL"/>
        </w:rPr>
        <w:t>)</w:t>
      </w:r>
    </w:p>
    <w:p w14:paraId="4785AFAF" w14:textId="77777777" w:rsidR="00EF4204" w:rsidRPr="00EF4204" w:rsidRDefault="00EF4204" w:rsidP="00EF4204">
      <w:pPr>
        <w:rPr>
          <w:lang w:val="nl-NL"/>
        </w:rPr>
      </w:pPr>
      <w:r w:rsidRPr="00EF4204">
        <w:rPr>
          <w:lang w:val="nl-NL"/>
        </w:rPr>
        <w:t xml:space="preserve">Ook </w:t>
      </w:r>
      <w:r w:rsidRPr="00EF4204">
        <w:rPr>
          <w:b/>
          <w:bCs/>
          <w:lang w:val="nl-NL"/>
        </w:rPr>
        <w:t>AI</w:t>
      </w:r>
      <w:r w:rsidRPr="00EF4204">
        <w:rPr>
          <w:lang w:val="nl-NL"/>
        </w:rPr>
        <w:t xml:space="preserve"> duikt nu zichtbaar op als nieuwe systeemrand. Het BMFWF noemt de omgang met goede wetenschappelijke praktijk onder AI en nieuwe technologieën als governance-onderwerp, en instellingen als ISTA hebben al concrete interne richtlijnen voor generatieve AI. Dit is precies het soort “nieuw documenttype” waar jij eerder op </w:t>
      </w:r>
      <w:r w:rsidRPr="00EF4204">
        <w:rPr>
          <w:lang w:val="nl-NL"/>
        </w:rPr>
        <w:lastRenderedPageBreak/>
        <w:t xml:space="preserve">wees: geen klassieke wet of code, maar wel een </w:t>
      </w:r>
      <w:r w:rsidRPr="00EF4204">
        <w:rPr>
          <w:b/>
          <w:bCs/>
          <w:lang w:val="nl-NL"/>
        </w:rPr>
        <w:t>nieuwe operationele normbron</w:t>
      </w:r>
      <w:r w:rsidRPr="00EF4204">
        <w:rPr>
          <w:lang w:val="nl-NL"/>
        </w:rPr>
        <w:t xml:space="preserve"> die in het integriteitslandschap snel belangrijk wordt. (</w:t>
      </w:r>
      <w:hyperlink r:id="rId37" w:tooltip="https://unibericht.bmbwf.gv.at/2023/83/" w:history="1">
        <w:r w:rsidRPr="00EF4204">
          <w:rPr>
            <w:rStyle w:val="Hyperlink"/>
            <w:lang w:val="nl-NL"/>
          </w:rPr>
          <w:t>unibericht.bmbwf.gv.at</w:t>
        </w:r>
      </w:hyperlink>
      <w:r w:rsidRPr="00EF4204">
        <w:rPr>
          <w:lang w:val="nl-NL"/>
        </w:rPr>
        <w:t>)</w:t>
      </w:r>
    </w:p>
    <w:p w14:paraId="6EB197BA" w14:textId="77777777" w:rsidR="00EF4204" w:rsidRPr="00EF4204" w:rsidRDefault="00EF4204" w:rsidP="00EF4204">
      <w:pPr>
        <w:rPr>
          <w:lang w:val="nl-NL"/>
        </w:rPr>
      </w:pPr>
      <w:r w:rsidRPr="00EF4204">
        <w:rPr>
          <w:lang w:val="nl-NL"/>
        </w:rPr>
        <w:t xml:space="preserve">Voor biomedische en dierexperimentele contexten zie je in deze eerste sweep vooral </w:t>
      </w:r>
      <w:r w:rsidRPr="00EF4204">
        <w:rPr>
          <w:b/>
          <w:bCs/>
          <w:lang w:val="nl-NL"/>
        </w:rPr>
        <w:t>instellingsgebonden ethiek- en dierproeflagen</w:t>
      </w:r>
      <w:r w:rsidRPr="00EF4204">
        <w:rPr>
          <w:lang w:val="nl-NL"/>
        </w:rPr>
        <w:t xml:space="preserve"> terug. Zo verwijst de MedUni-omgeving naar ethische en dierenexperimentele organen, en de nationale Praxisleitfaden positioneert ethiekcommissies duidelijk als onderdeel van het Oostenrijkse integriteits- en ethieklandschap. Ik zou Oostenrijk dus voorlopig modelleren met een aparte grensring van </w:t>
      </w:r>
      <w:r w:rsidRPr="00EF4204">
        <w:rPr>
          <w:b/>
          <w:bCs/>
          <w:lang w:val="nl-NL"/>
        </w:rPr>
        <w:t>ethics review / animal experimentation / data / AI / open science</w:t>
      </w:r>
      <w:r w:rsidRPr="00EF4204">
        <w:rPr>
          <w:lang w:val="nl-NL"/>
        </w:rPr>
        <w:t>, ook als die niet allemaal vanuit één nationale portaalsite zichtbaar zijn. (</w:t>
      </w:r>
      <w:hyperlink r:id="rId38" w:tooltip="https://www.i-med.ac.at/goodscientificpractice/images/statute-section-safeguarding-good-scientific-practice-at-the-medical-uni_en.pdf" w:history="1">
        <w:r w:rsidRPr="00EF4204">
          <w:rPr>
            <w:rStyle w:val="Hyperlink"/>
            <w:lang w:val="nl-NL"/>
          </w:rPr>
          <w:t>i-med.ac.at</w:t>
        </w:r>
      </w:hyperlink>
      <w:r w:rsidRPr="00EF4204">
        <w:rPr>
          <w:lang w:val="nl-NL"/>
        </w:rPr>
        <w:t>)</w:t>
      </w:r>
    </w:p>
    <w:p w14:paraId="2E169B87" w14:textId="77777777" w:rsidR="00EF4204" w:rsidRPr="00EF4204" w:rsidRDefault="00EF4204" w:rsidP="00EF4204">
      <w:pPr>
        <w:rPr>
          <w:b/>
          <w:bCs/>
          <w:lang w:val="nl-NL"/>
        </w:rPr>
      </w:pPr>
      <w:r w:rsidRPr="00EF4204">
        <w:rPr>
          <w:b/>
          <w:bCs/>
          <w:lang w:val="nl-NL"/>
        </w:rPr>
        <w:t>8. Wat voor documentlabels Oostenrijk oplevert</w:t>
      </w:r>
    </w:p>
    <w:p w14:paraId="345965AE" w14:textId="77777777" w:rsidR="00EF4204" w:rsidRPr="00EF4204" w:rsidRDefault="00EF4204" w:rsidP="00EF4204">
      <w:pPr>
        <w:rPr>
          <w:lang w:val="nl-NL"/>
        </w:rPr>
      </w:pPr>
      <w:r w:rsidRPr="00EF4204">
        <w:rPr>
          <w:lang w:val="nl-NL"/>
        </w:rPr>
        <w:t>Voor Oostenrijk zou ik nu deze bronlabels gebruiken.</w:t>
      </w:r>
    </w:p>
    <w:p w14:paraId="649EA3AB" w14:textId="77777777" w:rsidR="00EF4204" w:rsidRPr="00EF4204" w:rsidRDefault="00EF4204" w:rsidP="00EF4204">
      <w:pPr>
        <w:numPr>
          <w:ilvl w:val="0"/>
          <w:numId w:val="1"/>
        </w:numPr>
        <w:rPr>
          <w:lang w:val="nl-NL"/>
        </w:rPr>
      </w:pPr>
      <w:r w:rsidRPr="00EF4204">
        <w:rPr>
          <w:b/>
          <w:bCs/>
          <w:lang w:val="nl-NL"/>
        </w:rPr>
        <w:t>Constitutionele en sectorale rechtsankers</w:t>
      </w:r>
      <w:r w:rsidRPr="00EF4204">
        <w:rPr>
          <w:lang w:val="nl-NL"/>
        </w:rPr>
        <w:t>: artikel 17 StGG, UG, FHG, PrivHG, Hochschulgesetz 2005 en HS-QSG. Deze bewijzen de formele verankering van vrijheid van wetenschap, goede wetenschappelijke praktijk en academische integriteit. (</w:t>
      </w:r>
      <w:hyperlink r:id="rId39" w:tooltip="https://www.ris.bka.gv.at/NormDokument.wxe?Abfrage=Bundesnormen&amp;Anlage=&amp;Artikel=17&amp;Gesetzesnummer=10000006&amp;Paragraf=&amp;ShowPrintPreview=True&amp;Uebergangsrecht=" w:history="1">
        <w:r w:rsidRPr="00EF4204">
          <w:rPr>
            <w:rStyle w:val="Hyperlink"/>
            <w:lang w:val="nl-NL"/>
          </w:rPr>
          <w:t>BKA.gv.at</w:t>
        </w:r>
      </w:hyperlink>
      <w:r w:rsidRPr="00EF4204">
        <w:rPr>
          <w:lang w:val="nl-NL"/>
        </w:rPr>
        <w:t>)</w:t>
      </w:r>
    </w:p>
    <w:p w14:paraId="34F9C0B2" w14:textId="77777777" w:rsidR="00EF4204" w:rsidRPr="00EF4204" w:rsidRDefault="00EF4204" w:rsidP="00EF4204">
      <w:pPr>
        <w:numPr>
          <w:ilvl w:val="0"/>
          <w:numId w:val="1"/>
        </w:numPr>
        <w:rPr>
          <w:lang w:val="nl-NL"/>
        </w:rPr>
      </w:pPr>
      <w:r w:rsidRPr="00EF4204">
        <w:rPr>
          <w:b/>
          <w:bCs/>
          <w:lang w:val="nl-NL"/>
        </w:rPr>
        <w:t>Nationale governance- en onderzoeksdocumenten</w:t>
      </w:r>
      <w:r w:rsidRPr="00EF4204">
        <w:rPr>
          <w:lang w:val="nl-NL"/>
        </w:rPr>
        <w:t>: ÖAWI About, Organs, Investigation, statuten, rules of procedure, commissie-jaarverslagen en activiteitenrapporten. Deze bewijzen wie de nationale infrastructuur draagt, hoe onderzoek naar vermoedens verloopt, en waar verantwoordelijkheden eindigen. (</w:t>
      </w:r>
      <w:hyperlink r:id="rId40" w:tooltip="https://oeawi.at/ueber-die-oeawi/" w:history="1">
        <w:r w:rsidRPr="00EF4204">
          <w:rPr>
            <w:rStyle w:val="Hyperlink"/>
            <w:lang w:val="nl-NL"/>
          </w:rPr>
          <w:t>ÖAWI</w:t>
        </w:r>
      </w:hyperlink>
      <w:r w:rsidRPr="00EF4204">
        <w:rPr>
          <w:lang w:val="nl-NL"/>
        </w:rPr>
        <w:t>)</w:t>
      </w:r>
    </w:p>
    <w:p w14:paraId="6C6243E1" w14:textId="77777777" w:rsidR="00EF4204" w:rsidRPr="00EF4204" w:rsidRDefault="00EF4204" w:rsidP="00EF4204">
      <w:pPr>
        <w:numPr>
          <w:ilvl w:val="0"/>
          <w:numId w:val="1"/>
        </w:numPr>
        <w:rPr>
          <w:lang w:val="nl-NL"/>
        </w:rPr>
      </w:pPr>
      <w:r w:rsidRPr="00EF4204">
        <w:rPr>
          <w:b/>
          <w:bCs/>
          <w:lang w:val="nl-NL"/>
        </w:rPr>
        <w:t>Nationale soft-law en coördinatiedocumenten</w:t>
      </w:r>
      <w:r w:rsidRPr="00EF4204">
        <w:rPr>
          <w:lang w:val="nl-NL"/>
        </w:rPr>
        <w:t>: ÖAWI-richtlijnen en de Hochschulkonferenz/BMFWF Praxisleitfaden. Deze bewijzen hoe Oostenrijk normen vertaalt naar werkbare procedures, commissies, ombudsstructuren en best practices. (</w:t>
      </w:r>
      <w:hyperlink r:id="rId41" w:tooltip="https://oeawi.at/en/guidelines/" w:history="1">
        <w:r w:rsidRPr="00EF4204">
          <w:rPr>
            <w:rStyle w:val="Hyperlink"/>
            <w:lang w:val="nl-NL"/>
          </w:rPr>
          <w:t>ÖAWI</w:t>
        </w:r>
      </w:hyperlink>
      <w:r w:rsidRPr="00EF4204">
        <w:rPr>
          <w:lang w:val="nl-NL"/>
        </w:rPr>
        <w:t>)</w:t>
      </w:r>
    </w:p>
    <w:p w14:paraId="10D2F911" w14:textId="77777777" w:rsidR="00EF4204" w:rsidRPr="00EF4204" w:rsidRDefault="00EF4204" w:rsidP="00EF4204">
      <w:pPr>
        <w:numPr>
          <w:ilvl w:val="0"/>
          <w:numId w:val="1"/>
        </w:numPr>
        <w:rPr>
          <w:lang w:val="nl-NL"/>
        </w:rPr>
      </w:pPr>
      <w:r w:rsidRPr="00EF4204">
        <w:rPr>
          <w:b/>
          <w:bCs/>
          <w:lang w:val="nl-NL"/>
        </w:rPr>
        <w:t>Funder compliance-documenten</w:t>
      </w:r>
      <w:r w:rsidRPr="00EF4204">
        <w:rPr>
          <w:lang w:val="nl-NL"/>
        </w:rPr>
        <w:t>: FWF-integriteitsprocedure, FWF-ethics/integrity-pagina’s, FFG-richtlijnen en vergelijkbare voorwaarden van andere financierders. Deze bewijzen hoe financiering integriteitsnormen afdwingt en welke sancties of meldplichten bestaan. (</w:t>
      </w:r>
      <w:hyperlink r:id="rId42" w:tooltip="https://www.fwf.ac.at/en/about-us/what-we-do/academic-integrity" w:history="1">
        <w:r w:rsidRPr="00EF4204">
          <w:rPr>
            <w:rStyle w:val="Hyperlink"/>
            <w:lang w:val="nl-NL"/>
          </w:rPr>
          <w:t>Österreichischer Wissenschaftsfonds FWF</w:t>
        </w:r>
      </w:hyperlink>
      <w:r w:rsidRPr="00EF4204">
        <w:rPr>
          <w:lang w:val="nl-NL"/>
        </w:rPr>
        <w:t>)</w:t>
      </w:r>
    </w:p>
    <w:p w14:paraId="08A9AB10" w14:textId="77777777" w:rsidR="00EF4204" w:rsidRPr="00EF4204" w:rsidRDefault="00EF4204" w:rsidP="00EF4204">
      <w:pPr>
        <w:numPr>
          <w:ilvl w:val="0"/>
          <w:numId w:val="1"/>
        </w:numPr>
        <w:rPr>
          <w:lang w:val="nl-NL"/>
        </w:rPr>
      </w:pPr>
      <w:r w:rsidRPr="00EF4204">
        <w:rPr>
          <w:b/>
          <w:bCs/>
          <w:lang w:val="nl-NL"/>
        </w:rPr>
        <w:t>Institutionele implementatiedocumenten</w:t>
      </w:r>
      <w:r w:rsidRPr="00EF4204">
        <w:rPr>
          <w:lang w:val="nl-NL"/>
        </w:rPr>
        <w:t>: rectoraatsrichtlijnen, lokale codes, ombudspagina’s, commissiereglementen, ethics-commissiepagina’s, trainingsoverzichten, vice-rector/office pages en data/open-access policies. Deze bewijzen hoe individuele instellingen het nationale kader vertalen. (</w:t>
      </w:r>
      <w:hyperlink r:id="rId43" w:tooltip="https://www.qs.univie.ac.at/services/ombudsstelle-gute-wissenschaftliche-praxis/" w:history="1">
        <w:r w:rsidRPr="00EF4204">
          <w:rPr>
            <w:rStyle w:val="Hyperlink"/>
            <w:lang w:val="nl-NL"/>
          </w:rPr>
          <w:t>qs.univie.ac.at</w:t>
        </w:r>
      </w:hyperlink>
      <w:r w:rsidRPr="00EF4204">
        <w:rPr>
          <w:lang w:val="nl-NL"/>
        </w:rPr>
        <w:t>)</w:t>
      </w:r>
    </w:p>
    <w:p w14:paraId="70144CE4" w14:textId="77777777" w:rsidR="00EF4204" w:rsidRPr="00EF4204" w:rsidRDefault="00EF4204" w:rsidP="00EF4204">
      <w:pPr>
        <w:numPr>
          <w:ilvl w:val="0"/>
          <w:numId w:val="1"/>
        </w:numPr>
        <w:rPr>
          <w:lang w:val="nl-NL"/>
        </w:rPr>
      </w:pPr>
      <w:r w:rsidRPr="00EF4204">
        <w:rPr>
          <w:b/>
          <w:bCs/>
          <w:lang w:val="nl-NL"/>
        </w:rPr>
        <w:t>Grens- en emerging-issue documenten</w:t>
      </w:r>
      <w:r w:rsidRPr="00EF4204">
        <w:rPr>
          <w:lang w:val="nl-NL"/>
        </w:rPr>
        <w:t xml:space="preserve">: open-science juridische analyses, data management policies, AI-guidance, dieren- en ethiekprocedures, </w:t>
      </w:r>
      <w:r w:rsidRPr="00EF4204">
        <w:rPr>
          <w:lang w:val="nl-NL"/>
        </w:rPr>
        <w:lastRenderedPageBreak/>
        <w:t>ghostwriting/plagiaat-gerelateerde normen. Deze bewijzen waar de grens van “wetenschappelijke integriteit” in Oostenrijk in de praktijk wordt getrokken. (</w:t>
      </w:r>
      <w:hyperlink r:id="rId44" w:tooltip="https://www.bmbwf.gv.at/dam/jcr%3A8e3c899e-60c9-4841-83a2-da20d47a5a5c/Open_Science_Analyse_der_rechtlichen_Rahmenbedingungen_in_%C3%96sterreich_%C5%A0korjanc%2C_Endbericht_%28Okt_2023%29_2023-12-17.pdf" w:history="1">
        <w:r w:rsidRPr="00EF4204">
          <w:rPr>
            <w:rStyle w:val="Hyperlink"/>
            <w:lang w:val="nl-NL"/>
          </w:rPr>
          <w:t>Federal Ministry of Education</w:t>
        </w:r>
      </w:hyperlink>
      <w:r w:rsidRPr="00EF4204">
        <w:rPr>
          <w:lang w:val="nl-NL"/>
        </w:rPr>
        <w:t>)</w:t>
      </w:r>
    </w:p>
    <w:p w14:paraId="55D6BCFD" w14:textId="77777777" w:rsidR="00EF4204" w:rsidRPr="00EF4204" w:rsidRDefault="00EF4204" w:rsidP="00EF4204">
      <w:pPr>
        <w:rPr>
          <w:b/>
          <w:bCs/>
          <w:lang w:val="nl-NL"/>
        </w:rPr>
      </w:pPr>
      <w:r w:rsidRPr="00EF4204">
        <w:rPr>
          <w:b/>
          <w:bCs/>
          <w:lang w:val="nl-NL"/>
        </w:rPr>
        <w:t>9. Mijn voorlopige totaalbeeld van Oostenrijk</w:t>
      </w:r>
    </w:p>
    <w:p w14:paraId="2A1D20FC" w14:textId="77777777" w:rsidR="00EF4204" w:rsidRPr="00EF4204" w:rsidRDefault="00EF4204" w:rsidP="00EF4204">
      <w:pPr>
        <w:rPr>
          <w:lang w:val="nl-NL"/>
        </w:rPr>
      </w:pPr>
      <w:r w:rsidRPr="00EF4204">
        <w:rPr>
          <w:lang w:val="nl-NL"/>
        </w:rPr>
        <w:t xml:space="preserve">Mijn voorlopige totaalbeeld is dus: </w:t>
      </w:r>
      <w:r w:rsidRPr="00EF4204">
        <w:rPr>
          <w:b/>
          <w:bCs/>
          <w:lang w:val="nl-NL"/>
        </w:rPr>
        <w:t>Oostenrijk heeft een breed, juridisch ingebed en sterk netwerkachtig integriteitslandschap</w:t>
      </w:r>
      <w:r w:rsidRPr="00EF4204">
        <w:rPr>
          <w:lang w:val="nl-NL"/>
        </w:rPr>
        <w:t xml:space="preserve">. De </w:t>
      </w:r>
      <w:r w:rsidRPr="00EF4204">
        <w:rPr>
          <w:b/>
          <w:bCs/>
          <w:lang w:val="nl-NL"/>
        </w:rPr>
        <w:t>wet</w:t>
      </w:r>
      <w:r w:rsidRPr="00EF4204">
        <w:rPr>
          <w:lang w:val="nl-NL"/>
        </w:rPr>
        <w:t xml:space="preserve"> zet de buitenrand, de </w:t>
      </w:r>
      <w:r w:rsidRPr="00EF4204">
        <w:rPr>
          <w:b/>
          <w:bCs/>
          <w:lang w:val="nl-NL"/>
        </w:rPr>
        <w:t>ÖAWI</w:t>
      </w:r>
      <w:r w:rsidRPr="00EF4204">
        <w:rPr>
          <w:lang w:val="nl-NL"/>
        </w:rPr>
        <w:t xml:space="preserve"> vormt de nationale middenlaag voor onderzoek, training en coördinatie, de </w:t>
      </w:r>
      <w:r w:rsidRPr="00EF4204">
        <w:rPr>
          <w:b/>
          <w:bCs/>
          <w:lang w:val="nl-NL"/>
        </w:rPr>
        <w:t>Hochschulkonferenz/BMFWF</w:t>
      </w:r>
      <w:r w:rsidRPr="00EF4204">
        <w:rPr>
          <w:lang w:val="nl-NL"/>
        </w:rPr>
        <w:t xml:space="preserve"> levert sectoroverstijgende soft-law en best practices, </w:t>
      </w:r>
      <w:r w:rsidRPr="00EF4204">
        <w:rPr>
          <w:b/>
          <w:bCs/>
          <w:lang w:val="nl-NL"/>
        </w:rPr>
        <w:t>AQ Austria</w:t>
      </w:r>
      <w:r w:rsidRPr="00EF4204">
        <w:rPr>
          <w:lang w:val="nl-NL"/>
        </w:rPr>
        <w:t xml:space="preserve"> trekt integriteit de kwaliteitszorg in, </w:t>
      </w:r>
      <w:r w:rsidRPr="00EF4204">
        <w:rPr>
          <w:b/>
          <w:bCs/>
          <w:lang w:val="nl-NL"/>
        </w:rPr>
        <w:t>fondsen</w:t>
      </w:r>
      <w:r w:rsidRPr="00EF4204">
        <w:rPr>
          <w:lang w:val="nl-NL"/>
        </w:rPr>
        <w:t xml:space="preserve"> zoals FWF en FFG maken het financieel afdwingbaar, en de </w:t>
      </w:r>
      <w:r w:rsidRPr="00EF4204">
        <w:rPr>
          <w:b/>
          <w:bCs/>
          <w:lang w:val="nl-NL"/>
        </w:rPr>
        <w:t>instellingen</w:t>
      </w:r>
      <w:r w:rsidRPr="00EF4204">
        <w:rPr>
          <w:lang w:val="nl-NL"/>
        </w:rPr>
        <w:t xml:space="preserve"> bouwen daarbovenop hun eigen ombudssystemen, commissies, offices en ethiekorganen. Vergeleken met Nederland oogt Oostenrijk juridisch en systeemmatig strakker; vergeleken met Denemarken lijkt het minder puur staatsgecentreerd en meer gebaseerd op een </w:t>
      </w:r>
      <w:r w:rsidRPr="00EF4204">
        <w:rPr>
          <w:b/>
          <w:bCs/>
          <w:lang w:val="nl-NL"/>
        </w:rPr>
        <w:t>nationale vereniging plus institutionele uitvoering</w:t>
      </w:r>
      <w:r w:rsidRPr="00EF4204">
        <w:rPr>
          <w:lang w:val="nl-NL"/>
        </w:rPr>
        <w:t>. (</w:t>
      </w:r>
      <w:hyperlink r:id="rId45" w:tooltip="https://oeawi.at/ueber-die-oeawi/" w:history="1">
        <w:r w:rsidRPr="00EF4204">
          <w:rPr>
            <w:rStyle w:val="Hyperlink"/>
            <w:lang w:val="nl-NL"/>
          </w:rPr>
          <w:t>ÖAWI</w:t>
        </w:r>
      </w:hyperlink>
      <w:r w:rsidRPr="00EF4204">
        <w:rPr>
          <w:lang w:val="nl-NL"/>
        </w:rPr>
        <w:t>)</w:t>
      </w:r>
    </w:p>
    <w:p w14:paraId="3A872CAD" w14:textId="77777777" w:rsidR="00EF4204" w:rsidRPr="00EF4204" w:rsidRDefault="00EF4204" w:rsidP="00EF4204">
      <w:pPr>
        <w:rPr>
          <w:lang w:val="nl-NL"/>
        </w:rPr>
      </w:pPr>
      <w:r w:rsidRPr="00EF4204">
        <w:rPr>
          <w:lang w:val="nl-NL"/>
        </w:rPr>
        <w:t xml:space="preserve">Voor jouw project is Oostenrijk daarom een sterk derde land: het laat zien dat een Europees systeem niet alleen kan variëren tussen “soft law” en “hard law”, maar ook tussen </w:t>
      </w:r>
      <w:r w:rsidRPr="00EF4204">
        <w:rPr>
          <w:b/>
          <w:bCs/>
          <w:lang w:val="nl-NL"/>
        </w:rPr>
        <w:t>wie</w:t>
      </w:r>
      <w:r w:rsidRPr="00EF4204">
        <w:rPr>
          <w:lang w:val="nl-NL"/>
        </w:rPr>
        <w:t xml:space="preserve"> de nationale integriteitsinfrastructuur draagt — staat, vereniging, sectoroverleg, kwaliteitssysteem, fonds of instelling. De logische vervolgstap is nu om voor Oostenrijk vier representatieve paden uit te werken: </w:t>
      </w:r>
      <w:r w:rsidRPr="00EF4204">
        <w:rPr>
          <w:b/>
          <w:bCs/>
          <w:lang w:val="nl-NL"/>
        </w:rPr>
        <w:t>een publieke universiteit, een medische universiteit, een FH en een extra-universitair instituut</w:t>
      </w:r>
      <w:r w:rsidRPr="00EF4204">
        <w:rPr>
          <w:lang w:val="nl-NL"/>
        </w:rPr>
        <w:t>.</w:t>
      </w:r>
    </w:p>
    <w:p w14:paraId="096753BA"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2316CF"/>
    <w:multiLevelType w:val="multilevel"/>
    <w:tmpl w:val="74F4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0315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D9"/>
    <w:rsid w:val="000315D9"/>
    <w:rsid w:val="001E528E"/>
    <w:rsid w:val="0023427A"/>
    <w:rsid w:val="002551AA"/>
    <w:rsid w:val="00273D29"/>
    <w:rsid w:val="002E5AD9"/>
    <w:rsid w:val="0036154D"/>
    <w:rsid w:val="00392002"/>
    <w:rsid w:val="00394BCE"/>
    <w:rsid w:val="00407C7C"/>
    <w:rsid w:val="004E2765"/>
    <w:rsid w:val="006846CA"/>
    <w:rsid w:val="00703CEF"/>
    <w:rsid w:val="007A24AA"/>
    <w:rsid w:val="008B444C"/>
    <w:rsid w:val="008B67AA"/>
    <w:rsid w:val="009A628C"/>
    <w:rsid w:val="009F306F"/>
    <w:rsid w:val="00A9511B"/>
    <w:rsid w:val="00A96AF6"/>
    <w:rsid w:val="00C51E99"/>
    <w:rsid w:val="00C85560"/>
    <w:rsid w:val="00EF4204"/>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D67F6"/>
  <w15:chartTrackingRefBased/>
  <w15:docId w15:val="{CCA5232C-216A-448C-904E-D3324814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5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5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5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5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D9"/>
    <w:rPr>
      <w:rFonts w:eastAsiaTheme="majorEastAsia" w:cstheme="majorBidi"/>
      <w:color w:val="272727" w:themeColor="text1" w:themeTint="D8"/>
    </w:rPr>
  </w:style>
  <w:style w:type="paragraph" w:styleId="Title">
    <w:name w:val="Title"/>
    <w:basedOn w:val="Normal"/>
    <w:next w:val="Normal"/>
    <w:link w:val="TitleChar"/>
    <w:uiPriority w:val="10"/>
    <w:qFormat/>
    <w:rsid w:val="00031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D9"/>
    <w:pPr>
      <w:spacing w:before="160"/>
      <w:jc w:val="center"/>
    </w:pPr>
    <w:rPr>
      <w:i/>
      <w:iCs/>
      <w:color w:val="404040" w:themeColor="text1" w:themeTint="BF"/>
    </w:rPr>
  </w:style>
  <w:style w:type="character" w:customStyle="1" w:styleId="QuoteChar">
    <w:name w:val="Quote Char"/>
    <w:basedOn w:val="DefaultParagraphFont"/>
    <w:link w:val="Quote"/>
    <w:uiPriority w:val="29"/>
    <w:rsid w:val="000315D9"/>
    <w:rPr>
      <w:i/>
      <w:iCs/>
      <w:color w:val="404040" w:themeColor="text1" w:themeTint="BF"/>
    </w:rPr>
  </w:style>
  <w:style w:type="paragraph" w:styleId="ListParagraph">
    <w:name w:val="List Paragraph"/>
    <w:basedOn w:val="Normal"/>
    <w:uiPriority w:val="34"/>
    <w:qFormat/>
    <w:rsid w:val="000315D9"/>
    <w:pPr>
      <w:ind w:left="720"/>
      <w:contextualSpacing/>
    </w:pPr>
  </w:style>
  <w:style w:type="character" w:styleId="IntenseEmphasis">
    <w:name w:val="Intense Emphasis"/>
    <w:basedOn w:val="DefaultParagraphFont"/>
    <w:uiPriority w:val="21"/>
    <w:qFormat/>
    <w:rsid w:val="000315D9"/>
    <w:rPr>
      <w:i/>
      <w:iCs/>
      <w:color w:val="0F4761" w:themeColor="accent1" w:themeShade="BF"/>
    </w:rPr>
  </w:style>
  <w:style w:type="paragraph" w:styleId="IntenseQuote">
    <w:name w:val="Intense Quote"/>
    <w:basedOn w:val="Normal"/>
    <w:next w:val="Normal"/>
    <w:link w:val="IntenseQuoteChar"/>
    <w:uiPriority w:val="30"/>
    <w:qFormat/>
    <w:rsid w:val="00031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D9"/>
    <w:rPr>
      <w:i/>
      <w:iCs/>
      <w:color w:val="0F4761" w:themeColor="accent1" w:themeShade="BF"/>
    </w:rPr>
  </w:style>
  <w:style w:type="character" w:styleId="IntenseReference">
    <w:name w:val="Intense Reference"/>
    <w:basedOn w:val="DefaultParagraphFont"/>
    <w:uiPriority w:val="32"/>
    <w:qFormat/>
    <w:rsid w:val="000315D9"/>
    <w:rPr>
      <w:b/>
      <w:bCs/>
      <w:smallCaps/>
      <w:color w:val="0F4761" w:themeColor="accent1" w:themeShade="BF"/>
      <w:spacing w:val="5"/>
    </w:rPr>
  </w:style>
  <w:style w:type="character" w:styleId="Hyperlink">
    <w:name w:val="Hyperlink"/>
    <w:basedOn w:val="DefaultParagraphFont"/>
    <w:uiPriority w:val="99"/>
    <w:unhideWhenUsed/>
    <w:rsid w:val="00EF4204"/>
    <w:rPr>
      <w:color w:val="467886" w:themeColor="hyperlink"/>
      <w:u w:val="single"/>
    </w:rPr>
  </w:style>
  <w:style w:type="character" w:styleId="UnresolvedMention">
    <w:name w:val="Unresolved Mention"/>
    <w:basedOn w:val="DefaultParagraphFont"/>
    <w:uiPriority w:val="99"/>
    <w:semiHidden/>
    <w:unhideWhenUsed/>
    <w:rsid w:val="00EF42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336058">
      <w:bodyDiv w:val="1"/>
      <w:marLeft w:val="0"/>
      <w:marRight w:val="0"/>
      <w:marTop w:val="0"/>
      <w:marBottom w:val="0"/>
      <w:divBdr>
        <w:top w:val="none" w:sz="0" w:space="0" w:color="auto"/>
        <w:left w:val="none" w:sz="0" w:space="0" w:color="auto"/>
        <w:bottom w:val="none" w:sz="0" w:space="0" w:color="auto"/>
        <w:right w:val="none" w:sz="0" w:space="0" w:color="auto"/>
      </w:divBdr>
    </w:div>
    <w:div w:id="849030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bericht.bmbwf.gv.at/2023/83/" TargetMode="External"/><Relationship Id="rId13" Type="http://schemas.openxmlformats.org/officeDocument/2006/relationships/hyperlink" Target="https://oeawi.at/ueber-die-oeawi/" TargetMode="External"/><Relationship Id="rId18" Type="http://schemas.openxmlformats.org/officeDocument/2006/relationships/hyperlink" Target="https://www.bmfwf.gv.at/wissenschaft/hochschulgremien/hsk.html" TargetMode="External"/><Relationship Id="rId26" Type="http://schemas.openxmlformats.org/officeDocument/2006/relationships/hyperlink" Target="https://www.fwf.ac.at/fileadmin/Website/Dokumente/Foerdern/6_Schritte/Weitere_Informationen/fwf_procedure_research_misconduct_en.pdf" TargetMode="External"/><Relationship Id="rId39" Type="http://schemas.openxmlformats.org/officeDocument/2006/relationships/hyperlink" Target="https://www.ris.bka.gv.at/NormDokument.wxe?Abfrage=Bundesnormen&amp;Anlage=&amp;Artikel=17&amp;Gesetzesnummer=10000006&amp;Paragraf=&amp;ShowPrintPreview=True&amp;Uebergangsrecht=" TargetMode="External"/><Relationship Id="rId3" Type="http://schemas.openxmlformats.org/officeDocument/2006/relationships/settings" Target="settings.xml"/><Relationship Id="rId21" Type="http://schemas.openxmlformats.org/officeDocument/2006/relationships/hyperlink" Target="https://oeawi.at/events/praxisleitfaden-fuer-integritaet-und-ethik/" TargetMode="External"/><Relationship Id="rId34" Type="http://schemas.openxmlformats.org/officeDocument/2006/relationships/hyperlink" Target="https://ista.ac.at/en/research/responsible-research/" TargetMode="External"/><Relationship Id="rId42" Type="http://schemas.openxmlformats.org/officeDocument/2006/relationships/hyperlink" Target="https://www.fwf.ac.at/en/about-us/what-we-do/academic-integrity" TargetMode="External"/><Relationship Id="rId47" Type="http://schemas.openxmlformats.org/officeDocument/2006/relationships/theme" Target="theme/theme1.xml"/><Relationship Id="rId7" Type="http://schemas.openxmlformats.org/officeDocument/2006/relationships/hyperlink" Target="https://www.ris.bka.gv.at/NormDokument.wxe?Abfrage=Bundesnormen&amp;Anlage=&amp;Artikel=17&amp;Gesetzesnummer=10000006&amp;Paragraf=&amp;ShowPrintPreview=True&amp;Uebergangsrecht=" TargetMode="External"/><Relationship Id="rId12" Type="http://schemas.openxmlformats.org/officeDocument/2006/relationships/hyperlink" Target="https://oeawi.at/" TargetMode="External"/><Relationship Id="rId17" Type="http://schemas.openxmlformats.org/officeDocument/2006/relationships/hyperlink" Target="https://oeawi.at/wp-content/uploads/2025/05/OeAWI_Tatigkeitsbericht_2023.pdf" TargetMode="External"/><Relationship Id="rId25" Type="http://schemas.openxmlformats.org/officeDocument/2006/relationships/hyperlink" Target="https://www.fwf.ac.at/en/funding/steps-to-your-fwf-project/further-information/integrity-and-ethics" TargetMode="External"/><Relationship Id="rId33" Type="http://schemas.openxmlformats.org/officeDocument/2006/relationships/hyperlink" Target="https://www.hcw.ac.at/forschung/ethikkommission-fuer-forschungsaktivitaeten" TargetMode="External"/><Relationship Id="rId38" Type="http://schemas.openxmlformats.org/officeDocument/2006/relationships/hyperlink" Target="https://www.i-med.ac.at/goodscientificpractice/images/statute-section-safeguarding-good-scientific-practice-at-the-medical-uni_en.pdf"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eawi.at/wp-content/uploads/2024/11/Jahresbericht-Kommission-2023-1.pdf" TargetMode="External"/><Relationship Id="rId20" Type="http://schemas.openxmlformats.org/officeDocument/2006/relationships/hyperlink" Target="https://oeawi.at/wp-content/uploads/2020/12/2020-10-20_Praxisleitfaden-fuer-Integritaet-und-Ethik-in-der-Wissenschaft_engl_.pdf" TargetMode="External"/><Relationship Id="rId29" Type="http://schemas.openxmlformats.org/officeDocument/2006/relationships/hyperlink" Target="https://www.qs.univie.ac.at/services/ombudsstelle-gute-wissenschaftliche-praxis/" TargetMode="External"/><Relationship Id="rId41" Type="http://schemas.openxmlformats.org/officeDocument/2006/relationships/hyperlink" Target="https://oeawi.at/en/guidelines/" TargetMode="External"/><Relationship Id="rId1" Type="http://schemas.openxmlformats.org/officeDocument/2006/relationships/numbering" Target="numbering.xml"/><Relationship Id="rId6" Type="http://schemas.openxmlformats.org/officeDocument/2006/relationships/hyperlink" Target="https://www.bmfwf.gv.at/wissenschaft/hochschulgremien/hsk.html" TargetMode="External"/><Relationship Id="rId11" Type="http://schemas.openxmlformats.org/officeDocument/2006/relationships/hyperlink" Target="https://oeawi.at/ueber-die-oeawi/" TargetMode="External"/><Relationship Id="rId24" Type="http://schemas.openxmlformats.org/officeDocument/2006/relationships/hyperlink" Target="https://www.aq.ac.at/de/ueber-uns/" TargetMode="External"/><Relationship Id="rId32" Type="http://schemas.openxmlformats.org/officeDocument/2006/relationships/hyperlink" Target="https://www.medunigraz.at/good-scientific-practice" TargetMode="External"/><Relationship Id="rId37" Type="http://schemas.openxmlformats.org/officeDocument/2006/relationships/hyperlink" Target="https://unibericht.bmbwf.gv.at/2023/83/" TargetMode="External"/><Relationship Id="rId40" Type="http://schemas.openxmlformats.org/officeDocument/2006/relationships/hyperlink" Target="https://oeawi.at/ueber-die-oeawi/" TargetMode="External"/><Relationship Id="rId45" Type="http://schemas.openxmlformats.org/officeDocument/2006/relationships/hyperlink" Target="https://oeawi.at/ueber-die-oeawi/" TargetMode="External"/><Relationship Id="rId5" Type="http://schemas.openxmlformats.org/officeDocument/2006/relationships/hyperlink" Target="https://www.ris.bka.gv.at/NormDokument.wxe?Abfrage=Bundesnormen&amp;Anlage=&amp;Artikel=17&amp;Gesetzesnummer=10000006&amp;Paragraf=&amp;ShowPrintPreview=True&amp;Uebergangsrecht=" TargetMode="External"/><Relationship Id="rId15" Type="http://schemas.openxmlformats.org/officeDocument/2006/relationships/hyperlink" Target="https://oeawi.at/untersuchung/" TargetMode="External"/><Relationship Id="rId23" Type="http://schemas.openxmlformats.org/officeDocument/2006/relationships/hyperlink" Target="https://www.aq.ac.at/" TargetMode="External"/><Relationship Id="rId28" Type="http://schemas.openxmlformats.org/officeDocument/2006/relationships/hyperlink" Target="https://oeawi.at/mitglieder/" TargetMode="External"/><Relationship Id="rId36" Type="http://schemas.openxmlformats.org/officeDocument/2006/relationships/hyperlink" Target="https://www.bmbwf.gv.at/dam/jcr%3A8e3c899e-60c9-4841-83a2-da20d47a5a5c/Open_Science_Analyse_der_rechtlichen_Rahmenbedingungen_in_%C3%96sterreich_%C5%A0korjanc%2C_Endbericht_%28Okt_2023%29_2023-12-17.pdf" TargetMode="External"/><Relationship Id="rId10" Type="http://schemas.openxmlformats.org/officeDocument/2006/relationships/hyperlink" Target="https://unibericht.bmbwf.gv.at/2023/83/" TargetMode="External"/><Relationship Id="rId19" Type="http://schemas.openxmlformats.org/officeDocument/2006/relationships/hyperlink" Target="https://oeawi.at/wp-content/uploads/2020/12/2020-10-20_Praxisleitfaden-fuer-Integritaet-und-Ethik-in-der-Wissenschaft_engl_.pdf" TargetMode="External"/><Relationship Id="rId31" Type="http://schemas.openxmlformats.org/officeDocument/2006/relationships/hyperlink" Target="https://www.uibk.ac.at/de/forschung/qualitaetssicherung/buero-wissenschaftliche-integritaet/" TargetMode="External"/><Relationship Id="rId44" Type="http://schemas.openxmlformats.org/officeDocument/2006/relationships/hyperlink" Target="https://www.bmbwf.gv.at/dam/jcr%3A8e3c899e-60c9-4841-83a2-da20d47a5a5c/Open_Science_Analyse_der_rechtlichen_Rahmenbedingungen_in_%C3%96sterreich_%C5%A0korjanc%2C_Endbericht_%28Okt_2023%29_2023-12-17.pdf" TargetMode="External"/><Relationship Id="rId4" Type="http://schemas.openxmlformats.org/officeDocument/2006/relationships/webSettings" Target="webSettings.xml"/><Relationship Id="rId9" Type="http://schemas.openxmlformats.org/officeDocument/2006/relationships/hyperlink" Target="https://unibericht.bmbwf.gv.at/2023/83/" TargetMode="External"/><Relationship Id="rId14" Type="http://schemas.openxmlformats.org/officeDocument/2006/relationships/hyperlink" Target="https://oeawi.at/vereinsorgane/" TargetMode="External"/><Relationship Id="rId22" Type="http://schemas.openxmlformats.org/officeDocument/2006/relationships/hyperlink" Target="https://oeawi.at/en/guidelines/" TargetMode="External"/><Relationship Id="rId27" Type="http://schemas.openxmlformats.org/officeDocument/2006/relationships/hyperlink" Target="https://www.ffg.at/europa/ethik" TargetMode="External"/><Relationship Id="rId30" Type="http://schemas.openxmlformats.org/officeDocument/2006/relationships/hyperlink" Target="https://www.tuwien.at/forschung/fti-support/responsible-research-practices" TargetMode="External"/><Relationship Id="rId35" Type="http://schemas.openxmlformats.org/officeDocument/2006/relationships/hyperlink" Target="https://oeawi.at/wp-content/uploads/2020/12/2020-10-20_Praxisleitfaden-fuer-Integritaet-und-Ethik-in-der-Wissenschaft_engl_.pdf" TargetMode="External"/><Relationship Id="rId43" Type="http://schemas.openxmlformats.org/officeDocument/2006/relationships/hyperlink" Target="https://www.qs.univie.ac.at/services/ombudsstelle-gute-wissenschaftliche-prax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4779</Words>
  <Characters>26285</Characters>
  <Application>Microsoft Office Word</Application>
  <DocSecurity>0</DocSecurity>
  <Lines>219</Lines>
  <Paragraphs>62</Paragraphs>
  <ScaleCrop>false</ScaleCrop>
  <Company/>
  <LinksUpToDate>false</LinksUpToDate>
  <CharactersWithSpaces>31002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2026-04-16T07:15:00Z</dcterms:created>
  <dcterms:modified xsi:type="dcterms:W3CDTF">2026-04-16T07:15:00Z</dcterms:modified>
</cp:coreProperties>
</file>