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556B" w14:textId="77777777" w:rsidR="00CE5FB6" w:rsidRPr="00CE5FB6" w:rsidRDefault="00CE5FB6" w:rsidP="00CE5FB6">
      <w:pPr>
        <w:rPr>
          <w:b/>
          <w:bCs/>
          <w:lang w:val="nl-NL"/>
        </w:rPr>
      </w:pPr>
      <w:r w:rsidRPr="00CE5FB6">
        <w:rPr>
          <w:b/>
          <w:bCs/>
          <w:lang w:val="nl-NL"/>
        </w:rPr>
        <w:t>Duitsland als systeem</w:t>
      </w:r>
    </w:p>
    <w:p w14:paraId="69A6CE7F" w14:textId="77777777" w:rsidR="00CE5FB6" w:rsidRPr="00CE5FB6" w:rsidRDefault="00CE5FB6" w:rsidP="00CE5FB6">
      <w:pPr>
        <w:rPr>
          <w:lang w:val="nl-NL"/>
        </w:rPr>
      </w:pPr>
      <w:r w:rsidRPr="00CE5FB6">
        <w:rPr>
          <w:lang w:val="nl-NL"/>
        </w:rPr>
        <w:t xml:space="preserve">Duitsland ziet er in deze eerste sweep uit als een </w:t>
      </w:r>
      <w:r w:rsidRPr="00CE5FB6">
        <w:rPr>
          <w:b/>
          <w:bCs/>
          <w:lang w:val="nl-NL"/>
        </w:rPr>
        <w:t>grondwettelijk beschermd, federaal opgebouwd en sterk zelfregulerend research-integrity landschap</w:t>
      </w:r>
      <w:r w:rsidRPr="00CE5FB6">
        <w:rPr>
          <w:lang w:val="nl-NL"/>
        </w:rPr>
        <w:t xml:space="preserve">. De diepste normlaag is de </w:t>
      </w:r>
      <w:r w:rsidRPr="00CE5FB6">
        <w:rPr>
          <w:b/>
          <w:bCs/>
          <w:lang w:val="nl-NL"/>
        </w:rPr>
        <w:t>vrijheid van wetenschap, onderzoek en onderwijs</w:t>
      </w:r>
      <w:r w:rsidRPr="00CE5FB6">
        <w:rPr>
          <w:lang w:val="nl-NL"/>
        </w:rPr>
        <w:t xml:space="preserve"> in art. 5 lid 3 van de Grundgesetz. Daarboven ligt geen enkel uniform staatsorgaan dat álle integriteitskwesties landelijk afhandelt. De nationaal zichtbare pijlers zijn eerder de </w:t>
      </w:r>
      <w:r w:rsidRPr="00CE5FB6">
        <w:rPr>
          <w:b/>
          <w:bCs/>
          <w:lang w:val="nl-NL"/>
        </w:rPr>
        <w:t>DFG-Code “Guidelines for Safeguarding Good Research Practice”</w:t>
      </w:r>
      <w:r w:rsidRPr="00CE5FB6">
        <w:rPr>
          <w:lang w:val="nl-NL"/>
        </w:rPr>
        <w:t xml:space="preserve">, het landelijke ombudssysteem </w:t>
      </w:r>
      <w:r w:rsidRPr="00CE5FB6">
        <w:rPr>
          <w:b/>
          <w:bCs/>
          <w:lang w:val="nl-NL"/>
        </w:rPr>
        <w:t>OWID</w:t>
      </w:r>
      <w:r w:rsidRPr="00CE5FB6">
        <w:rPr>
          <w:lang w:val="nl-NL"/>
        </w:rPr>
        <w:t>, en daaronder een zeer grote institutionele laag van universiteiten en niet-universitaire onderzoeksorganisaties met eigen statuten, ombudspersonen, onderzoekscommissies en procedures. (</w:t>
      </w:r>
      <w:hyperlink r:id="rId4" w:tooltip="https://www.gesetze-im-internet.de/englisch_gg/englisch_gg.html" w:history="1">
        <w:r w:rsidRPr="00CE5FB6">
          <w:rPr>
            <w:rStyle w:val="Hyperlink"/>
            <w:lang w:val="nl-NL"/>
          </w:rPr>
          <w:t>Gesetze im Internet</w:t>
        </w:r>
      </w:hyperlink>
      <w:r w:rsidRPr="00CE5FB6">
        <w:rPr>
          <w:lang w:val="nl-NL"/>
        </w:rPr>
        <w:t>)</w:t>
      </w:r>
    </w:p>
    <w:p w14:paraId="3F4CDC3E" w14:textId="77777777" w:rsidR="00CE5FB6" w:rsidRPr="00CE5FB6" w:rsidRDefault="00CE5FB6" w:rsidP="00CE5FB6">
      <w:pPr>
        <w:rPr>
          <w:lang w:val="nl-NL"/>
        </w:rPr>
      </w:pPr>
      <w:r w:rsidRPr="00CE5FB6">
        <w:rPr>
          <w:lang w:val="nl-NL"/>
        </w:rPr>
        <w:t xml:space="preserve">Wat Duitsland meteen onderscheidt, is dat deze zelfregulering </w:t>
      </w:r>
      <w:r w:rsidRPr="00CE5FB6">
        <w:rPr>
          <w:b/>
          <w:bCs/>
          <w:lang w:val="nl-NL"/>
        </w:rPr>
        <w:t>juridisch wordt vastgehaakt aan de federale structuur</w:t>
      </w:r>
      <w:r w:rsidRPr="00CE5FB6">
        <w:rPr>
          <w:lang w:val="nl-NL"/>
        </w:rPr>
        <w:t xml:space="preserve">. De DFG zegt expliciet dat instellingen sinds </w:t>
      </w:r>
      <w:r w:rsidRPr="00CE5FB6">
        <w:rPr>
          <w:b/>
          <w:bCs/>
          <w:lang w:val="nl-NL"/>
        </w:rPr>
        <w:t>1 augustus 2019</w:t>
      </w:r>
      <w:r w:rsidRPr="00CE5FB6">
        <w:rPr>
          <w:lang w:val="nl-NL"/>
        </w:rPr>
        <w:t xml:space="preserve"> de twee implementatieniveaus van de DFG-code juridisch bindend moeten omzetten om DFG-financiering te kunnen ontvangen, maar dat die implementatie wel moet rusten op een </w:t>
      </w:r>
      <w:r w:rsidRPr="00CE5FB6">
        <w:rPr>
          <w:b/>
          <w:bCs/>
          <w:lang w:val="nl-NL"/>
        </w:rPr>
        <w:t>voldoende rechtsgrond in de wetgeving van het betreffende Bundesland</w:t>
      </w:r>
      <w:r w:rsidRPr="00CE5FB6">
        <w:rPr>
          <w:lang w:val="nl-NL"/>
        </w:rPr>
        <w:t xml:space="preserve">. Daardoor krijg je in Duitsland niet één uniforme nationale uitvoeringsregeling, maar een combinatie van </w:t>
      </w:r>
      <w:r w:rsidRPr="00CE5FB6">
        <w:rPr>
          <w:b/>
          <w:bCs/>
          <w:lang w:val="nl-NL"/>
        </w:rPr>
        <w:t>nationale normering</w:t>
      </w:r>
      <w:r w:rsidRPr="00CE5FB6">
        <w:rPr>
          <w:lang w:val="nl-NL"/>
        </w:rPr>
        <w:t xml:space="preserve"> en </w:t>
      </w:r>
      <w:r w:rsidRPr="00CE5FB6">
        <w:rPr>
          <w:b/>
          <w:bCs/>
          <w:lang w:val="nl-NL"/>
        </w:rPr>
        <w:t>Länder-gebonden institutionele uitwerking</w:t>
      </w:r>
      <w:r w:rsidRPr="00CE5FB6">
        <w:rPr>
          <w:lang w:val="nl-NL"/>
        </w:rPr>
        <w:t>. (</w:t>
      </w:r>
      <w:hyperlink r:id="rId5" w:tooltip="https://wissenschaftliche-integritaet.de/en/notes-on-implementation/" w:history="1">
        <w:r w:rsidRPr="00CE5FB6">
          <w:rPr>
            <w:rStyle w:val="Hyperlink"/>
            <w:lang w:val="nl-NL"/>
          </w:rPr>
          <w:t>Wissenschaftliche Integrität</w:t>
        </w:r>
      </w:hyperlink>
      <w:r w:rsidRPr="00CE5FB6">
        <w:rPr>
          <w:lang w:val="nl-NL"/>
        </w:rPr>
        <w:t>)</w:t>
      </w:r>
    </w:p>
    <w:p w14:paraId="02AA04E7" w14:textId="77777777" w:rsidR="00CE5FB6" w:rsidRPr="00CE5FB6" w:rsidRDefault="00CE5FB6" w:rsidP="00CE5FB6">
      <w:pPr>
        <w:rPr>
          <w:b/>
          <w:bCs/>
          <w:lang w:val="nl-NL"/>
        </w:rPr>
      </w:pPr>
      <w:r w:rsidRPr="00CE5FB6">
        <w:rPr>
          <w:b/>
          <w:bCs/>
          <w:lang w:val="nl-NL"/>
        </w:rPr>
        <w:t>De nationale normatieve kern: de DFG-code</w:t>
      </w:r>
    </w:p>
    <w:p w14:paraId="4F8AC53E" w14:textId="77777777" w:rsidR="00CE5FB6" w:rsidRPr="00CE5FB6" w:rsidRDefault="00CE5FB6" w:rsidP="00CE5FB6">
      <w:pPr>
        <w:rPr>
          <w:lang w:val="nl-NL"/>
        </w:rPr>
      </w:pPr>
      <w:r w:rsidRPr="00CE5FB6">
        <w:rPr>
          <w:lang w:val="nl-NL"/>
        </w:rPr>
        <w:t xml:space="preserve">De belangrijkste nationale integriteitstekst is de </w:t>
      </w:r>
      <w:r w:rsidRPr="00CE5FB6">
        <w:rPr>
          <w:b/>
          <w:bCs/>
          <w:lang w:val="nl-NL"/>
        </w:rPr>
        <w:t>DFG-code</w:t>
      </w:r>
      <w:r w:rsidRPr="00CE5FB6">
        <w:rPr>
          <w:lang w:val="nl-NL"/>
        </w:rPr>
        <w:t xml:space="preserve">, die op </w:t>
      </w:r>
      <w:r w:rsidRPr="00CE5FB6">
        <w:rPr>
          <w:b/>
          <w:bCs/>
          <w:lang w:val="nl-NL"/>
        </w:rPr>
        <w:t>1 augustus 2019</w:t>
      </w:r>
      <w:r w:rsidRPr="00CE5FB6">
        <w:rPr>
          <w:lang w:val="nl-NL"/>
        </w:rPr>
        <w:t xml:space="preserve"> in werking trad en het oudere DFG-memorandum uit </w:t>
      </w:r>
      <w:r w:rsidRPr="00CE5FB6">
        <w:rPr>
          <w:b/>
          <w:bCs/>
          <w:lang w:val="nl-NL"/>
        </w:rPr>
        <w:t>1998</w:t>
      </w:r>
      <w:r w:rsidRPr="00CE5FB6">
        <w:rPr>
          <w:lang w:val="nl-NL"/>
        </w:rPr>
        <w:t xml:space="preserve"> en de update uit </w:t>
      </w:r>
      <w:r w:rsidRPr="00CE5FB6">
        <w:rPr>
          <w:b/>
          <w:bCs/>
          <w:lang w:val="nl-NL"/>
        </w:rPr>
        <w:t>2013</w:t>
      </w:r>
      <w:r w:rsidRPr="00CE5FB6">
        <w:rPr>
          <w:lang w:val="nl-NL"/>
        </w:rPr>
        <w:t xml:space="preserve"> verving. De code bevat </w:t>
      </w:r>
      <w:r w:rsidRPr="00CE5FB6">
        <w:rPr>
          <w:b/>
          <w:bCs/>
          <w:lang w:val="nl-NL"/>
        </w:rPr>
        <w:t>19 richtlijnen</w:t>
      </w:r>
      <w:r w:rsidRPr="00CE5FB6">
        <w:rPr>
          <w:lang w:val="nl-NL"/>
        </w:rPr>
        <w:t xml:space="preserve"> en is gericht op zowel onderzoekers als instellingen. In de structuur van de code zie je meteen de breedte van het Duitse begrip van integriteit: niet alleen FFP of fraude, maar ook rollen van leidinggevenden, authorship, omgang met onderzoeksdata, documentatie, juridische en ethische kaders, ombudssystemen en procedures voor verdenkingen van misconduct. De code is dus niet alleen een gedragsdocument, maar ook een </w:t>
      </w:r>
      <w:r w:rsidRPr="00CE5FB6">
        <w:rPr>
          <w:b/>
          <w:bCs/>
          <w:lang w:val="nl-NL"/>
        </w:rPr>
        <w:t>bestuurlijk ontwerpdocument</w:t>
      </w:r>
      <w:r w:rsidRPr="00CE5FB6">
        <w:rPr>
          <w:lang w:val="nl-NL"/>
        </w:rPr>
        <w:t xml:space="preserve"> voor instellingen. (</w:t>
      </w:r>
      <w:hyperlink r:id="rId6" w:tooltip="https://www.dfg.de/en/basics-topics/basics-and-principles-of-funding/good-research-practice/code-of-conduct" w:history="1">
        <w:r w:rsidRPr="00CE5FB6">
          <w:rPr>
            <w:rStyle w:val="Hyperlink"/>
            <w:lang w:val="nl-NL"/>
          </w:rPr>
          <w:t>DFG</w:t>
        </w:r>
      </w:hyperlink>
      <w:r w:rsidRPr="00CE5FB6">
        <w:rPr>
          <w:lang w:val="nl-NL"/>
        </w:rPr>
        <w:t>)</w:t>
      </w:r>
    </w:p>
    <w:p w14:paraId="19BDC5A0" w14:textId="77777777" w:rsidR="00CE5FB6" w:rsidRPr="00CE5FB6" w:rsidRDefault="00CE5FB6" w:rsidP="00CE5FB6">
      <w:pPr>
        <w:rPr>
          <w:lang w:val="nl-NL"/>
        </w:rPr>
      </w:pPr>
      <w:r w:rsidRPr="00CE5FB6">
        <w:rPr>
          <w:lang w:val="nl-NL"/>
        </w:rPr>
        <w:t xml:space="preserve">Een belangrijk gevolg daarvan is dat DFG-financiering in Duitsland een directe hefboom wordt voor integriteitsinfrastructuur. Instellingen die DFG-middelen willen ontvangen, moeten de code niet alleen onderschrijven, maar haar ook in </w:t>
      </w:r>
      <w:r w:rsidRPr="00CE5FB6">
        <w:rPr>
          <w:b/>
          <w:bCs/>
          <w:lang w:val="nl-NL"/>
        </w:rPr>
        <w:t>juridisch bindende interne regels</w:t>
      </w:r>
      <w:r w:rsidRPr="00CE5FB6">
        <w:rPr>
          <w:lang w:val="nl-NL"/>
        </w:rPr>
        <w:t xml:space="preserve"> vertalen. De DFG verwijst daarbij zelfs naar de niet-bindende </w:t>
      </w:r>
      <w:r w:rsidRPr="00CE5FB6">
        <w:rPr>
          <w:b/>
          <w:bCs/>
          <w:lang w:val="nl-NL"/>
        </w:rPr>
        <w:t>HRK Model Statutes</w:t>
      </w:r>
      <w:r w:rsidRPr="00CE5FB6">
        <w:rPr>
          <w:lang w:val="nl-NL"/>
        </w:rPr>
        <w:t xml:space="preserve"> van </w:t>
      </w:r>
      <w:r w:rsidRPr="00CE5FB6">
        <w:rPr>
          <w:b/>
          <w:bCs/>
          <w:lang w:val="nl-NL"/>
        </w:rPr>
        <w:t>2022</w:t>
      </w:r>
      <w:r w:rsidRPr="00CE5FB6">
        <w:rPr>
          <w:lang w:val="nl-NL"/>
        </w:rPr>
        <w:t xml:space="preserve"> als hulpmiddel voor instellingen. Daarmee wordt de DFG-code in de praktijk een soort nationale minimumstandaard voor de Duitse onderzoekssector, zonder dat zij formeel een staatswet is. (</w:t>
      </w:r>
      <w:hyperlink r:id="rId7" w:tooltip="https://wissenschaftliche-integritaet.de/en/notes-on-implementation/" w:history="1">
        <w:r w:rsidRPr="00CE5FB6">
          <w:rPr>
            <w:rStyle w:val="Hyperlink"/>
            <w:lang w:val="nl-NL"/>
          </w:rPr>
          <w:t>Wissenschaftliche Integrität</w:t>
        </w:r>
      </w:hyperlink>
      <w:r w:rsidRPr="00CE5FB6">
        <w:rPr>
          <w:lang w:val="nl-NL"/>
        </w:rPr>
        <w:t>)</w:t>
      </w:r>
    </w:p>
    <w:p w14:paraId="20535D66" w14:textId="77777777" w:rsidR="00CE5FB6" w:rsidRPr="00CE5FB6" w:rsidRDefault="00CE5FB6" w:rsidP="00CE5FB6">
      <w:pPr>
        <w:rPr>
          <w:b/>
          <w:bCs/>
          <w:lang w:val="nl-NL"/>
        </w:rPr>
      </w:pPr>
      <w:r w:rsidRPr="00CE5FB6">
        <w:rPr>
          <w:b/>
          <w:bCs/>
          <w:lang w:val="nl-NL"/>
        </w:rPr>
        <w:t>De landelijke ombudslaag: OWID</w:t>
      </w:r>
    </w:p>
    <w:p w14:paraId="3932D677" w14:textId="77777777" w:rsidR="00CE5FB6" w:rsidRPr="00CE5FB6" w:rsidRDefault="00CE5FB6" w:rsidP="00CE5FB6">
      <w:pPr>
        <w:rPr>
          <w:lang w:val="nl-NL"/>
        </w:rPr>
      </w:pPr>
      <w:r w:rsidRPr="00CE5FB6">
        <w:rPr>
          <w:lang w:val="nl-NL"/>
        </w:rPr>
        <w:lastRenderedPageBreak/>
        <w:t xml:space="preserve">De tweede nationale kern is </w:t>
      </w:r>
      <w:r w:rsidRPr="00CE5FB6">
        <w:rPr>
          <w:b/>
          <w:bCs/>
          <w:lang w:val="nl-NL"/>
        </w:rPr>
        <w:t>OWID</w:t>
      </w:r>
      <w:r w:rsidRPr="00CE5FB6">
        <w:rPr>
          <w:lang w:val="nl-NL"/>
        </w:rPr>
        <w:t xml:space="preserve">, het </w:t>
      </w:r>
      <w:r w:rsidRPr="00CE5FB6">
        <w:rPr>
          <w:b/>
          <w:bCs/>
          <w:lang w:val="nl-NL"/>
        </w:rPr>
        <w:t>Ombuds Committee for Research Integrity in Germany</w:t>
      </w:r>
      <w:r w:rsidRPr="00CE5FB6">
        <w:rPr>
          <w:lang w:val="nl-NL"/>
        </w:rPr>
        <w:t xml:space="preserve">. Dit orgaan wordt door de DFG gefinancierd, maar werkt </w:t>
      </w:r>
      <w:r w:rsidRPr="00CE5FB6">
        <w:rPr>
          <w:b/>
          <w:bCs/>
          <w:lang w:val="nl-NL"/>
        </w:rPr>
        <w:t>onafhankelijk</w:t>
      </w:r>
      <w:r w:rsidRPr="00CE5FB6">
        <w:rPr>
          <w:lang w:val="nl-NL"/>
        </w:rPr>
        <w:t xml:space="preserve"> en is niet gebonden aan instructies. OWID adviseert en ondersteunt onderzoekers bij vragen over goede onderzoekspraktijk en bij vermoedens van misconduct, werkt bemiddelend waar mogelijk, en is toegankelijk voor </w:t>
      </w:r>
      <w:r w:rsidRPr="00CE5FB6">
        <w:rPr>
          <w:b/>
          <w:bCs/>
          <w:lang w:val="nl-NL"/>
        </w:rPr>
        <w:t>alle onderzoekers die met het Duitse wetenschapssysteem verbonden zijn</w:t>
      </w:r>
      <w:r w:rsidRPr="00CE5FB6">
        <w:rPr>
          <w:lang w:val="nl-NL"/>
        </w:rPr>
        <w:t xml:space="preserve"> — ook als zij niet direct in een DFG-procedure zitten. Cruciaal is dat OWID geen sancties oplegt en geen hoger beroepsorgaan is; het is een </w:t>
      </w:r>
      <w:r w:rsidRPr="00CE5FB6">
        <w:rPr>
          <w:b/>
          <w:bCs/>
          <w:lang w:val="nl-NL"/>
        </w:rPr>
        <w:t>adviserend en mediërend nationaal vangnet</w:t>
      </w:r>
      <w:r w:rsidRPr="00CE5FB6">
        <w:rPr>
          <w:lang w:val="nl-NL"/>
        </w:rPr>
        <w:t>. (</w:t>
      </w:r>
      <w:hyperlink r:id="rId8" w:tooltip="https://ombudsman-fuer-die-wissenschaft.de/4154/procedural-principles-of-the-research-ombudsman/?lang=en" w:history="1">
        <w:r w:rsidRPr="00CE5FB6">
          <w:rPr>
            <w:rStyle w:val="Hyperlink"/>
            <w:lang w:val="nl-NL"/>
          </w:rPr>
          <w:t>Ombudsgremium – OWID</w:t>
        </w:r>
      </w:hyperlink>
      <w:r w:rsidRPr="00CE5FB6">
        <w:rPr>
          <w:lang w:val="nl-NL"/>
        </w:rPr>
        <w:t>)</w:t>
      </w:r>
    </w:p>
    <w:p w14:paraId="6E5A66D9" w14:textId="77777777" w:rsidR="00CE5FB6" w:rsidRPr="00CE5FB6" w:rsidRDefault="00CE5FB6" w:rsidP="00CE5FB6">
      <w:pPr>
        <w:rPr>
          <w:lang w:val="nl-NL"/>
        </w:rPr>
      </w:pPr>
      <w:r w:rsidRPr="00CE5FB6">
        <w:rPr>
          <w:lang w:val="nl-NL"/>
        </w:rPr>
        <w:t xml:space="preserve">De DFG-code maakt deze ombudslaag ook lokaal verplicht zichtbaar. Richtlijn 6 schrijft voor dat universiteiten en niet-universitaire onderzoeksinstellingen </w:t>
      </w:r>
      <w:r w:rsidRPr="00CE5FB6">
        <w:rPr>
          <w:b/>
          <w:bCs/>
          <w:lang w:val="nl-NL"/>
        </w:rPr>
        <w:t>ten minste één onafhankelijke ombudspersoon plus een plaatsvervanger</w:t>
      </w:r>
      <w:r w:rsidRPr="00CE5FB6">
        <w:rPr>
          <w:lang w:val="nl-NL"/>
        </w:rPr>
        <w:t xml:space="preserve"> aanwijzen. Onderzoekers moeten bovendien kunnen kiezen tussen een </w:t>
      </w:r>
      <w:r w:rsidRPr="00CE5FB6">
        <w:rPr>
          <w:b/>
          <w:bCs/>
          <w:lang w:val="nl-NL"/>
        </w:rPr>
        <w:t>lokale ombudspersoon</w:t>
      </w:r>
      <w:r w:rsidRPr="00CE5FB6">
        <w:rPr>
          <w:lang w:val="nl-NL"/>
        </w:rPr>
        <w:t xml:space="preserve"> en </w:t>
      </w:r>
      <w:r w:rsidRPr="00CE5FB6">
        <w:rPr>
          <w:b/>
          <w:bCs/>
          <w:lang w:val="nl-NL"/>
        </w:rPr>
        <w:t>OWID</w:t>
      </w:r>
      <w:r w:rsidRPr="00CE5FB6">
        <w:rPr>
          <w:lang w:val="nl-NL"/>
        </w:rPr>
        <w:t xml:space="preserve">. Daardoor is de Duitse ombudslaag geen los nationaal loket, maar een </w:t>
      </w:r>
      <w:r w:rsidRPr="00CE5FB6">
        <w:rPr>
          <w:b/>
          <w:bCs/>
          <w:lang w:val="nl-NL"/>
        </w:rPr>
        <w:t>geschakeld systeem van lokale en landelijke vertrouwens- en adviesfiguren</w:t>
      </w:r>
      <w:r w:rsidRPr="00CE5FB6">
        <w:rPr>
          <w:lang w:val="nl-NL"/>
        </w:rPr>
        <w:t>. (</w:t>
      </w:r>
      <w:hyperlink r:id="rId9" w:tooltip="https://wissenschaftliche-integritaet.de/en/code-of-conduct/ombudspersons/" w:history="1">
        <w:r w:rsidRPr="00CE5FB6">
          <w:rPr>
            <w:rStyle w:val="Hyperlink"/>
            <w:lang w:val="nl-NL"/>
          </w:rPr>
          <w:t>Wissenschaftliche Integrität</w:t>
        </w:r>
      </w:hyperlink>
      <w:r w:rsidRPr="00CE5FB6">
        <w:rPr>
          <w:lang w:val="nl-NL"/>
        </w:rPr>
        <w:t>)</w:t>
      </w:r>
    </w:p>
    <w:p w14:paraId="1D2887F3" w14:textId="77777777" w:rsidR="00CE5FB6" w:rsidRPr="00CE5FB6" w:rsidRDefault="00CE5FB6" w:rsidP="00CE5FB6">
      <w:pPr>
        <w:rPr>
          <w:b/>
          <w:bCs/>
          <w:lang w:val="nl-NL"/>
        </w:rPr>
      </w:pPr>
      <w:r w:rsidRPr="00CE5FB6">
        <w:rPr>
          <w:b/>
          <w:bCs/>
          <w:lang w:val="nl-NL"/>
        </w:rPr>
        <w:t>DFG als nationale sanctie- en procedurelaag in de eigen financieringssfeer</w:t>
      </w:r>
    </w:p>
    <w:p w14:paraId="36F42528" w14:textId="77777777" w:rsidR="00CE5FB6" w:rsidRPr="00CE5FB6" w:rsidRDefault="00CE5FB6" w:rsidP="00CE5FB6">
      <w:pPr>
        <w:rPr>
          <w:lang w:val="nl-NL"/>
        </w:rPr>
      </w:pPr>
      <w:r w:rsidRPr="00CE5FB6">
        <w:rPr>
          <w:lang w:val="nl-NL"/>
        </w:rPr>
        <w:t xml:space="preserve">Naast code en ombudsstructuur heeft de DFG ook een eigen </w:t>
      </w:r>
      <w:r w:rsidRPr="00CE5FB6">
        <w:rPr>
          <w:b/>
          <w:bCs/>
          <w:lang w:val="nl-NL"/>
        </w:rPr>
        <w:t>misconductprocedure</w:t>
      </w:r>
      <w:r w:rsidRPr="00CE5FB6">
        <w:rPr>
          <w:lang w:val="nl-NL"/>
        </w:rPr>
        <w:t xml:space="preserve"> voor zaken die met DFG-aanvragen, -subsidies, -reviews of DFG-commissiewerk samenhangen. Die procedure verloopt via een </w:t>
      </w:r>
      <w:r w:rsidRPr="00CE5FB6">
        <w:rPr>
          <w:b/>
          <w:bCs/>
          <w:lang w:val="nl-NL"/>
        </w:rPr>
        <w:t>vooronderzoek</w:t>
      </w:r>
      <w:r w:rsidRPr="00CE5FB6">
        <w:rPr>
          <w:lang w:val="nl-NL"/>
        </w:rPr>
        <w:t xml:space="preserve"> in de DFG-head office, een formeel onderzoek door een </w:t>
      </w:r>
      <w:r w:rsidRPr="00CE5FB6">
        <w:rPr>
          <w:b/>
          <w:bCs/>
          <w:lang w:val="nl-NL"/>
        </w:rPr>
        <w:t>Committee of Inquiry</w:t>
      </w:r>
      <w:r w:rsidRPr="00CE5FB6">
        <w:rPr>
          <w:lang w:val="nl-NL"/>
        </w:rPr>
        <w:t xml:space="preserve"> onder voorzitterschap van de Secretary General, en uiteindelijk een besluit van de </w:t>
      </w:r>
      <w:r w:rsidRPr="00CE5FB6">
        <w:rPr>
          <w:b/>
          <w:bCs/>
          <w:lang w:val="nl-NL"/>
        </w:rPr>
        <w:t>Joint Committee</w:t>
      </w:r>
      <w:r w:rsidRPr="00CE5FB6">
        <w:rPr>
          <w:lang w:val="nl-NL"/>
        </w:rPr>
        <w:t xml:space="preserve">. De actuele regels van procedure zijn op </w:t>
      </w:r>
      <w:r w:rsidRPr="00CE5FB6">
        <w:rPr>
          <w:b/>
          <w:bCs/>
          <w:lang w:val="nl-NL"/>
        </w:rPr>
        <w:t>1 mei 2024</w:t>
      </w:r>
      <w:r w:rsidRPr="00CE5FB6">
        <w:rPr>
          <w:lang w:val="nl-NL"/>
        </w:rPr>
        <w:t xml:space="preserve"> in werking getreden. (</w:t>
      </w:r>
      <w:hyperlink r:id="rId10" w:tooltip="https://www.dfg.de/en/basics-topics/basics-and-principles-of-funding/good-research-practice/misconduct" w:history="1">
        <w:r w:rsidRPr="00CE5FB6">
          <w:rPr>
            <w:rStyle w:val="Hyperlink"/>
            <w:lang w:val="nl-NL"/>
          </w:rPr>
          <w:t>DFG</w:t>
        </w:r>
      </w:hyperlink>
      <w:r w:rsidRPr="00CE5FB6">
        <w:rPr>
          <w:lang w:val="nl-NL"/>
        </w:rPr>
        <w:t>)</w:t>
      </w:r>
    </w:p>
    <w:p w14:paraId="4F424BFE" w14:textId="77777777" w:rsidR="00CE5FB6" w:rsidRPr="00CE5FB6" w:rsidRDefault="00CE5FB6" w:rsidP="00CE5FB6">
      <w:pPr>
        <w:rPr>
          <w:lang w:val="nl-NL"/>
        </w:rPr>
      </w:pPr>
      <w:r w:rsidRPr="00CE5FB6">
        <w:rPr>
          <w:lang w:val="nl-NL"/>
        </w:rPr>
        <w:t xml:space="preserve">Die DFG-procedure is belangrijk omdat zij laat zien dat Duitsland wél nationale sanctiemechanismen kent, maar </w:t>
      </w:r>
      <w:r w:rsidRPr="00CE5FB6">
        <w:rPr>
          <w:b/>
          <w:bCs/>
          <w:lang w:val="nl-NL"/>
        </w:rPr>
        <w:t>functioneel begrensd</w:t>
      </w:r>
      <w:r w:rsidRPr="00CE5FB6">
        <w:rPr>
          <w:lang w:val="nl-NL"/>
        </w:rPr>
        <w:t xml:space="preserve">. De Joint Committee kan onder meer een schriftelijke reprimande geven, personen voor </w:t>
      </w:r>
      <w:r w:rsidRPr="00CE5FB6">
        <w:rPr>
          <w:b/>
          <w:bCs/>
          <w:lang w:val="nl-NL"/>
        </w:rPr>
        <w:t>1 tot 8 jaar</w:t>
      </w:r>
      <w:r w:rsidRPr="00CE5FB6">
        <w:rPr>
          <w:lang w:val="nl-NL"/>
        </w:rPr>
        <w:t xml:space="preserve"> uitsluiten van DFG-aanvragen, hen uitsluiten van reviewer- of commissierollen, correctie of retractie verlangen, subsidies beëindigen en middelen terugvorderen. Dit is dus geen algemene Duitse misconductrechtbank, maar wel een krachtige </w:t>
      </w:r>
      <w:r w:rsidRPr="00CE5FB6">
        <w:rPr>
          <w:b/>
          <w:bCs/>
          <w:lang w:val="nl-NL"/>
        </w:rPr>
        <w:t>financierings- en systeemgebonden handhavingslaag</w:t>
      </w:r>
      <w:r w:rsidRPr="00CE5FB6">
        <w:rPr>
          <w:lang w:val="nl-NL"/>
        </w:rPr>
        <w:t>. (</w:t>
      </w:r>
      <w:hyperlink r:id="rId11" w:tooltip="https://www.dfg.de/resource/blob/339200/dfg-80-01-v0524-en.pdf" w:history="1">
        <w:r w:rsidRPr="00CE5FB6">
          <w:rPr>
            <w:rStyle w:val="Hyperlink"/>
            <w:lang w:val="nl-NL"/>
          </w:rPr>
          <w:t>DFG</w:t>
        </w:r>
      </w:hyperlink>
      <w:r w:rsidRPr="00CE5FB6">
        <w:rPr>
          <w:lang w:val="nl-NL"/>
        </w:rPr>
        <w:t>)</w:t>
      </w:r>
    </w:p>
    <w:p w14:paraId="3D6A2EA8" w14:textId="77777777" w:rsidR="00CE5FB6" w:rsidRPr="00CE5FB6" w:rsidRDefault="00CE5FB6" w:rsidP="00CE5FB6">
      <w:pPr>
        <w:rPr>
          <w:b/>
          <w:bCs/>
          <w:lang w:val="nl-NL"/>
        </w:rPr>
      </w:pPr>
      <w:r w:rsidRPr="00CE5FB6">
        <w:rPr>
          <w:b/>
          <w:bCs/>
          <w:lang w:val="nl-NL"/>
        </w:rPr>
        <w:t>De institutionele laag: waar veel integriteitswerk echt gebeurt</w:t>
      </w:r>
    </w:p>
    <w:p w14:paraId="2D8CC5A3" w14:textId="77777777" w:rsidR="00CE5FB6" w:rsidRPr="00CE5FB6" w:rsidRDefault="00CE5FB6" w:rsidP="00CE5FB6">
      <w:pPr>
        <w:rPr>
          <w:lang w:val="nl-NL"/>
        </w:rPr>
      </w:pPr>
      <w:r w:rsidRPr="00CE5FB6">
        <w:rPr>
          <w:lang w:val="nl-NL"/>
        </w:rPr>
        <w:t xml:space="preserve">Omdat de DFG-code lokaal moet worden geïmplementeerd en OWID vooral adviseert, ligt veel feitelijk integriteitswerk bij instellingen zelf. </w:t>
      </w:r>
      <w:r w:rsidRPr="00CE5FB6">
        <w:rPr>
          <w:b/>
          <w:bCs/>
          <w:lang w:val="nl-NL"/>
        </w:rPr>
        <w:t>TUM</w:t>
      </w:r>
      <w:r w:rsidRPr="00CE5FB6">
        <w:rPr>
          <w:lang w:val="nl-NL"/>
        </w:rPr>
        <w:t xml:space="preserve"> beschrijft bijvoorbeeld een vertrouwelijk ombudssysteem waarin ombudspersonen klachten ontvangen, feiten verhelderen, eerst een minnelijke oplossing proberen en zo nodig een formele procedure starten. TUM legt ook vast dat ombudspersonen neutraal moeten zijn, niet tegelijk vice-president of dean mogen zijn, en dat voor bias de regels van de Beierse administrative procedure law gelden. </w:t>
      </w:r>
      <w:r w:rsidRPr="00CE5FB6">
        <w:rPr>
          <w:b/>
          <w:bCs/>
          <w:lang w:val="nl-NL"/>
        </w:rPr>
        <w:t>LMU</w:t>
      </w:r>
      <w:r w:rsidRPr="00CE5FB6">
        <w:rPr>
          <w:lang w:val="nl-NL"/>
        </w:rPr>
        <w:t xml:space="preserve"> noemt ombudspersonen neutrale, gekwalificeerde contactpersonen voor goede wetenschappelijke praktijk en </w:t>
      </w:r>
      <w:r w:rsidRPr="00CE5FB6">
        <w:rPr>
          <w:lang w:val="nl-NL"/>
        </w:rPr>
        <w:lastRenderedPageBreak/>
        <w:t xml:space="preserve">vermoedens van misconduct. </w:t>
      </w:r>
      <w:r w:rsidRPr="00CE5FB6">
        <w:rPr>
          <w:b/>
          <w:bCs/>
          <w:lang w:val="nl-NL"/>
        </w:rPr>
        <w:t>Heidelberg</w:t>
      </w:r>
      <w:r w:rsidRPr="00CE5FB6">
        <w:rPr>
          <w:lang w:val="nl-NL"/>
        </w:rPr>
        <w:t xml:space="preserve"> heeft daarnaast zelfs een aparte onafhankelijke ombudspersoon voor promovendi. (</w:t>
      </w:r>
      <w:hyperlink r:id="rId12" w:tooltip="https://www.gs.tum.de/fileadmin/w00bik/www/FAQ_GoodScientificPractice_engl.accessfree_updated_May_2024.pdf" w:history="1">
        <w:r w:rsidRPr="00CE5FB6">
          <w:rPr>
            <w:rStyle w:val="Hyperlink"/>
            <w:lang w:val="nl-NL"/>
          </w:rPr>
          <w:t>TUM Graduate School</w:t>
        </w:r>
      </w:hyperlink>
      <w:r w:rsidRPr="00CE5FB6">
        <w:rPr>
          <w:lang w:val="nl-NL"/>
        </w:rPr>
        <w:t>)</w:t>
      </w:r>
    </w:p>
    <w:p w14:paraId="0C86D98E" w14:textId="77777777" w:rsidR="00CE5FB6" w:rsidRPr="00CE5FB6" w:rsidRDefault="00CE5FB6" w:rsidP="00CE5FB6">
      <w:pPr>
        <w:rPr>
          <w:lang w:val="nl-NL"/>
        </w:rPr>
      </w:pPr>
      <w:r w:rsidRPr="00CE5FB6">
        <w:rPr>
          <w:lang w:val="nl-NL"/>
        </w:rPr>
        <w:t xml:space="preserve">Wat hier methodologisch opvalt, is de </w:t>
      </w:r>
      <w:r w:rsidRPr="00CE5FB6">
        <w:rPr>
          <w:b/>
          <w:bCs/>
          <w:lang w:val="nl-NL"/>
        </w:rPr>
        <w:t>rolvariatie</w:t>
      </w:r>
      <w:r w:rsidRPr="00CE5FB6">
        <w:rPr>
          <w:lang w:val="nl-NL"/>
        </w:rPr>
        <w:t xml:space="preserve">. In de Duitse bronbasis zie je niet alleen ombudspersonen, maar ook vice-rectors, faculty boards, compliance offices, doctoral ombuds, faculties with their own procedures, and dedicated offices for good scientific practice. </w:t>
      </w:r>
      <w:r w:rsidRPr="00CE5FB6">
        <w:rPr>
          <w:b/>
          <w:bCs/>
          <w:lang w:val="nl-NL"/>
        </w:rPr>
        <w:t>Charité</w:t>
      </w:r>
      <w:r w:rsidRPr="00CE5FB6">
        <w:rPr>
          <w:lang w:val="nl-NL"/>
        </w:rPr>
        <w:t xml:space="preserve"> laat bijvoorbeeld zien dat er naast ombudspersons voor good scientific practice ook aparte vertrouwenspersonen voor doctorale aangelegenheden kunnen bestaan. Duitsland lijkt lokaal dus niet te werken met één standaardrol, maar met een </w:t>
      </w:r>
      <w:r w:rsidRPr="00CE5FB6">
        <w:rPr>
          <w:b/>
          <w:bCs/>
          <w:lang w:val="nl-NL"/>
        </w:rPr>
        <w:t>modulair stelsel van vertrouwenspersonen, formele onderzoekscommissies en bestuurlijke beslissers</w:t>
      </w:r>
      <w:r w:rsidRPr="00CE5FB6">
        <w:rPr>
          <w:lang w:val="nl-NL"/>
        </w:rPr>
        <w:t>. (</w:t>
      </w:r>
      <w:hyperlink r:id="rId13" w:tooltip="https://promotion.charite.de/en/counsel/ombudspersons" w:history="1">
        <w:r w:rsidRPr="00CE5FB6">
          <w:rPr>
            <w:rStyle w:val="Hyperlink"/>
            <w:lang w:val="nl-NL"/>
          </w:rPr>
          <w:t>Charité Promotions</w:t>
        </w:r>
      </w:hyperlink>
      <w:r w:rsidRPr="00CE5FB6">
        <w:rPr>
          <w:lang w:val="nl-NL"/>
        </w:rPr>
        <w:t>)</w:t>
      </w:r>
    </w:p>
    <w:p w14:paraId="2C54E02C" w14:textId="77777777" w:rsidR="00CE5FB6" w:rsidRPr="00CE5FB6" w:rsidRDefault="00CE5FB6" w:rsidP="00CE5FB6">
      <w:pPr>
        <w:rPr>
          <w:b/>
          <w:bCs/>
          <w:lang w:val="nl-NL"/>
        </w:rPr>
      </w:pPr>
      <w:r w:rsidRPr="00CE5FB6">
        <w:rPr>
          <w:b/>
          <w:bCs/>
          <w:lang w:val="nl-NL"/>
        </w:rPr>
        <w:t>De grote niet-universitaire onderzoeksorganisaties</w:t>
      </w:r>
    </w:p>
    <w:p w14:paraId="4F28CBAE" w14:textId="77777777" w:rsidR="00CE5FB6" w:rsidRPr="00CE5FB6" w:rsidRDefault="00CE5FB6" w:rsidP="00CE5FB6">
      <w:pPr>
        <w:rPr>
          <w:lang w:val="nl-NL"/>
        </w:rPr>
      </w:pPr>
      <w:r w:rsidRPr="00CE5FB6">
        <w:rPr>
          <w:lang w:val="nl-NL"/>
        </w:rPr>
        <w:t xml:space="preserve">Voor Duitsland kun je het landschap niet begrijpen zonder de grote niet-universitaire organisaties. </w:t>
      </w:r>
      <w:r w:rsidRPr="00CE5FB6">
        <w:rPr>
          <w:b/>
          <w:bCs/>
          <w:lang w:val="nl-NL"/>
        </w:rPr>
        <w:t>Helmholtz</w:t>
      </w:r>
      <w:r w:rsidRPr="00CE5FB6">
        <w:rPr>
          <w:lang w:val="nl-NL"/>
        </w:rPr>
        <w:t xml:space="preserve"> bestaat uit </w:t>
      </w:r>
      <w:r w:rsidRPr="00CE5FB6">
        <w:rPr>
          <w:b/>
          <w:bCs/>
          <w:lang w:val="nl-NL"/>
        </w:rPr>
        <w:t>18 onderzoekscentra</w:t>
      </w:r>
      <w:r w:rsidRPr="00CE5FB6">
        <w:rPr>
          <w:lang w:val="nl-NL"/>
        </w:rPr>
        <w:t xml:space="preserve"> en werkt met zowel een </w:t>
      </w:r>
      <w:r w:rsidRPr="00CE5FB6">
        <w:rPr>
          <w:b/>
          <w:bCs/>
          <w:lang w:val="nl-NL"/>
        </w:rPr>
        <w:t>centrale ombudspersoon</w:t>
      </w:r>
      <w:r w:rsidRPr="00CE5FB6">
        <w:rPr>
          <w:lang w:val="nl-NL"/>
        </w:rPr>
        <w:t xml:space="preserve"> als ombudspersonen in de afzonderlijke centra. </w:t>
      </w:r>
      <w:r w:rsidRPr="00CE5FB6">
        <w:rPr>
          <w:b/>
          <w:bCs/>
          <w:lang w:val="nl-NL"/>
        </w:rPr>
        <w:t>Leibniz</w:t>
      </w:r>
      <w:r w:rsidRPr="00CE5FB6">
        <w:rPr>
          <w:lang w:val="nl-NL"/>
        </w:rPr>
        <w:t xml:space="preserve"> verbindt </w:t>
      </w:r>
      <w:r w:rsidRPr="00CE5FB6">
        <w:rPr>
          <w:b/>
          <w:bCs/>
          <w:lang w:val="nl-NL"/>
        </w:rPr>
        <w:t>96 onafhankelijke instituten</w:t>
      </w:r>
      <w:r w:rsidRPr="00CE5FB6">
        <w:rPr>
          <w:lang w:val="nl-NL"/>
        </w:rPr>
        <w:t xml:space="preserve"> en heeft naast lokale structuren ook een </w:t>
      </w:r>
      <w:r w:rsidRPr="00CE5FB6">
        <w:rPr>
          <w:b/>
          <w:bCs/>
          <w:lang w:val="nl-NL"/>
        </w:rPr>
        <w:t>centrale Ombuds Committee</w:t>
      </w:r>
      <w:r w:rsidRPr="00CE5FB6">
        <w:rPr>
          <w:lang w:val="nl-NL"/>
        </w:rPr>
        <w:t xml:space="preserve"> sinds </w:t>
      </w:r>
      <w:r w:rsidRPr="00CE5FB6">
        <w:rPr>
          <w:b/>
          <w:bCs/>
          <w:lang w:val="nl-NL"/>
        </w:rPr>
        <w:t>2020</w:t>
      </w:r>
      <w:r w:rsidRPr="00CE5FB6">
        <w:rPr>
          <w:lang w:val="nl-NL"/>
        </w:rPr>
        <w:t xml:space="preserve">; de Leibniz-richtlijnen zeggen expliciet dat de lidinstellingen de DFG-code als bindend kader erkennen, maar dat zij hun eigen sancties en lokale procedures zelf moeten regelen. </w:t>
      </w:r>
      <w:r w:rsidRPr="00CE5FB6">
        <w:rPr>
          <w:b/>
          <w:bCs/>
          <w:lang w:val="nl-NL"/>
        </w:rPr>
        <w:t>Fraunhofer</w:t>
      </w:r>
      <w:r w:rsidRPr="00CE5FB6">
        <w:rPr>
          <w:lang w:val="nl-NL"/>
        </w:rPr>
        <w:t xml:space="preserve"> omvat </w:t>
      </w:r>
      <w:r w:rsidRPr="00CE5FB6">
        <w:rPr>
          <w:b/>
          <w:bCs/>
          <w:lang w:val="nl-NL"/>
        </w:rPr>
        <w:t>75 instituten en onderzoekseenheden</w:t>
      </w:r>
      <w:r w:rsidRPr="00CE5FB6">
        <w:rPr>
          <w:lang w:val="nl-NL"/>
        </w:rPr>
        <w:t xml:space="preserve"> en heeft ombudspersonen op instituutsniveau plus interne regels over scientific misconduct. </w:t>
      </w:r>
      <w:r w:rsidRPr="00CE5FB6">
        <w:rPr>
          <w:b/>
          <w:bCs/>
          <w:lang w:val="nl-NL"/>
        </w:rPr>
        <w:t>Max Planck</w:t>
      </w:r>
      <w:r w:rsidRPr="00CE5FB6">
        <w:rPr>
          <w:lang w:val="nl-NL"/>
        </w:rPr>
        <w:t xml:space="preserve"> werkt eveneens met ombudspersonen op instituutsniveau en een in </w:t>
      </w:r>
      <w:r w:rsidRPr="00CE5FB6">
        <w:rPr>
          <w:b/>
          <w:bCs/>
          <w:lang w:val="nl-NL"/>
        </w:rPr>
        <w:t>2021</w:t>
      </w:r>
      <w:r w:rsidRPr="00CE5FB6">
        <w:rPr>
          <w:lang w:val="nl-NL"/>
        </w:rPr>
        <w:t xml:space="preserve"> geactualiseerd stelsel van good-scientific-practice rules en procedural rules. Dit laat zien dat Duitsland naast universiteiten ook een zeer grote </w:t>
      </w:r>
      <w:r w:rsidRPr="00CE5FB6">
        <w:rPr>
          <w:b/>
          <w:bCs/>
          <w:lang w:val="nl-NL"/>
        </w:rPr>
        <w:t>organisatiegebonden integriteitslaag</w:t>
      </w:r>
      <w:r w:rsidRPr="00CE5FB6">
        <w:rPr>
          <w:lang w:val="nl-NL"/>
        </w:rPr>
        <w:t xml:space="preserve"> heeft. (</w:t>
      </w:r>
      <w:hyperlink r:id="rId14" w:tooltip="https://www.helmholtz.de/en/about-us/helmholtz-centers/" w:history="1">
        <w:r w:rsidRPr="00CE5FB6">
          <w:rPr>
            <w:rStyle w:val="Hyperlink"/>
            <w:lang w:val="nl-NL"/>
          </w:rPr>
          <w:t>Helmholtz Association</w:t>
        </w:r>
      </w:hyperlink>
      <w:r w:rsidRPr="00CE5FB6">
        <w:rPr>
          <w:lang w:val="nl-NL"/>
        </w:rPr>
        <w:t>)</w:t>
      </w:r>
    </w:p>
    <w:p w14:paraId="6B1AA7ED" w14:textId="77777777" w:rsidR="00CE5FB6" w:rsidRPr="00CE5FB6" w:rsidRDefault="00CE5FB6" w:rsidP="00CE5FB6">
      <w:pPr>
        <w:rPr>
          <w:lang w:val="nl-NL"/>
        </w:rPr>
      </w:pPr>
      <w:r w:rsidRPr="00CE5FB6">
        <w:rPr>
          <w:lang w:val="nl-NL"/>
        </w:rPr>
        <w:t xml:space="preserve">Voor jouw bronmapping is dit misschien wel een van de belangrijkste Duitse lessen: veel integriteitsarchitectuur zit niet alleen in “universiteiten”, maar in nationale wetenschapsorganisaties met een eigen quasi-federale governance. Duitsland heeft dus niet alleen </w:t>
      </w:r>
      <w:r w:rsidRPr="00CE5FB6">
        <w:rPr>
          <w:b/>
          <w:bCs/>
          <w:lang w:val="nl-NL"/>
        </w:rPr>
        <w:t>Bond vs. Länder</w:t>
      </w:r>
      <w:r w:rsidRPr="00CE5FB6">
        <w:rPr>
          <w:lang w:val="nl-NL"/>
        </w:rPr>
        <w:t xml:space="preserve">, maar ook een sterke </w:t>
      </w:r>
      <w:r w:rsidRPr="00CE5FB6">
        <w:rPr>
          <w:b/>
          <w:bCs/>
          <w:lang w:val="nl-NL"/>
        </w:rPr>
        <w:t>tussenlaag van grote wetenschapskoepels en -verenigingen</w:t>
      </w:r>
      <w:r w:rsidRPr="00CE5FB6">
        <w:rPr>
          <w:lang w:val="nl-NL"/>
        </w:rPr>
        <w:t xml:space="preserve"> die eigen regels, ombudssystemen en procedures produceren. (</w:t>
      </w:r>
      <w:hyperlink r:id="rId15" w:tooltip="https://www.leibniz-gemeinschaft.de/fileadmin/user_upload/Bilder_und_Downloads/%C3%9Cber_uns/Integrit%C3%A4t/Guidelines_for_Good_Scientific_Practice_in_the_Leibniz_Association.pdf" w:history="1">
        <w:r w:rsidRPr="00CE5FB6">
          <w:rPr>
            <w:rStyle w:val="Hyperlink"/>
            <w:lang w:val="nl-NL"/>
          </w:rPr>
          <w:t>Leibniz Gemeinschaft</w:t>
        </w:r>
      </w:hyperlink>
      <w:r w:rsidRPr="00CE5FB6">
        <w:rPr>
          <w:lang w:val="nl-NL"/>
        </w:rPr>
        <w:t>)</w:t>
      </w:r>
    </w:p>
    <w:p w14:paraId="78A92781" w14:textId="77777777" w:rsidR="00CE5FB6" w:rsidRPr="00CE5FB6" w:rsidRDefault="00CE5FB6" w:rsidP="00CE5FB6">
      <w:pPr>
        <w:rPr>
          <w:b/>
          <w:bCs/>
          <w:lang w:val="nl-NL"/>
        </w:rPr>
      </w:pPr>
      <w:r w:rsidRPr="00CE5FB6">
        <w:rPr>
          <w:b/>
          <w:bCs/>
          <w:lang w:val="nl-NL"/>
        </w:rPr>
        <w:t>Mensgebonden onderzoek: klinische studies en medische ethiek</w:t>
      </w:r>
    </w:p>
    <w:p w14:paraId="0C5D7C2C" w14:textId="77777777" w:rsidR="00CE5FB6" w:rsidRPr="00CE5FB6" w:rsidRDefault="00CE5FB6" w:rsidP="00CE5FB6">
      <w:pPr>
        <w:rPr>
          <w:lang w:val="nl-NL"/>
        </w:rPr>
      </w:pPr>
      <w:r w:rsidRPr="00CE5FB6">
        <w:rPr>
          <w:lang w:val="nl-NL"/>
        </w:rPr>
        <w:t xml:space="preserve">Voor klinische studies en andere medische interventiestudies loopt in Duitsland een apart en zwaar gereguleerd spoor. Volgens </w:t>
      </w:r>
      <w:r w:rsidRPr="00CE5FB6">
        <w:rPr>
          <w:b/>
          <w:bCs/>
          <w:lang w:val="nl-NL"/>
        </w:rPr>
        <w:t>BfArM</w:t>
      </w:r>
      <w:r w:rsidRPr="00CE5FB6">
        <w:rPr>
          <w:lang w:val="nl-NL"/>
        </w:rPr>
        <w:t xml:space="preserve"> vereisen klinische proeven sinds </w:t>
      </w:r>
      <w:r w:rsidRPr="00CE5FB6">
        <w:rPr>
          <w:b/>
          <w:bCs/>
          <w:lang w:val="nl-NL"/>
        </w:rPr>
        <w:t>2004</w:t>
      </w:r>
      <w:r w:rsidRPr="00CE5FB6">
        <w:rPr>
          <w:lang w:val="nl-NL"/>
        </w:rPr>
        <w:t xml:space="preserve"> zowel een </w:t>
      </w:r>
      <w:r w:rsidRPr="00CE5FB6">
        <w:rPr>
          <w:b/>
          <w:bCs/>
          <w:lang w:val="nl-NL"/>
        </w:rPr>
        <w:t>goedkeuring van de bevoegde hogere federale autoriteit</w:t>
      </w:r>
      <w:r w:rsidRPr="00CE5FB6">
        <w:rPr>
          <w:lang w:val="nl-NL"/>
        </w:rPr>
        <w:t xml:space="preserve"> — meestal </w:t>
      </w:r>
      <w:r w:rsidRPr="00CE5FB6">
        <w:rPr>
          <w:b/>
          <w:bCs/>
          <w:lang w:val="nl-NL"/>
        </w:rPr>
        <w:t>BfArM</w:t>
      </w:r>
      <w:r w:rsidRPr="00CE5FB6">
        <w:rPr>
          <w:lang w:val="nl-NL"/>
        </w:rPr>
        <w:t xml:space="preserve"> of </w:t>
      </w:r>
      <w:r w:rsidRPr="00CE5FB6">
        <w:rPr>
          <w:b/>
          <w:bCs/>
          <w:lang w:val="nl-NL"/>
        </w:rPr>
        <w:t>Paul-Ehrlich-Institut (PEI)</w:t>
      </w:r>
      <w:r w:rsidRPr="00CE5FB6">
        <w:rPr>
          <w:lang w:val="nl-NL"/>
        </w:rPr>
        <w:t xml:space="preserve"> — als een </w:t>
      </w:r>
      <w:r w:rsidRPr="00CE5FB6">
        <w:rPr>
          <w:b/>
          <w:bCs/>
          <w:lang w:val="nl-NL"/>
        </w:rPr>
        <w:t>gunstig oordeel van een bevoegde ethics committee</w:t>
      </w:r>
      <w:r w:rsidRPr="00CE5FB6">
        <w:rPr>
          <w:lang w:val="nl-NL"/>
        </w:rPr>
        <w:t xml:space="preserve">. PEI bevestigt dat voor vaccins en andere biomedicinale producten dezelfde dubbele eis geldt, en dat studies moeten voldoen aan </w:t>
      </w:r>
      <w:r w:rsidRPr="00CE5FB6">
        <w:rPr>
          <w:b/>
          <w:bCs/>
          <w:lang w:val="nl-NL"/>
        </w:rPr>
        <w:t>Good Clinical Practice</w:t>
      </w:r>
      <w:r w:rsidRPr="00CE5FB6">
        <w:rPr>
          <w:lang w:val="nl-NL"/>
        </w:rPr>
        <w:t xml:space="preserve"> en de </w:t>
      </w:r>
      <w:r w:rsidRPr="00CE5FB6">
        <w:rPr>
          <w:b/>
          <w:bCs/>
          <w:lang w:val="nl-NL"/>
        </w:rPr>
        <w:t>Declaration of Helsinki</w:t>
      </w:r>
      <w:r w:rsidRPr="00CE5FB6">
        <w:rPr>
          <w:lang w:val="nl-NL"/>
        </w:rPr>
        <w:t xml:space="preserve">. Sinds </w:t>
      </w:r>
      <w:r w:rsidRPr="00CE5FB6">
        <w:rPr>
          <w:b/>
          <w:bCs/>
          <w:lang w:val="nl-NL"/>
        </w:rPr>
        <w:t>januari 2023</w:t>
      </w:r>
      <w:r w:rsidRPr="00CE5FB6">
        <w:rPr>
          <w:lang w:val="nl-NL"/>
        </w:rPr>
        <w:t xml:space="preserve"> verlopen aanvragen voor geneesmiddelenonderzoek in de EU via </w:t>
      </w:r>
      <w:r w:rsidRPr="00CE5FB6">
        <w:rPr>
          <w:b/>
          <w:bCs/>
          <w:lang w:val="nl-NL"/>
        </w:rPr>
        <w:t>CTIS</w:t>
      </w:r>
      <w:r w:rsidRPr="00CE5FB6">
        <w:rPr>
          <w:lang w:val="nl-NL"/>
        </w:rPr>
        <w:t xml:space="preserve">. Daarnaast wijst BfArM erop dat het </w:t>
      </w:r>
      <w:r w:rsidRPr="00CE5FB6">
        <w:rPr>
          <w:b/>
          <w:bCs/>
          <w:lang w:val="nl-NL"/>
        </w:rPr>
        <w:lastRenderedPageBreak/>
        <w:t>German Clinical Trials Register (DRKS)</w:t>
      </w:r>
      <w:r w:rsidRPr="00CE5FB6">
        <w:rPr>
          <w:lang w:val="nl-NL"/>
        </w:rPr>
        <w:t xml:space="preserve"> als WHO primary registry meer dan </w:t>
      </w:r>
      <w:r w:rsidRPr="00CE5FB6">
        <w:rPr>
          <w:b/>
          <w:bCs/>
          <w:lang w:val="nl-NL"/>
        </w:rPr>
        <w:t>20.000</w:t>
      </w:r>
      <w:r w:rsidRPr="00CE5FB6">
        <w:rPr>
          <w:lang w:val="nl-NL"/>
        </w:rPr>
        <w:t xml:space="preserve"> gezondheidsonderzoeken bevat en jaarlijks ongeveer </w:t>
      </w:r>
      <w:r w:rsidRPr="00CE5FB6">
        <w:rPr>
          <w:b/>
          <w:bCs/>
          <w:lang w:val="nl-NL"/>
        </w:rPr>
        <w:t>2.000</w:t>
      </w:r>
      <w:r w:rsidRPr="00CE5FB6">
        <w:rPr>
          <w:lang w:val="nl-NL"/>
        </w:rPr>
        <w:t xml:space="preserve"> nieuwe studies opneemt. (</w:t>
      </w:r>
      <w:hyperlink r:id="rId16" w:tooltip="https://www.bfarm.de/EN/Medicinal-products/Clinical-trials/_node.html" w:history="1">
        <w:r w:rsidRPr="00CE5FB6">
          <w:rPr>
            <w:rStyle w:val="Hyperlink"/>
            <w:lang w:val="nl-NL"/>
          </w:rPr>
          <w:t>BfArM</w:t>
        </w:r>
      </w:hyperlink>
      <w:r w:rsidRPr="00CE5FB6">
        <w:rPr>
          <w:lang w:val="nl-NL"/>
        </w:rPr>
        <w:t>)</w:t>
      </w:r>
    </w:p>
    <w:p w14:paraId="797164A5" w14:textId="77777777" w:rsidR="00CE5FB6" w:rsidRPr="00CE5FB6" w:rsidRDefault="00CE5FB6" w:rsidP="00CE5FB6">
      <w:pPr>
        <w:rPr>
          <w:lang w:val="nl-NL"/>
        </w:rPr>
      </w:pPr>
      <w:r w:rsidRPr="00CE5FB6">
        <w:rPr>
          <w:lang w:val="nl-NL"/>
        </w:rPr>
        <w:t xml:space="preserve">Belangrijk is dat de medische ethische toetsing in Duitsland niet simpelweg “nationaal” is. BfArM zegt expliciet dat de bevoegde ethics committee wordt bepaald </w:t>
      </w:r>
      <w:r w:rsidRPr="00CE5FB6">
        <w:rPr>
          <w:b/>
          <w:bCs/>
          <w:lang w:val="nl-NL"/>
        </w:rPr>
        <w:t>volgens het recht van het Bundesland</w:t>
      </w:r>
      <w:r w:rsidRPr="00CE5FB6">
        <w:rPr>
          <w:lang w:val="nl-NL"/>
        </w:rPr>
        <w:t xml:space="preserve">. De </w:t>
      </w:r>
      <w:r w:rsidRPr="00CE5FB6">
        <w:rPr>
          <w:b/>
          <w:bCs/>
          <w:lang w:val="nl-NL"/>
        </w:rPr>
        <w:t>Model Professional Code for Physicians</w:t>
      </w:r>
      <w:r w:rsidRPr="00CE5FB6">
        <w:rPr>
          <w:lang w:val="nl-NL"/>
        </w:rPr>
        <w:t xml:space="preserve"> van de German Medical Association maakt dat nog concreter: artsen die onderzoek op mensen, menselijk lichaamsmateriaal of identificeerbare data uitvoeren, moeten vooraf advies vragen aan een ethics committee bij de verantwoordelijke Chamber of Physicians of aan een andere onafhankelijke, interdisciplinaire commissie die volgens </w:t>
      </w:r>
      <w:r w:rsidRPr="00CE5FB6">
        <w:rPr>
          <w:b/>
          <w:bCs/>
          <w:lang w:val="nl-NL"/>
        </w:rPr>
        <w:t>Landesrecht</w:t>
      </w:r>
      <w:r w:rsidRPr="00CE5FB6">
        <w:rPr>
          <w:lang w:val="nl-NL"/>
        </w:rPr>
        <w:t xml:space="preserve"> is ingesteld. Daarmee zie je heel duidelijk hoe Duitsland hier werkt: </w:t>
      </w:r>
      <w:r w:rsidRPr="00CE5FB6">
        <w:rPr>
          <w:b/>
          <w:bCs/>
          <w:lang w:val="nl-NL"/>
        </w:rPr>
        <w:t>federale / Europese geneesmiddelenregulering + door Länderrecht ingebedde ethische commissies</w:t>
      </w:r>
      <w:r w:rsidRPr="00CE5FB6">
        <w:rPr>
          <w:lang w:val="nl-NL"/>
        </w:rPr>
        <w:t>. (</w:t>
      </w:r>
      <w:hyperlink r:id="rId17" w:tooltip="https://www.bfarm.de/EN/Medical-devices/Overview/Competent-authorities-and-ethics-committees/Ethic-committees/_node.html" w:history="1">
        <w:r w:rsidRPr="00CE5FB6">
          <w:rPr>
            <w:rStyle w:val="Hyperlink"/>
            <w:lang w:val="nl-NL"/>
          </w:rPr>
          <w:t>BfArM</w:t>
        </w:r>
      </w:hyperlink>
      <w:r w:rsidRPr="00CE5FB6">
        <w:rPr>
          <w:lang w:val="nl-NL"/>
        </w:rPr>
        <w:t>)</w:t>
      </w:r>
    </w:p>
    <w:p w14:paraId="0E2F04C8" w14:textId="77777777" w:rsidR="00CE5FB6" w:rsidRPr="00CE5FB6" w:rsidRDefault="00CE5FB6" w:rsidP="00CE5FB6">
      <w:pPr>
        <w:rPr>
          <w:lang w:val="nl-NL"/>
        </w:rPr>
      </w:pPr>
      <w:r w:rsidRPr="00CE5FB6">
        <w:rPr>
          <w:lang w:val="nl-NL"/>
        </w:rPr>
        <w:t xml:space="preserve">Een recente extra nuance is dat bepaalde medische trajecten ook weer deels centraliseren. De </w:t>
      </w:r>
      <w:r w:rsidRPr="00CE5FB6">
        <w:rPr>
          <w:b/>
          <w:bCs/>
          <w:lang w:val="nl-NL"/>
        </w:rPr>
        <w:t>Medical Research Act</w:t>
      </w:r>
      <w:r w:rsidRPr="00CE5FB6">
        <w:rPr>
          <w:lang w:val="nl-NL"/>
        </w:rPr>
        <w:t xml:space="preserve">-pagina van PEI vermeldt bijvoorbeeld een </w:t>
      </w:r>
      <w:r w:rsidRPr="00CE5FB6">
        <w:rPr>
          <w:b/>
          <w:bCs/>
          <w:lang w:val="nl-NL"/>
        </w:rPr>
        <w:t>Specialised Ethics Committee</w:t>
      </w:r>
      <w:r w:rsidRPr="00CE5FB6">
        <w:rPr>
          <w:lang w:val="nl-NL"/>
        </w:rPr>
        <w:t xml:space="preserve"> bij BfArM voor bijzondere, complexe of spoedeisende procedures. Dat betekent dat de Duitse medische-ethische infrastructuur tegelijk gedecentraliseerd én selectief gecentraliseerd is. (</w:t>
      </w:r>
      <w:hyperlink r:id="rId18" w:tooltip="https://www.pei.de/EN/regulation/medical-research-act/medical-research-act-node.html" w:history="1">
        <w:r w:rsidRPr="00CE5FB6">
          <w:rPr>
            <w:rStyle w:val="Hyperlink"/>
            <w:lang w:val="nl-NL"/>
          </w:rPr>
          <w:t>Paul-Ehrlich-Institut</w:t>
        </w:r>
      </w:hyperlink>
      <w:r w:rsidRPr="00CE5FB6">
        <w:rPr>
          <w:lang w:val="nl-NL"/>
        </w:rPr>
        <w:t>)</w:t>
      </w:r>
    </w:p>
    <w:p w14:paraId="3CD7236E" w14:textId="77777777" w:rsidR="00CE5FB6" w:rsidRPr="00CE5FB6" w:rsidRDefault="00CE5FB6" w:rsidP="00CE5FB6">
      <w:pPr>
        <w:rPr>
          <w:b/>
          <w:bCs/>
          <w:lang w:val="nl-NL"/>
        </w:rPr>
      </w:pPr>
      <w:r w:rsidRPr="00CE5FB6">
        <w:rPr>
          <w:b/>
          <w:bCs/>
          <w:lang w:val="nl-NL"/>
        </w:rPr>
        <w:t>Niet-medisch onderzoek met menselijke deelnemers: lokaal en gedifferentieerd</w:t>
      </w:r>
    </w:p>
    <w:p w14:paraId="24770456" w14:textId="77777777" w:rsidR="00CE5FB6" w:rsidRPr="00CE5FB6" w:rsidRDefault="00CE5FB6" w:rsidP="00CE5FB6">
      <w:pPr>
        <w:rPr>
          <w:lang w:val="nl-NL"/>
        </w:rPr>
      </w:pPr>
      <w:r w:rsidRPr="00CE5FB6">
        <w:rPr>
          <w:lang w:val="nl-NL"/>
        </w:rPr>
        <w:t xml:space="preserve">Buiten de klassieke medische sfeer is de ethische infrastructuur veel gedifferentieerder. De DFG maakt in FAQ’s en aanvraaginstructies duidelijk dat vooral in psychologie en vergelijkbare mensgebonden studies vaak een </w:t>
      </w:r>
      <w:r w:rsidRPr="00CE5FB6">
        <w:rPr>
          <w:b/>
          <w:bCs/>
          <w:lang w:val="nl-NL"/>
        </w:rPr>
        <w:t>ethics committee statement</w:t>
      </w:r>
      <w:r w:rsidRPr="00CE5FB6">
        <w:rPr>
          <w:lang w:val="nl-NL"/>
        </w:rPr>
        <w:t xml:space="preserve"> nodig is, bijvoorbeeld bij belastende designs, patiëntenonderzoek, fMRI, TMS of psychofarmacologie. De DFG zegt ook expliciet dat een </w:t>
      </w:r>
      <w:r w:rsidRPr="00CE5FB6">
        <w:rPr>
          <w:b/>
          <w:bCs/>
          <w:lang w:val="nl-NL"/>
        </w:rPr>
        <w:t>buitenlandse ethics vote</w:t>
      </w:r>
      <w:r w:rsidRPr="00CE5FB6">
        <w:rPr>
          <w:lang w:val="nl-NL"/>
        </w:rPr>
        <w:t xml:space="preserve"> voor een project in het buitenland niet automatisch de vraag vervangt of er óók een Duitse lokale ethics vote nodig is. Als er geen medische commissie bevoegd is, verwijst de DFG naar </w:t>
      </w:r>
      <w:r w:rsidRPr="00CE5FB6">
        <w:rPr>
          <w:b/>
          <w:bCs/>
          <w:lang w:val="nl-NL"/>
        </w:rPr>
        <w:t>lokale ethics committees aan faculteiten of universiteiten</w:t>
      </w:r>
      <w:r w:rsidRPr="00CE5FB6">
        <w:rPr>
          <w:lang w:val="nl-NL"/>
        </w:rPr>
        <w:t>, of soms naar commissies van discipline-specifieke verenigingen. (</w:t>
      </w:r>
      <w:hyperlink r:id="rId19" w:tooltip="https://www.dfg.de/en/research-funding/proposal-funding-process/faq/humanities-social-sciences" w:history="1">
        <w:r w:rsidRPr="00CE5FB6">
          <w:rPr>
            <w:rStyle w:val="Hyperlink"/>
            <w:lang w:val="nl-NL"/>
          </w:rPr>
          <w:t>DFG</w:t>
        </w:r>
      </w:hyperlink>
      <w:r w:rsidRPr="00CE5FB6">
        <w:rPr>
          <w:lang w:val="nl-NL"/>
        </w:rPr>
        <w:t>)</w:t>
      </w:r>
    </w:p>
    <w:p w14:paraId="04EE14C3" w14:textId="77777777" w:rsidR="00CE5FB6" w:rsidRPr="00CE5FB6" w:rsidRDefault="00CE5FB6" w:rsidP="00CE5FB6">
      <w:pPr>
        <w:rPr>
          <w:lang w:val="nl-NL"/>
        </w:rPr>
      </w:pPr>
      <w:r w:rsidRPr="00CE5FB6">
        <w:rPr>
          <w:lang w:val="nl-NL"/>
        </w:rPr>
        <w:t xml:space="preserve">Institutionele voorbeelden maken dit heel zichtbaar. </w:t>
      </w:r>
      <w:r w:rsidRPr="00CE5FB6">
        <w:rPr>
          <w:b/>
          <w:bCs/>
          <w:lang w:val="nl-NL"/>
        </w:rPr>
        <w:t>University of Cologne</w:t>
      </w:r>
      <w:r w:rsidRPr="00CE5FB6">
        <w:rPr>
          <w:lang w:val="nl-NL"/>
        </w:rPr>
        <w:t xml:space="preserve"> heeft een faculty ethics committee voor sociale wetenschappen en geesteswetenschappen, gebaseerd op een combinatie van facultaire code, de </w:t>
      </w:r>
      <w:r w:rsidRPr="00CE5FB6">
        <w:rPr>
          <w:b/>
          <w:bCs/>
          <w:lang w:val="nl-NL"/>
        </w:rPr>
        <w:t>European Code of Conduct for Research Integrity</w:t>
      </w:r>
      <w:r w:rsidRPr="00CE5FB6">
        <w:rPr>
          <w:lang w:val="nl-NL"/>
        </w:rPr>
        <w:t xml:space="preserve">, Horizon-ethiek, Duitse grondrechten en federale en deelstaat-databeschermingswetgeving. </w:t>
      </w:r>
      <w:r w:rsidRPr="00CE5FB6">
        <w:rPr>
          <w:b/>
          <w:bCs/>
          <w:lang w:val="nl-NL"/>
        </w:rPr>
        <w:t>University of Münster</w:t>
      </w:r>
      <w:r w:rsidRPr="00CE5FB6">
        <w:rPr>
          <w:lang w:val="nl-NL"/>
        </w:rPr>
        <w:t xml:space="preserve"> heeft een </w:t>
      </w:r>
      <w:r w:rsidRPr="00CE5FB6">
        <w:rPr>
          <w:b/>
          <w:bCs/>
          <w:lang w:val="nl-NL"/>
        </w:rPr>
        <w:t>Ethics Advisor</w:t>
      </w:r>
      <w:r w:rsidRPr="00CE5FB6">
        <w:rPr>
          <w:lang w:val="nl-NL"/>
        </w:rPr>
        <w:t xml:space="preserve"> die onderzoekers, commissies en administratie adviseert over research ethics en zo nodig ook </w:t>
      </w:r>
      <w:r w:rsidRPr="00CE5FB6">
        <w:rPr>
          <w:b/>
          <w:bCs/>
          <w:lang w:val="nl-NL"/>
        </w:rPr>
        <w:t>security issues / dual use</w:t>
      </w:r>
      <w:r w:rsidRPr="00CE5FB6">
        <w:rPr>
          <w:lang w:val="nl-NL"/>
        </w:rPr>
        <w:t xml:space="preserve">, en die afdelingen helpt nieuwe ethics committees op te zetten. Daarmee wordt duidelijk dat niet-medische ethiek in Duitsland grotendeels </w:t>
      </w:r>
      <w:r w:rsidRPr="00CE5FB6">
        <w:rPr>
          <w:b/>
          <w:bCs/>
          <w:lang w:val="nl-NL"/>
        </w:rPr>
        <w:t>lokaal, facultair en disciplinair</w:t>
      </w:r>
      <w:r w:rsidRPr="00CE5FB6">
        <w:rPr>
          <w:lang w:val="nl-NL"/>
        </w:rPr>
        <w:t xml:space="preserve"> is georganiseerd, vaak in combinatie met data protection, legal advice en dual-use reflectie. (</w:t>
      </w:r>
      <w:hyperlink r:id="rId20" w:tooltip="https://wiso.uni-koeln.de/en/faculty/ethics-and-responsibility/ethics-committee" w:history="1">
        <w:r w:rsidRPr="00CE5FB6">
          <w:rPr>
            <w:rStyle w:val="Hyperlink"/>
            <w:lang w:val="nl-NL"/>
          </w:rPr>
          <w:t>WiSo Faculty</w:t>
        </w:r>
      </w:hyperlink>
      <w:r w:rsidRPr="00CE5FB6">
        <w:rPr>
          <w:lang w:val="nl-NL"/>
        </w:rPr>
        <w:t>)</w:t>
      </w:r>
    </w:p>
    <w:p w14:paraId="3C9F3530" w14:textId="77777777" w:rsidR="00CE5FB6" w:rsidRPr="00CE5FB6" w:rsidRDefault="00CE5FB6" w:rsidP="00CE5FB6">
      <w:pPr>
        <w:rPr>
          <w:b/>
          <w:bCs/>
          <w:lang w:val="nl-NL"/>
        </w:rPr>
      </w:pPr>
      <w:r w:rsidRPr="00CE5FB6">
        <w:rPr>
          <w:b/>
          <w:bCs/>
          <w:lang w:val="nl-NL"/>
        </w:rPr>
        <w:lastRenderedPageBreak/>
        <w:t>Dieronderzoek</w:t>
      </w:r>
    </w:p>
    <w:p w14:paraId="42C83CB1" w14:textId="77777777" w:rsidR="00CE5FB6" w:rsidRPr="00CE5FB6" w:rsidRDefault="00CE5FB6" w:rsidP="00CE5FB6">
      <w:pPr>
        <w:rPr>
          <w:lang w:val="nl-NL"/>
        </w:rPr>
      </w:pPr>
      <w:r w:rsidRPr="00CE5FB6">
        <w:rPr>
          <w:lang w:val="nl-NL"/>
        </w:rPr>
        <w:t xml:space="preserve">Ook dieronderzoek vormt in Duitsland een eigen grensregime. De officiële BfR-documentatie zegt dat dierproeven in hoofdzaak worden geregeld door de </w:t>
      </w:r>
      <w:r w:rsidRPr="00CE5FB6">
        <w:rPr>
          <w:b/>
          <w:bCs/>
          <w:lang w:val="nl-NL"/>
        </w:rPr>
        <w:t>Animal Welfare Act</w:t>
      </w:r>
      <w:r w:rsidRPr="00CE5FB6">
        <w:rPr>
          <w:lang w:val="nl-NL"/>
        </w:rPr>
        <w:t xml:space="preserve"> en de </w:t>
      </w:r>
      <w:r w:rsidRPr="00CE5FB6">
        <w:rPr>
          <w:b/>
          <w:bCs/>
          <w:lang w:val="nl-NL"/>
        </w:rPr>
        <w:t>Animal Welfare Experiments Ordinance</w:t>
      </w:r>
      <w:r w:rsidRPr="00CE5FB6">
        <w:rPr>
          <w:lang w:val="nl-NL"/>
        </w:rPr>
        <w:t xml:space="preserve">. Dierproeven op vertebraten of koppotigen vereisen in de regel een </w:t>
      </w:r>
      <w:r w:rsidRPr="00CE5FB6">
        <w:rPr>
          <w:b/>
          <w:bCs/>
          <w:lang w:val="nl-NL"/>
        </w:rPr>
        <w:t>autorisatie</w:t>
      </w:r>
      <w:r w:rsidRPr="00CE5FB6">
        <w:rPr>
          <w:lang w:val="nl-NL"/>
        </w:rPr>
        <w:t xml:space="preserve">, moeten tot het strikt noodzakelijke worden beperkt en mogen alleen worden uitgevoerd voor specifieke, wettelijk toegestane doelen. De BfR benadrukt daarbij permanent toezicht op dieren, vooraf vastgestelde stressgrenzen en de 3R-benadering. Daarnaast coördineert het </w:t>
      </w:r>
      <w:r w:rsidRPr="00CE5FB6">
        <w:rPr>
          <w:b/>
          <w:bCs/>
          <w:lang w:val="nl-NL"/>
        </w:rPr>
        <w:t>German Centre for the Protection of Laboratory Animals (Bf3R)</w:t>
      </w:r>
      <w:r w:rsidRPr="00CE5FB6">
        <w:rPr>
          <w:lang w:val="nl-NL"/>
        </w:rPr>
        <w:t xml:space="preserve"> bij het BfR sinds </w:t>
      </w:r>
      <w:r w:rsidRPr="00CE5FB6">
        <w:rPr>
          <w:b/>
          <w:bCs/>
          <w:lang w:val="nl-NL"/>
        </w:rPr>
        <w:t>2015</w:t>
      </w:r>
      <w:r w:rsidRPr="00CE5FB6">
        <w:rPr>
          <w:lang w:val="nl-NL"/>
        </w:rPr>
        <w:t xml:space="preserve"> landelijk activiteiten om dierproeven te beperken en dieren beter te beschermen. (</w:t>
      </w:r>
      <w:hyperlink r:id="rId21" w:tooltip="Questions and answers on animal experiments, alternative ..." w:history="1">
        <w:r w:rsidRPr="00CE5FB6">
          <w:rPr>
            <w:rStyle w:val="Hyperlink"/>
            <w:lang w:val="nl-NL"/>
          </w:rPr>
          <w:t>Bundesinstitut für Risikobewertung</w:t>
        </w:r>
      </w:hyperlink>
      <w:r w:rsidRPr="00CE5FB6">
        <w:rPr>
          <w:lang w:val="nl-NL"/>
        </w:rPr>
        <w:t>)</w:t>
      </w:r>
    </w:p>
    <w:p w14:paraId="16CD2C5E" w14:textId="77777777" w:rsidR="00CE5FB6" w:rsidRPr="00CE5FB6" w:rsidRDefault="00CE5FB6" w:rsidP="00CE5FB6">
      <w:pPr>
        <w:rPr>
          <w:lang w:val="nl-NL"/>
        </w:rPr>
      </w:pPr>
      <w:r w:rsidRPr="00CE5FB6">
        <w:rPr>
          <w:lang w:val="nl-NL"/>
        </w:rPr>
        <w:t xml:space="preserve">Voor jouw mapstructuur betekent dit dat Duitsland, net als Zweden, een aparte map nodig heeft voor </w:t>
      </w:r>
      <w:r w:rsidRPr="00CE5FB6">
        <w:rPr>
          <w:b/>
          <w:bCs/>
          <w:lang w:val="nl-NL"/>
        </w:rPr>
        <w:t>animal research ethics / authorization</w:t>
      </w:r>
      <w:r w:rsidRPr="00CE5FB6">
        <w:rPr>
          <w:lang w:val="nl-NL"/>
        </w:rPr>
        <w:t>, niet alleen als voetnoot bij integriteit. In de praktijk raakt dit regime immers direct aan methodologische legitimiteit, vergunningen, opleidingseisen en onderzoeksverantwoordelijkheid. (</w:t>
      </w:r>
      <w:hyperlink r:id="rId22" w:tooltip="Questions and answers on animal experiments, alternative ..." w:history="1">
        <w:r w:rsidRPr="00CE5FB6">
          <w:rPr>
            <w:rStyle w:val="Hyperlink"/>
            <w:lang w:val="nl-NL"/>
          </w:rPr>
          <w:t>Bundesinstitut für Risikobewertung</w:t>
        </w:r>
      </w:hyperlink>
      <w:r w:rsidRPr="00CE5FB6">
        <w:rPr>
          <w:lang w:val="nl-NL"/>
        </w:rPr>
        <w:t>)</w:t>
      </w:r>
    </w:p>
    <w:p w14:paraId="582BD25C" w14:textId="77777777" w:rsidR="00CE5FB6" w:rsidRPr="00CE5FB6" w:rsidRDefault="00CE5FB6" w:rsidP="00CE5FB6">
      <w:pPr>
        <w:rPr>
          <w:b/>
          <w:bCs/>
          <w:lang w:val="nl-NL"/>
        </w:rPr>
      </w:pPr>
      <w:r w:rsidRPr="00CE5FB6">
        <w:rPr>
          <w:b/>
          <w:bCs/>
          <w:lang w:val="nl-NL"/>
        </w:rPr>
        <w:t>Data, gebruiksrechten en infrastructuur</w:t>
      </w:r>
    </w:p>
    <w:p w14:paraId="243206D0" w14:textId="77777777" w:rsidR="00CE5FB6" w:rsidRPr="00CE5FB6" w:rsidRDefault="00CE5FB6" w:rsidP="00CE5FB6">
      <w:pPr>
        <w:rPr>
          <w:lang w:val="nl-NL"/>
        </w:rPr>
      </w:pPr>
      <w:r w:rsidRPr="00CE5FB6">
        <w:rPr>
          <w:lang w:val="nl-NL"/>
        </w:rPr>
        <w:t xml:space="preserve">De datalaag is in Duitsland opvallend sterk ontwikkeld. De DFG’s </w:t>
      </w:r>
      <w:r w:rsidRPr="00CE5FB6">
        <w:rPr>
          <w:b/>
          <w:bCs/>
          <w:lang w:val="nl-NL"/>
        </w:rPr>
        <w:t>Guidelines on the Handling of Research Data</w:t>
      </w:r>
      <w:r w:rsidRPr="00CE5FB6">
        <w:rPr>
          <w:lang w:val="nl-NL"/>
        </w:rPr>
        <w:t xml:space="preserve"> zeggen dat onderzoeksdata, voor zover rechten dat toelaten, zo snel mogelijk beschikbaar moeten worden gemaakt en ten minste </w:t>
      </w:r>
      <w:r w:rsidRPr="00CE5FB6">
        <w:rPr>
          <w:b/>
          <w:bCs/>
          <w:lang w:val="nl-NL"/>
        </w:rPr>
        <w:t>10 jaar</w:t>
      </w:r>
      <w:r w:rsidRPr="00CE5FB6">
        <w:rPr>
          <w:lang w:val="nl-NL"/>
        </w:rPr>
        <w:t xml:space="preserve"> moeten worden gearchiveerd, hetzij bij de instelling, hetzij in een passende nationale infrastructuur. De DFG-code koppelt integriteit bovendien direct aan </w:t>
      </w:r>
      <w:r w:rsidRPr="00CE5FB6">
        <w:rPr>
          <w:b/>
          <w:bCs/>
          <w:lang w:val="nl-NL"/>
        </w:rPr>
        <w:t>gedocumenteerde afspraken over usage rights</w:t>
      </w:r>
      <w:r w:rsidRPr="00CE5FB6">
        <w:rPr>
          <w:lang w:val="nl-NL"/>
        </w:rPr>
        <w:t>, archivering en juridisch-ethische randvoorwaarden. Daarmee is research data in Duitsland niet alleen een open-science onderwerp, maar ook een expliciet onderdeel van good scientific practice. (</w:t>
      </w:r>
      <w:hyperlink r:id="rId23" w:tooltip="https://www.dfg.de/resource/blob/172098/guidelines-research-data.pdf" w:history="1">
        <w:r w:rsidRPr="00CE5FB6">
          <w:rPr>
            <w:rStyle w:val="Hyperlink"/>
            <w:lang w:val="nl-NL"/>
          </w:rPr>
          <w:t>DFG</w:t>
        </w:r>
      </w:hyperlink>
      <w:r w:rsidRPr="00CE5FB6">
        <w:rPr>
          <w:lang w:val="nl-NL"/>
        </w:rPr>
        <w:t>)</w:t>
      </w:r>
    </w:p>
    <w:p w14:paraId="2E3C28EA" w14:textId="77777777" w:rsidR="00CE5FB6" w:rsidRPr="00CE5FB6" w:rsidRDefault="00CE5FB6" w:rsidP="00CE5FB6">
      <w:pPr>
        <w:rPr>
          <w:lang w:val="nl-NL"/>
        </w:rPr>
      </w:pPr>
      <w:r w:rsidRPr="00CE5FB6">
        <w:rPr>
          <w:lang w:val="nl-NL"/>
        </w:rPr>
        <w:t xml:space="preserve">Daarboven ligt een nationale infrastructuurlaag in de vorm van de </w:t>
      </w:r>
      <w:r w:rsidRPr="00CE5FB6">
        <w:rPr>
          <w:b/>
          <w:bCs/>
          <w:lang w:val="nl-NL"/>
        </w:rPr>
        <w:t>NFDI</w:t>
      </w:r>
      <w:r w:rsidRPr="00CE5FB6">
        <w:rPr>
          <w:lang w:val="nl-NL"/>
        </w:rPr>
        <w:t xml:space="preserve">. De NFDI werd in </w:t>
      </w:r>
      <w:r w:rsidRPr="00CE5FB6">
        <w:rPr>
          <w:b/>
          <w:bCs/>
          <w:lang w:val="nl-NL"/>
        </w:rPr>
        <w:t>oktober 2020</w:t>
      </w:r>
      <w:r w:rsidRPr="00CE5FB6">
        <w:rPr>
          <w:lang w:val="nl-NL"/>
        </w:rPr>
        <w:t xml:space="preserve"> opgericht om een landelijk, interoperabel en juridisch compliant data-ecosysteem te coördineren en heeft inmiddels </w:t>
      </w:r>
      <w:r w:rsidRPr="00CE5FB6">
        <w:rPr>
          <w:b/>
          <w:bCs/>
          <w:lang w:val="nl-NL"/>
        </w:rPr>
        <w:t>meer dan 300</w:t>
      </w:r>
      <w:r w:rsidRPr="00CE5FB6">
        <w:rPr>
          <w:lang w:val="nl-NL"/>
        </w:rPr>
        <w:t xml:space="preserve"> lidinstellingen. Voor jouw project is NFDI geen misconductactor, maar wel een zeer relevante bron voor de vraag </w:t>
      </w:r>
      <w:r w:rsidRPr="00CE5FB6">
        <w:rPr>
          <w:b/>
          <w:bCs/>
          <w:lang w:val="nl-NL"/>
        </w:rPr>
        <w:t>hoe Duitsland betrouwbare onderzoekspraktijk materialiseert in data-infrastructuur</w:t>
      </w:r>
      <w:r w:rsidRPr="00CE5FB6">
        <w:rPr>
          <w:lang w:val="nl-NL"/>
        </w:rPr>
        <w:t>. (</w:t>
      </w:r>
      <w:hyperlink r:id="rId24" w:tooltip="https://www.nfdi.de/?lang=en" w:history="1">
        <w:r w:rsidRPr="00CE5FB6">
          <w:rPr>
            <w:rStyle w:val="Hyperlink"/>
            <w:lang w:val="nl-NL"/>
          </w:rPr>
          <w:t>NFDI</w:t>
        </w:r>
      </w:hyperlink>
      <w:r w:rsidRPr="00CE5FB6">
        <w:rPr>
          <w:lang w:val="nl-NL"/>
        </w:rPr>
        <w:t>)</w:t>
      </w:r>
    </w:p>
    <w:p w14:paraId="54FA5A32" w14:textId="77777777" w:rsidR="00CE5FB6" w:rsidRPr="00CE5FB6" w:rsidRDefault="00CE5FB6" w:rsidP="00CE5FB6">
      <w:pPr>
        <w:rPr>
          <w:b/>
          <w:bCs/>
          <w:lang w:val="nl-NL"/>
        </w:rPr>
      </w:pPr>
      <w:r w:rsidRPr="00CE5FB6">
        <w:rPr>
          <w:b/>
          <w:bCs/>
          <w:lang w:val="nl-NL"/>
        </w:rPr>
        <w:t>Security-relevant research, dual use en export control</w:t>
      </w:r>
    </w:p>
    <w:p w14:paraId="23630B0E" w14:textId="77777777" w:rsidR="00CE5FB6" w:rsidRPr="00CE5FB6" w:rsidRDefault="00CE5FB6" w:rsidP="00CE5FB6">
      <w:pPr>
        <w:rPr>
          <w:lang w:val="nl-NL"/>
        </w:rPr>
      </w:pPr>
      <w:r w:rsidRPr="00CE5FB6">
        <w:rPr>
          <w:lang w:val="nl-NL"/>
        </w:rPr>
        <w:t xml:space="preserve">Duitsland heeft daarnaast een duidelijk zichtbare </w:t>
      </w:r>
      <w:r w:rsidRPr="00CE5FB6">
        <w:rPr>
          <w:b/>
          <w:bCs/>
          <w:lang w:val="nl-NL"/>
        </w:rPr>
        <w:t>security / dual-use laag</w:t>
      </w:r>
      <w:r w:rsidRPr="00CE5FB6">
        <w:rPr>
          <w:lang w:val="nl-NL"/>
        </w:rPr>
        <w:t xml:space="preserve">. De DFG zegt dat zij samen met </w:t>
      </w:r>
      <w:r w:rsidRPr="00CE5FB6">
        <w:rPr>
          <w:b/>
          <w:bCs/>
          <w:lang w:val="nl-NL"/>
        </w:rPr>
        <w:t>Leopoldina</w:t>
      </w:r>
      <w:r w:rsidRPr="00CE5FB6">
        <w:rPr>
          <w:lang w:val="nl-NL"/>
        </w:rPr>
        <w:t xml:space="preserve"> aanbevelingen heeft gepubliceerd en een </w:t>
      </w:r>
      <w:r w:rsidRPr="00CE5FB6">
        <w:rPr>
          <w:b/>
          <w:bCs/>
          <w:lang w:val="nl-NL"/>
        </w:rPr>
        <w:t>Joint Committee on the Handling of Security-Relevant Research</w:t>
      </w:r>
      <w:r w:rsidRPr="00CE5FB6">
        <w:rPr>
          <w:lang w:val="nl-NL"/>
        </w:rPr>
        <w:t xml:space="preserve"> heeft opgericht. In de DFG-code en proposal guidance wordt expliciet aandacht gevraagd voor </w:t>
      </w:r>
      <w:r w:rsidRPr="00CE5FB6">
        <w:rPr>
          <w:b/>
          <w:bCs/>
          <w:lang w:val="nl-NL"/>
        </w:rPr>
        <w:t>misbruikrisico’s</w:t>
      </w:r>
      <w:r w:rsidRPr="00CE5FB6">
        <w:rPr>
          <w:lang w:val="nl-NL"/>
        </w:rPr>
        <w:t xml:space="preserve">, dual use en security-relevante aspecten van onderzoek. </w:t>
      </w:r>
      <w:r w:rsidRPr="00CE5FB6">
        <w:rPr>
          <w:b/>
          <w:bCs/>
          <w:lang w:val="nl-NL"/>
        </w:rPr>
        <w:t>BAFA</w:t>
      </w:r>
      <w:r w:rsidRPr="00CE5FB6">
        <w:rPr>
          <w:lang w:val="nl-NL"/>
        </w:rPr>
        <w:t xml:space="preserve"> vult </w:t>
      </w:r>
      <w:r w:rsidRPr="00CE5FB6">
        <w:rPr>
          <w:lang w:val="nl-NL"/>
        </w:rPr>
        <w:lastRenderedPageBreak/>
        <w:t>dat aan vanuit het exportcontrolerecht en heeft zelfs voor professoren, wetenschappers en onderzoekspersoneel aan universiteiten en niet-universitaire instellingen gericht materiaal ontwikkeld over de toepassing van export control law in academia. BAFA benadrukt daarbij uitdrukkelijk dat wetenschapsvrijheid grondwettelijk beschermd is, maar dat onderzoek desondanks aan export control moet voldoen. (</w:t>
      </w:r>
      <w:hyperlink r:id="rId25" w:tooltip="https://www.dfg.de/en/basics-topics/basics-and-principles-of-funding/security-relevant-research" w:history="1">
        <w:r w:rsidRPr="00CE5FB6">
          <w:rPr>
            <w:rStyle w:val="Hyperlink"/>
            <w:lang w:val="nl-NL"/>
          </w:rPr>
          <w:t>DFG</w:t>
        </w:r>
      </w:hyperlink>
      <w:r w:rsidRPr="00CE5FB6">
        <w:rPr>
          <w:lang w:val="nl-NL"/>
        </w:rPr>
        <w:t>)</w:t>
      </w:r>
    </w:p>
    <w:p w14:paraId="29ABD83A" w14:textId="77777777" w:rsidR="00CE5FB6" w:rsidRPr="00CE5FB6" w:rsidRDefault="00CE5FB6" w:rsidP="00CE5FB6">
      <w:pPr>
        <w:rPr>
          <w:lang w:val="nl-NL"/>
        </w:rPr>
      </w:pPr>
      <w:r w:rsidRPr="00CE5FB6">
        <w:rPr>
          <w:lang w:val="nl-NL"/>
        </w:rPr>
        <w:t xml:space="preserve">Deze laag is belangrijk omdat zij laat zien dat “integriteit” in Duitsland niet ophoudt bij plagiaat of authorship. In de institutionele praktijk schuiven er thema’s bij als </w:t>
      </w:r>
      <w:r w:rsidRPr="00CE5FB6">
        <w:rPr>
          <w:b/>
          <w:bCs/>
          <w:lang w:val="nl-NL"/>
        </w:rPr>
        <w:t>dual use, international security, legal review en export compliance</w:t>
      </w:r>
      <w:r w:rsidRPr="00CE5FB6">
        <w:rPr>
          <w:lang w:val="nl-NL"/>
        </w:rPr>
        <w:t xml:space="preserve">. Dat maakt Duitsland methodologisch interessant: het systeem heeft een heel duidelijke kern, maar ook een brede </w:t>
      </w:r>
      <w:r w:rsidRPr="00CE5FB6">
        <w:rPr>
          <w:b/>
          <w:bCs/>
          <w:lang w:val="nl-NL"/>
        </w:rPr>
        <w:t>veiligheidsrand</w:t>
      </w:r>
      <w:r w:rsidRPr="00CE5FB6">
        <w:rPr>
          <w:lang w:val="nl-NL"/>
        </w:rPr>
        <w:t xml:space="preserve"> die via andere rechtsgebieden het onderzoeksproces mede vormgeeft. (</w:t>
      </w:r>
      <w:hyperlink r:id="rId26" w:tooltip="https://www.uni-muenster.de/Verwaltung/en/orga/ethik.html" w:history="1">
        <w:r w:rsidRPr="00CE5FB6">
          <w:rPr>
            <w:rStyle w:val="Hyperlink"/>
            <w:lang w:val="nl-NL"/>
          </w:rPr>
          <w:t>University of Münster</w:t>
        </w:r>
      </w:hyperlink>
      <w:r w:rsidRPr="00CE5FB6">
        <w:rPr>
          <w:lang w:val="nl-NL"/>
        </w:rPr>
        <w:t>)</w:t>
      </w:r>
    </w:p>
    <w:p w14:paraId="4092EF21" w14:textId="77777777" w:rsidR="00CE5FB6" w:rsidRPr="00CE5FB6" w:rsidRDefault="00CE5FB6" w:rsidP="00CE5FB6">
      <w:pPr>
        <w:rPr>
          <w:b/>
          <w:bCs/>
          <w:lang w:val="nl-NL"/>
        </w:rPr>
      </w:pPr>
      <w:r w:rsidRPr="00CE5FB6">
        <w:rPr>
          <w:b/>
          <w:bCs/>
          <w:lang w:val="nl-NL"/>
        </w:rPr>
        <w:t>Historische en meta-documenten</w:t>
      </w:r>
    </w:p>
    <w:p w14:paraId="5FEC9875" w14:textId="77777777" w:rsidR="00CE5FB6" w:rsidRPr="00CE5FB6" w:rsidRDefault="00CE5FB6" w:rsidP="00CE5FB6">
      <w:pPr>
        <w:rPr>
          <w:lang w:val="nl-NL"/>
        </w:rPr>
      </w:pPr>
      <w:r w:rsidRPr="00CE5FB6">
        <w:rPr>
          <w:lang w:val="nl-NL"/>
        </w:rPr>
        <w:t xml:space="preserve">Voor de historische en reflectieve laag zou ik in Duitsland zeker drie lijnen bewaren. Eerst de </w:t>
      </w:r>
      <w:r w:rsidRPr="00CE5FB6">
        <w:rPr>
          <w:b/>
          <w:bCs/>
          <w:lang w:val="nl-NL"/>
        </w:rPr>
        <w:t>DFG/HRK-traditie</w:t>
      </w:r>
      <w:r w:rsidRPr="00CE5FB6">
        <w:rPr>
          <w:lang w:val="nl-NL"/>
        </w:rPr>
        <w:t xml:space="preserve"> vanaf </w:t>
      </w:r>
      <w:r w:rsidRPr="00CE5FB6">
        <w:rPr>
          <w:b/>
          <w:bCs/>
          <w:lang w:val="nl-NL"/>
        </w:rPr>
        <w:t>1998</w:t>
      </w:r>
      <w:r w:rsidRPr="00CE5FB6">
        <w:rPr>
          <w:lang w:val="nl-NL"/>
        </w:rPr>
        <w:t xml:space="preserve">, omdat die laat zien hoe good scientific practice lang vóór de huidige DFG-code al werd vormgegeven. Daarna de </w:t>
      </w:r>
      <w:r w:rsidRPr="00CE5FB6">
        <w:rPr>
          <w:b/>
          <w:bCs/>
          <w:lang w:val="nl-NL"/>
        </w:rPr>
        <w:t>Wissenschaftsrat-aanbevelingen over academic integrity uit 2015</w:t>
      </w:r>
      <w:r w:rsidRPr="00CE5FB6">
        <w:rPr>
          <w:lang w:val="nl-NL"/>
        </w:rPr>
        <w:t xml:space="preserve">, die nadrukkelijk spreken over prevention structures, suspicion handling en ook de “grey areas” van questionable practices. Ten slotte de recente institutionele hulpmiddelen zoals de </w:t>
      </w:r>
      <w:r w:rsidRPr="00CE5FB6">
        <w:rPr>
          <w:b/>
          <w:bCs/>
          <w:lang w:val="nl-NL"/>
        </w:rPr>
        <w:t>HRK Model Statutes</w:t>
      </w:r>
      <w:r w:rsidRPr="00CE5FB6">
        <w:rPr>
          <w:lang w:val="nl-NL"/>
        </w:rPr>
        <w:t xml:space="preserve"> van </w:t>
      </w:r>
      <w:r w:rsidRPr="00CE5FB6">
        <w:rPr>
          <w:b/>
          <w:bCs/>
          <w:lang w:val="nl-NL"/>
        </w:rPr>
        <w:t>2022</w:t>
      </w:r>
      <w:r w:rsidRPr="00CE5FB6">
        <w:rPr>
          <w:lang w:val="nl-NL"/>
        </w:rPr>
        <w:t xml:space="preserve"> en het OWID-verhaal, inclusief de naamsverandering van </w:t>
      </w:r>
      <w:r w:rsidRPr="00CE5FB6">
        <w:rPr>
          <w:b/>
          <w:bCs/>
          <w:lang w:val="nl-NL"/>
        </w:rPr>
        <w:t>German Research Ombudsman</w:t>
      </w:r>
      <w:r w:rsidRPr="00CE5FB6">
        <w:rPr>
          <w:lang w:val="nl-NL"/>
        </w:rPr>
        <w:t xml:space="preserve"> naar </w:t>
      </w:r>
      <w:r w:rsidRPr="00CE5FB6">
        <w:rPr>
          <w:b/>
          <w:bCs/>
          <w:lang w:val="nl-NL"/>
        </w:rPr>
        <w:t>Ombuds Committee for Research Integrity in Germany</w:t>
      </w:r>
      <w:r w:rsidRPr="00CE5FB6">
        <w:rPr>
          <w:lang w:val="nl-NL"/>
        </w:rPr>
        <w:t xml:space="preserve"> in </w:t>
      </w:r>
      <w:r w:rsidRPr="00CE5FB6">
        <w:rPr>
          <w:b/>
          <w:bCs/>
          <w:lang w:val="nl-NL"/>
        </w:rPr>
        <w:t>2023</w:t>
      </w:r>
      <w:r w:rsidRPr="00CE5FB6">
        <w:rPr>
          <w:lang w:val="nl-NL"/>
        </w:rPr>
        <w:t xml:space="preserve">. Samen laten deze documenten zien dat Duitsland een langlopend traject van </w:t>
      </w:r>
      <w:r w:rsidRPr="00CE5FB6">
        <w:rPr>
          <w:b/>
          <w:bCs/>
          <w:lang w:val="nl-NL"/>
        </w:rPr>
        <w:t>wetenschappelijke zelfcontrole, professionalisering en organisatorische verdichting</w:t>
      </w:r>
      <w:r w:rsidRPr="00CE5FB6">
        <w:rPr>
          <w:lang w:val="nl-NL"/>
        </w:rPr>
        <w:t xml:space="preserve"> heeft doorgemaakt. (</w:t>
      </w:r>
      <w:hyperlink r:id="rId27" w:tooltip="https://www.hrk.de/resolutions-publications/resolutions/beschluss/detail/good-scientific-practice-at-german-higher-education-institutions/" w:history="1">
        <w:r w:rsidRPr="00CE5FB6">
          <w:rPr>
            <w:rStyle w:val="Hyperlink"/>
            <w:lang w:val="nl-NL"/>
          </w:rPr>
          <w:t>HRK</w:t>
        </w:r>
      </w:hyperlink>
      <w:r w:rsidRPr="00CE5FB6">
        <w:rPr>
          <w:lang w:val="nl-NL"/>
        </w:rPr>
        <w:t>)</w:t>
      </w:r>
    </w:p>
    <w:p w14:paraId="12A1A7AF" w14:textId="77777777" w:rsidR="00CE5FB6" w:rsidRPr="00CE5FB6" w:rsidRDefault="00CE5FB6" w:rsidP="00CE5FB6">
      <w:pPr>
        <w:rPr>
          <w:b/>
          <w:bCs/>
          <w:lang w:val="nl-NL"/>
        </w:rPr>
      </w:pPr>
      <w:r w:rsidRPr="00CE5FB6">
        <w:rPr>
          <w:b/>
          <w:bCs/>
          <w:lang w:val="nl-NL"/>
        </w:rPr>
        <w:t>Hoe ik Duitsland voorlopig zou modelleren</w:t>
      </w:r>
    </w:p>
    <w:p w14:paraId="5EAA9C9E" w14:textId="77777777" w:rsidR="00CE5FB6" w:rsidRPr="00CE5FB6" w:rsidRDefault="00CE5FB6" w:rsidP="00CE5FB6">
      <w:pPr>
        <w:rPr>
          <w:lang w:val="nl-NL"/>
        </w:rPr>
      </w:pPr>
      <w:r w:rsidRPr="00CE5FB6">
        <w:rPr>
          <w:lang w:val="nl-NL"/>
        </w:rPr>
        <w:t xml:space="preserve">Mijn voorlopige model voor Duitsland is dus: </w:t>
      </w:r>
      <w:r w:rsidRPr="00CE5FB6">
        <w:rPr>
          <w:b/>
          <w:bCs/>
          <w:lang w:val="nl-NL"/>
        </w:rPr>
        <w:t>grondwet + DFG-code + federale implementatie + lokale en organisatiegebonden procedures + parallelle sectorale ethics regimes</w:t>
      </w:r>
      <w:r w:rsidRPr="00CE5FB6">
        <w:rPr>
          <w:lang w:val="nl-NL"/>
        </w:rPr>
        <w:t xml:space="preserve">. De nationaal zichtbare kern zit in de DFG-code, OWID en de DFG-procedure voor DFG-gerelateerde misconduct. De feitelijke uitvoering van heel veel integriteitswerk zit bij universiteiten, faculteiten en grote onderzoeksorganisaties. Daarnaast bestaan aparte, zwaar gereguleerde regimes voor </w:t>
      </w:r>
      <w:r w:rsidRPr="00CE5FB6">
        <w:rPr>
          <w:b/>
          <w:bCs/>
          <w:lang w:val="nl-NL"/>
        </w:rPr>
        <w:t>klinische studies</w:t>
      </w:r>
      <w:r w:rsidRPr="00CE5FB6">
        <w:rPr>
          <w:lang w:val="nl-NL"/>
        </w:rPr>
        <w:t xml:space="preserve">, </w:t>
      </w:r>
      <w:r w:rsidRPr="00CE5FB6">
        <w:rPr>
          <w:b/>
          <w:bCs/>
          <w:lang w:val="nl-NL"/>
        </w:rPr>
        <w:t>ethische toetsing van mensgebonden onderzoek</w:t>
      </w:r>
      <w:r w:rsidRPr="00CE5FB6">
        <w:rPr>
          <w:lang w:val="nl-NL"/>
        </w:rPr>
        <w:t xml:space="preserve">, </w:t>
      </w:r>
      <w:r w:rsidRPr="00CE5FB6">
        <w:rPr>
          <w:b/>
          <w:bCs/>
          <w:lang w:val="nl-NL"/>
        </w:rPr>
        <w:t>dierenonderzoek</w:t>
      </w:r>
      <w:r w:rsidRPr="00CE5FB6">
        <w:rPr>
          <w:lang w:val="nl-NL"/>
        </w:rPr>
        <w:t xml:space="preserve">, </w:t>
      </w:r>
      <w:r w:rsidRPr="00CE5FB6">
        <w:rPr>
          <w:b/>
          <w:bCs/>
          <w:lang w:val="nl-NL"/>
        </w:rPr>
        <w:t>data governance</w:t>
      </w:r>
      <w:r w:rsidRPr="00CE5FB6">
        <w:rPr>
          <w:lang w:val="nl-NL"/>
        </w:rPr>
        <w:t xml:space="preserve"> en </w:t>
      </w:r>
      <w:r w:rsidRPr="00CE5FB6">
        <w:rPr>
          <w:b/>
          <w:bCs/>
          <w:lang w:val="nl-NL"/>
        </w:rPr>
        <w:t>security-relevant research</w:t>
      </w:r>
      <w:r w:rsidRPr="00CE5FB6">
        <w:rPr>
          <w:lang w:val="nl-NL"/>
        </w:rPr>
        <w:t xml:space="preserve">. Duitsland is daarmee waarschijnlijk het meest </w:t>
      </w:r>
      <w:r w:rsidRPr="00CE5FB6">
        <w:rPr>
          <w:b/>
          <w:bCs/>
          <w:lang w:val="nl-NL"/>
        </w:rPr>
        <w:t>gelaagde en institutioneel gedifferentieerde</w:t>
      </w:r>
      <w:r w:rsidRPr="00CE5FB6">
        <w:rPr>
          <w:lang w:val="nl-NL"/>
        </w:rPr>
        <w:t xml:space="preserve"> landschap van de landen die we tot nu toe hebben bekeken. (</w:t>
      </w:r>
      <w:hyperlink r:id="rId28" w:tooltip="https://www.gesetze-im-internet.de/englisch_gg/englisch_gg.html" w:history="1">
        <w:r w:rsidRPr="00CE5FB6">
          <w:rPr>
            <w:rStyle w:val="Hyperlink"/>
            <w:lang w:val="nl-NL"/>
          </w:rPr>
          <w:t>Gesetze im Internet</w:t>
        </w:r>
      </w:hyperlink>
      <w:r w:rsidRPr="00CE5FB6">
        <w:rPr>
          <w:lang w:val="nl-NL"/>
        </w:rPr>
        <w:t>)</w:t>
      </w:r>
    </w:p>
    <w:p w14:paraId="52475481" w14:textId="77777777" w:rsidR="00CE5FB6" w:rsidRPr="00CE5FB6" w:rsidRDefault="00CE5FB6" w:rsidP="00CE5FB6">
      <w:pPr>
        <w:rPr>
          <w:b/>
          <w:bCs/>
          <w:lang w:val="nl-NL"/>
        </w:rPr>
      </w:pPr>
      <w:r w:rsidRPr="00CE5FB6">
        <w:rPr>
          <w:b/>
          <w:bCs/>
          <w:lang w:val="nl-NL"/>
        </w:rPr>
        <w:t>Welke documentlabels Duitsland nu oplevert</w:t>
      </w:r>
    </w:p>
    <w:p w14:paraId="1581C36A" w14:textId="77777777" w:rsidR="00CE5FB6" w:rsidRPr="00CE5FB6" w:rsidRDefault="00CE5FB6" w:rsidP="00CE5FB6">
      <w:pPr>
        <w:rPr>
          <w:lang w:val="nl-NL"/>
        </w:rPr>
      </w:pPr>
      <w:r w:rsidRPr="00CE5FB6">
        <w:rPr>
          <w:lang w:val="nl-NL"/>
        </w:rPr>
        <w:t xml:space="preserve">Voor je corpus zou ik Duitsland voorlopig opdelen in deze documentsoorten. Een eerste laag is </w:t>
      </w:r>
      <w:r w:rsidRPr="00CE5FB6">
        <w:rPr>
          <w:b/>
          <w:bCs/>
          <w:lang w:val="nl-NL"/>
        </w:rPr>
        <w:t>constitutive law</w:t>
      </w:r>
      <w:r w:rsidRPr="00CE5FB6">
        <w:rPr>
          <w:lang w:val="nl-NL"/>
        </w:rPr>
        <w:t xml:space="preserve">: Grundgesetz, relevante Landes- en federale uitvoeringsregels, </w:t>
      </w:r>
      <w:r w:rsidRPr="00CE5FB6">
        <w:rPr>
          <w:lang w:val="nl-NL"/>
        </w:rPr>
        <w:lastRenderedPageBreak/>
        <w:t xml:space="preserve">Higher Education law/ordinance en sectorwetten. Een tweede laag is </w:t>
      </w:r>
      <w:r w:rsidRPr="00CE5FB6">
        <w:rPr>
          <w:b/>
          <w:bCs/>
          <w:lang w:val="nl-NL"/>
        </w:rPr>
        <w:t>national self-regulation</w:t>
      </w:r>
      <w:r w:rsidRPr="00CE5FB6">
        <w:rPr>
          <w:lang w:val="nl-NL"/>
        </w:rPr>
        <w:t xml:space="preserve">: DFG-code, DFG research-integrity portal, OWID-principles, DFG procedural rules. Een derde laag is </w:t>
      </w:r>
      <w:r w:rsidRPr="00CE5FB6">
        <w:rPr>
          <w:b/>
          <w:bCs/>
          <w:lang w:val="nl-NL"/>
        </w:rPr>
        <w:t>institutional statutes and ombuds rules</w:t>
      </w:r>
      <w:r w:rsidRPr="00CE5FB6">
        <w:rPr>
          <w:lang w:val="nl-NL"/>
        </w:rPr>
        <w:t xml:space="preserve">: universiteits- en organisatie-eigen Good Scientific Practice Satzungen, ombudsrichtlijnen en lokale procedures. Een vierde laag is </w:t>
      </w:r>
      <w:r w:rsidRPr="00CE5FB6">
        <w:rPr>
          <w:b/>
          <w:bCs/>
          <w:lang w:val="nl-NL"/>
        </w:rPr>
        <w:t>case and sanctions practice</w:t>
      </w:r>
      <w:r w:rsidRPr="00CE5FB6">
        <w:rPr>
          <w:lang w:val="nl-NL"/>
        </w:rPr>
        <w:t xml:space="preserve">: DFG Committee of Inquiry / Joint Committee-materialen en waar beschikbaar lokale misconductprocedures. Een vijfde laag is </w:t>
      </w:r>
      <w:r w:rsidRPr="00CE5FB6">
        <w:rPr>
          <w:b/>
          <w:bCs/>
          <w:lang w:val="nl-NL"/>
        </w:rPr>
        <w:t>ethics-review infrastructure</w:t>
      </w:r>
      <w:r w:rsidRPr="00CE5FB6">
        <w:rPr>
          <w:lang w:val="nl-NL"/>
        </w:rPr>
        <w:t xml:space="preserve">: medische ethics committees, BfArM/PEI/Tukija-achtige routes, niet-medische faculty committees, animal authorization, dual-use committees. Een zesde laag is </w:t>
      </w:r>
      <w:r w:rsidRPr="00CE5FB6">
        <w:rPr>
          <w:b/>
          <w:bCs/>
          <w:lang w:val="nl-NL"/>
        </w:rPr>
        <w:t>boundary governance</w:t>
      </w:r>
      <w:r w:rsidRPr="00CE5FB6">
        <w:rPr>
          <w:lang w:val="nl-NL"/>
        </w:rPr>
        <w:t xml:space="preserve">: research data, usage rights, GDPR/data protection, export control, security-relevant research. Een zevende laag is </w:t>
      </w:r>
      <w:r w:rsidRPr="00CE5FB6">
        <w:rPr>
          <w:b/>
          <w:bCs/>
          <w:lang w:val="nl-NL"/>
        </w:rPr>
        <w:t>historical and policy reflection</w:t>
      </w:r>
      <w:r w:rsidRPr="00CE5FB6">
        <w:rPr>
          <w:lang w:val="nl-NL"/>
        </w:rPr>
        <w:t>: HRK, Wissenschaftsrat, oudere DFG-memoranda. (</w:t>
      </w:r>
      <w:hyperlink r:id="rId29" w:tooltip="https://www.dfg.de/en/basics-topics/basics-and-principles-of-funding/good-research-practice/code-of-conduct" w:history="1">
        <w:r w:rsidRPr="00CE5FB6">
          <w:rPr>
            <w:rStyle w:val="Hyperlink"/>
            <w:lang w:val="nl-NL"/>
          </w:rPr>
          <w:t>DFG</w:t>
        </w:r>
      </w:hyperlink>
      <w:r w:rsidRPr="00CE5FB6">
        <w:rPr>
          <w:lang w:val="nl-NL"/>
        </w:rPr>
        <w:t>)</w:t>
      </w:r>
    </w:p>
    <w:p w14:paraId="2E327839" w14:textId="77777777" w:rsidR="00CE5FB6" w:rsidRPr="00CE5FB6" w:rsidRDefault="00CE5FB6" w:rsidP="00CE5FB6">
      <w:pPr>
        <w:rPr>
          <w:b/>
          <w:bCs/>
          <w:lang w:val="nl-NL"/>
        </w:rPr>
      </w:pPr>
      <w:r w:rsidRPr="00CE5FB6">
        <w:rPr>
          <w:b/>
          <w:bCs/>
          <w:lang w:val="nl-NL"/>
        </w:rPr>
        <w:t>Mijn voorlopige kernset om voor Duitsland te verzamelen</w:t>
      </w:r>
    </w:p>
    <w:p w14:paraId="613AFDD1" w14:textId="77777777" w:rsidR="00CE5FB6" w:rsidRPr="00CE5FB6" w:rsidRDefault="00CE5FB6" w:rsidP="00CE5FB6">
      <w:pPr>
        <w:rPr>
          <w:lang w:val="nl-NL"/>
        </w:rPr>
      </w:pPr>
      <w:r w:rsidRPr="00CE5FB6">
        <w:rPr>
          <w:lang w:val="nl-NL"/>
        </w:rPr>
        <w:t xml:space="preserve">Als ik nu meteen een Duitse map zou opbouwen, zou ik beginnen met: de </w:t>
      </w:r>
      <w:r w:rsidRPr="00CE5FB6">
        <w:rPr>
          <w:b/>
          <w:bCs/>
          <w:lang w:val="nl-NL"/>
        </w:rPr>
        <w:t>Grundgesetz art. 5(3)</w:t>
      </w:r>
      <w:r w:rsidRPr="00CE5FB6">
        <w:rPr>
          <w:lang w:val="nl-NL"/>
        </w:rPr>
        <w:t xml:space="preserve">, de </w:t>
      </w:r>
      <w:r w:rsidRPr="00CE5FB6">
        <w:rPr>
          <w:b/>
          <w:bCs/>
          <w:lang w:val="nl-NL"/>
        </w:rPr>
        <w:t>DFG-code 2019</w:t>
      </w:r>
      <w:r w:rsidRPr="00CE5FB6">
        <w:rPr>
          <w:lang w:val="nl-NL"/>
        </w:rPr>
        <w:t xml:space="preserve">, de pagina’s over </w:t>
      </w:r>
      <w:r w:rsidRPr="00CE5FB6">
        <w:rPr>
          <w:b/>
          <w:bCs/>
          <w:lang w:val="nl-NL"/>
        </w:rPr>
        <w:t>DFG implementation</w:t>
      </w:r>
      <w:r w:rsidRPr="00CE5FB6">
        <w:rPr>
          <w:lang w:val="nl-NL"/>
        </w:rPr>
        <w:t xml:space="preserve">, </w:t>
      </w:r>
      <w:r w:rsidRPr="00CE5FB6">
        <w:rPr>
          <w:b/>
          <w:bCs/>
          <w:lang w:val="nl-NL"/>
        </w:rPr>
        <w:t>OWID</w:t>
      </w:r>
      <w:r w:rsidRPr="00CE5FB6">
        <w:rPr>
          <w:lang w:val="nl-NL"/>
        </w:rPr>
        <w:t xml:space="preserve">, en de </w:t>
      </w:r>
      <w:r w:rsidRPr="00CE5FB6">
        <w:rPr>
          <w:b/>
          <w:bCs/>
          <w:lang w:val="nl-NL"/>
        </w:rPr>
        <w:t>DFG Rules of Procedure 2024</w:t>
      </w:r>
      <w:r w:rsidRPr="00CE5FB6">
        <w:rPr>
          <w:lang w:val="nl-NL"/>
        </w:rPr>
        <w:t xml:space="preserve">; daarna de </w:t>
      </w:r>
      <w:r w:rsidRPr="00CE5FB6">
        <w:rPr>
          <w:b/>
          <w:bCs/>
          <w:lang w:val="nl-NL"/>
        </w:rPr>
        <w:t>HRK model statutes</w:t>
      </w:r>
      <w:r w:rsidRPr="00CE5FB6">
        <w:rPr>
          <w:lang w:val="nl-NL"/>
        </w:rPr>
        <w:t xml:space="preserve"> en de </w:t>
      </w:r>
      <w:r w:rsidRPr="00CE5FB6">
        <w:rPr>
          <w:b/>
          <w:bCs/>
          <w:lang w:val="nl-NL"/>
        </w:rPr>
        <w:t>Wissenschaftsrat recommendations 2015</w:t>
      </w:r>
      <w:r w:rsidRPr="00CE5FB6">
        <w:rPr>
          <w:lang w:val="nl-NL"/>
        </w:rPr>
        <w:t xml:space="preserve">; vervolgens de kernpagina’s van </w:t>
      </w:r>
      <w:r w:rsidRPr="00CE5FB6">
        <w:rPr>
          <w:b/>
          <w:bCs/>
          <w:lang w:val="nl-NL"/>
        </w:rPr>
        <w:t>Helmholtz, Leibniz, Max Planck en Fraunhofer</w:t>
      </w:r>
      <w:r w:rsidRPr="00CE5FB6">
        <w:rPr>
          <w:lang w:val="nl-NL"/>
        </w:rPr>
        <w:t xml:space="preserve"> over good scientific practice; daarna de medische route via </w:t>
      </w:r>
      <w:r w:rsidRPr="00CE5FB6">
        <w:rPr>
          <w:b/>
          <w:bCs/>
          <w:lang w:val="nl-NL"/>
        </w:rPr>
        <w:t>BfArM</w:t>
      </w:r>
      <w:r w:rsidRPr="00CE5FB6">
        <w:rPr>
          <w:lang w:val="nl-NL"/>
        </w:rPr>
        <w:t xml:space="preserve">, </w:t>
      </w:r>
      <w:r w:rsidRPr="00CE5FB6">
        <w:rPr>
          <w:b/>
          <w:bCs/>
          <w:lang w:val="nl-NL"/>
        </w:rPr>
        <w:t>PEI</w:t>
      </w:r>
      <w:r w:rsidRPr="00CE5FB6">
        <w:rPr>
          <w:lang w:val="nl-NL"/>
        </w:rPr>
        <w:t xml:space="preserve">, </w:t>
      </w:r>
      <w:r w:rsidRPr="00CE5FB6">
        <w:rPr>
          <w:b/>
          <w:bCs/>
          <w:lang w:val="nl-NL"/>
        </w:rPr>
        <w:t>DRKS</w:t>
      </w:r>
      <w:r w:rsidRPr="00CE5FB6">
        <w:rPr>
          <w:lang w:val="nl-NL"/>
        </w:rPr>
        <w:t xml:space="preserve"> en de ethics-committee basis; vervolgens enkele niet-medische institutionele voorbeelden zoals </w:t>
      </w:r>
      <w:r w:rsidRPr="00CE5FB6">
        <w:rPr>
          <w:b/>
          <w:bCs/>
          <w:lang w:val="nl-NL"/>
        </w:rPr>
        <w:t>TUM, LMU, Heidelberg, Münster en Cologne</w:t>
      </w:r>
      <w:r w:rsidRPr="00CE5FB6">
        <w:rPr>
          <w:lang w:val="nl-NL"/>
        </w:rPr>
        <w:t xml:space="preserve">; en ten slotte aparte mappen voor </w:t>
      </w:r>
      <w:r w:rsidRPr="00CE5FB6">
        <w:rPr>
          <w:b/>
          <w:bCs/>
          <w:lang w:val="nl-NL"/>
        </w:rPr>
        <w:t>animal research</w:t>
      </w:r>
      <w:r w:rsidRPr="00CE5FB6">
        <w:rPr>
          <w:lang w:val="nl-NL"/>
        </w:rPr>
        <w:t xml:space="preserve">, </w:t>
      </w:r>
      <w:r w:rsidRPr="00CE5FB6">
        <w:rPr>
          <w:b/>
          <w:bCs/>
          <w:lang w:val="nl-NL"/>
        </w:rPr>
        <w:t>research data/NFDI</w:t>
      </w:r>
      <w:r w:rsidRPr="00CE5FB6">
        <w:rPr>
          <w:lang w:val="nl-NL"/>
        </w:rPr>
        <w:t xml:space="preserve"> en </w:t>
      </w:r>
      <w:r w:rsidRPr="00CE5FB6">
        <w:rPr>
          <w:b/>
          <w:bCs/>
          <w:lang w:val="nl-NL"/>
        </w:rPr>
        <w:t>dual use/export control</w:t>
      </w:r>
      <w:r w:rsidRPr="00CE5FB6">
        <w:rPr>
          <w:lang w:val="nl-NL"/>
        </w:rPr>
        <w:t>. Met alleen dat pakket heb je al een heel sterk, breed en bewijsbaar beeld van het Duitse systeem. (</w:t>
      </w:r>
      <w:hyperlink r:id="rId30" w:tooltip="https://www.gesetze-im-internet.de/englisch_gg/englisch_gg.html" w:history="1">
        <w:r w:rsidRPr="00CE5FB6">
          <w:rPr>
            <w:rStyle w:val="Hyperlink"/>
            <w:lang w:val="nl-NL"/>
          </w:rPr>
          <w:t>Gesetze im Internet</w:t>
        </w:r>
      </w:hyperlink>
      <w:r w:rsidRPr="00CE5FB6">
        <w:rPr>
          <w:lang w:val="nl-NL"/>
        </w:rPr>
        <w:t>)</w:t>
      </w:r>
    </w:p>
    <w:p w14:paraId="2F283656" w14:textId="77777777" w:rsidR="00CE5FB6" w:rsidRPr="00CE5FB6" w:rsidRDefault="00CE5FB6" w:rsidP="00CE5FB6">
      <w:pPr>
        <w:rPr>
          <w:lang w:val="nl-NL"/>
        </w:rPr>
      </w:pPr>
      <w:r w:rsidRPr="00CE5FB6">
        <w:rPr>
          <w:lang w:val="nl-NL"/>
        </w:rPr>
        <w:t xml:space="preserve">De meest waardevolle vervolgstap is nu waarschijnlijk om </w:t>
      </w:r>
      <w:r w:rsidRPr="00CE5FB6">
        <w:rPr>
          <w:b/>
          <w:bCs/>
          <w:lang w:val="nl-NL"/>
        </w:rPr>
        <w:t>Duitsland naast Nederland, Denemarken, Noorwegen, Finland en Zweden te leggen op precies deze documentlabels</w:t>
      </w:r>
      <w:r w:rsidRPr="00CE5FB6">
        <w:rPr>
          <w:lang w:val="nl-NL"/>
        </w:rPr>
        <w:t>: nationale kern, beroep/ombuds, lokale uitvoering, ethische toetsing, financieringsvoorwaarden en boundary regimes.</w:t>
      </w:r>
    </w:p>
    <w:p w14:paraId="106891C2"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F7"/>
    <w:rsid w:val="001E528E"/>
    <w:rsid w:val="0023427A"/>
    <w:rsid w:val="002551AA"/>
    <w:rsid w:val="00273D29"/>
    <w:rsid w:val="002E5AD9"/>
    <w:rsid w:val="0036154D"/>
    <w:rsid w:val="00392002"/>
    <w:rsid w:val="00394BCE"/>
    <w:rsid w:val="003C041F"/>
    <w:rsid w:val="00407C7C"/>
    <w:rsid w:val="004E2765"/>
    <w:rsid w:val="006846CA"/>
    <w:rsid w:val="00703CEF"/>
    <w:rsid w:val="007A24AA"/>
    <w:rsid w:val="008B444C"/>
    <w:rsid w:val="008B67AA"/>
    <w:rsid w:val="009A628C"/>
    <w:rsid w:val="009F306F"/>
    <w:rsid w:val="00A96AF6"/>
    <w:rsid w:val="00AC73F7"/>
    <w:rsid w:val="00C51E99"/>
    <w:rsid w:val="00C85560"/>
    <w:rsid w:val="00CE5FB6"/>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CF4E"/>
  <w15:chartTrackingRefBased/>
  <w15:docId w15:val="{15F60D6E-2628-4803-8FC1-49F4FD4C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F7"/>
    <w:rPr>
      <w:rFonts w:eastAsiaTheme="majorEastAsia" w:cstheme="majorBidi"/>
      <w:color w:val="272727" w:themeColor="text1" w:themeTint="D8"/>
    </w:rPr>
  </w:style>
  <w:style w:type="paragraph" w:styleId="Title">
    <w:name w:val="Title"/>
    <w:basedOn w:val="Normal"/>
    <w:next w:val="Normal"/>
    <w:link w:val="TitleChar"/>
    <w:uiPriority w:val="10"/>
    <w:qFormat/>
    <w:rsid w:val="00AC7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3F7"/>
    <w:pPr>
      <w:spacing w:before="160"/>
      <w:jc w:val="center"/>
    </w:pPr>
    <w:rPr>
      <w:i/>
      <w:iCs/>
      <w:color w:val="404040" w:themeColor="text1" w:themeTint="BF"/>
    </w:rPr>
  </w:style>
  <w:style w:type="character" w:customStyle="1" w:styleId="QuoteChar">
    <w:name w:val="Quote Char"/>
    <w:basedOn w:val="DefaultParagraphFont"/>
    <w:link w:val="Quote"/>
    <w:uiPriority w:val="29"/>
    <w:rsid w:val="00AC73F7"/>
    <w:rPr>
      <w:i/>
      <w:iCs/>
      <w:color w:val="404040" w:themeColor="text1" w:themeTint="BF"/>
    </w:rPr>
  </w:style>
  <w:style w:type="paragraph" w:styleId="ListParagraph">
    <w:name w:val="List Paragraph"/>
    <w:basedOn w:val="Normal"/>
    <w:uiPriority w:val="34"/>
    <w:qFormat/>
    <w:rsid w:val="00AC73F7"/>
    <w:pPr>
      <w:ind w:left="720"/>
      <w:contextualSpacing/>
    </w:pPr>
  </w:style>
  <w:style w:type="character" w:styleId="IntenseEmphasis">
    <w:name w:val="Intense Emphasis"/>
    <w:basedOn w:val="DefaultParagraphFont"/>
    <w:uiPriority w:val="21"/>
    <w:qFormat/>
    <w:rsid w:val="00AC73F7"/>
    <w:rPr>
      <w:i/>
      <w:iCs/>
      <w:color w:val="0F4761" w:themeColor="accent1" w:themeShade="BF"/>
    </w:rPr>
  </w:style>
  <w:style w:type="paragraph" w:styleId="IntenseQuote">
    <w:name w:val="Intense Quote"/>
    <w:basedOn w:val="Normal"/>
    <w:next w:val="Normal"/>
    <w:link w:val="IntenseQuoteChar"/>
    <w:uiPriority w:val="30"/>
    <w:qFormat/>
    <w:rsid w:val="00AC7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3F7"/>
    <w:rPr>
      <w:i/>
      <w:iCs/>
      <w:color w:val="0F4761" w:themeColor="accent1" w:themeShade="BF"/>
    </w:rPr>
  </w:style>
  <w:style w:type="character" w:styleId="IntenseReference">
    <w:name w:val="Intense Reference"/>
    <w:basedOn w:val="DefaultParagraphFont"/>
    <w:uiPriority w:val="32"/>
    <w:qFormat/>
    <w:rsid w:val="00AC73F7"/>
    <w:rPr>
      <w:b/>
      <w:bCs/>
      <w:smallCaps/>
      <w:color w:val="0F4761" w:themeColor="accent1" w:themeShade="BF"/>
      <w:spacing w:val="5"/>
    </w:rPr>
  </w:style>
  <w:style w:type="character" w:styleId="Hyperlink">
    <w:name w:val="Hyperlink"/>
    <w:basedOn w:val="DefaultParagraphFont"/>
    <w:uiPriority w:val="99"/>
    <w:unhideWhenUsed/>
    <w:rsid w:val="00CE5FB6"/>
    <w:rPr>
      <w:color w:val="467886" w:themeColor="hyperlink"/>
      <w:u w:val="single"/>
    </w:rPr>
  </w:style>
  <w:style w:type="character" w:styleId="UnresolvedMention">
    <w:name w:val="Unresolved Mention"/>
    <w:basedOn w:val="DefaultParagraphFont"/>
    <w:uiPriority w:val="99"/>
    <w:semiHidden/>
    <w:unhideWhenUsed/>
    <w:rsid w:val="00CE5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98827">
      <w:bodyDiv w:val="1"/>
      <w:marLeft w:val="0"/>
      <w:marRight w:val="0"/>
      <w:marTop w:val="0"/>
      <w:marBottom w:val="0"/>
      <w:divBdr>
        <w:top w:val="none" w:sz="0" w:space="0" w:color="auto"/>
        <w:left w:val="none" w:sz="0" w:space="0" w:color="auto"/>
        <w:bottom w:val="none" w:sz="0" w:space="0" w:color="auto"/>
        <w:right w:val="none" w:sz="0" w:space="0" w:color="auto"/>
      </w:divBdr>
    </w:div>
    <w:div w:id="49750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mbudsman-fuer-die-wissenschaft.de/4154/procedural-principles-of-the-research-ombudsman/?lang=en" TargetMode="External"/><Relationship Id="rId13" Type="http://schemas.openxmlformats.org/officeDocument/2006/relationships/hyperlink" Target="https://promotion.charite.de/en/counsel/ombudspersons" TargetMode="External"/><Relationship Id="rId18" Type="http://schemas.openxmlformats.org/officeDocument/2006/relationships/hyperlink" Target="https://www.pei.de/EN/regulation/medical-research-act/medical-research-act-node.html" TargetMode="External"/><Relationship Id="rId26" Type="http://schemas.openxmlformats.org/officeDocument/2006/relationships/hyperlink" Target="https://www.uni-muenster.de/Verwaltung/en/orga/ethik.html" TargetMode="External"/><Relationship Id="rId3" Type="http://schemas.openxmlformats.org/officeDocument/2006/relationships/webSettings" Target="webSettings.xml"/><Relationship Id="rId21" Type="http://schemas.openxmlformats.org/officeDocument/2006/relationships/hyperlink" Target="https://www.bfr.bund.de/en/notification/questions-and-answers-on-animal-experiments-alternative-methods-and-animal-experiment-numbers-1/?utm_source=chatgpt.com" TargetMode="External"/><Relationship Id="rId7" Type="http://schemas.openxmlformats.org/officeDocument/2006/relationships/hyperlink" Target="https://wissenschaftliche-integritaet.de/en/notes-on-implementation/" TargetMode="External"/><Relationship Id="rId12" Type="http://schemas.openxmlformats.org/officeDocument/2006/relationships/hyperlink" Target="https://www.gs.tum.de/fileadmin/w00bik/www/FAQ_GoodScientificPractice_engl.accessfree_updated_May_2024.pdf" TargetMode="External"/><Relationship Id="rId17" Type="http://schemas.openxmlformats.org/officeDocument/2006/relationships/hyperlink" Target="https://www.bfarm.de/EN/Medical-devices/Overview/Competent-authorities-and-ethics-committees/Ethic-committees/_node.html" TargetMode="External"/><Relationship Id="rId25" Type="http://schemas.openxmlformats.org/officeDocument/2006/relationships/hyperlink" Target="https://www.dfg.de/en/basics-topics/basics-and-principles-of-funding/security-relevant-research" TargetMode="External"/><Relationship Id="rId2" Type="http://schemas.openxmlformats.org/officeDocument/2006/relationships/settings" Target="settings.xml"/><Relationship Id="rId16" Type="http://schemas.openxmlformats.org/officeDocument/2006/relationships/hyperlink" Target="https://www.bfarm.de/EN/Medicinal-products/Clinical-trials/_node.html" TargetMode="External"/><Relationship Id="rId20" Type="http://schemas.openxmlformats.org/officeDocument/2006/relationships/hyperlink" Target="https://wiso.uni-koeln.de/en/faculty/ethics-and-responsibility/ethics-committee" TargetMode="External"/><Relationship Id="rId29" Type="http://schemas.openxmlformats.org/officeDocument/2006/relationships/hyperlink" Target="https://www.dfg.de/en/basics-topics/basics-and-principles-of-funding/good-research-practice/code-of-conduct" TargetMode="External"/><Relationship Id="rId1" Type="http://schemas.openxmlformats.org/officeDocument/2006/relationships/styles" Target="styles.xml"/><Relationship Id="rId6" Type="http://schemas.openxmlformats.org/officeDocument/2006/relationships/hyperlink" Target="https://www.dfg.de/en/basics-topics/basics-and-principles-of-funding/good-research-practice/code-of-conduct" TargetMode="External"/><Relationship Id="rId11" Type="http://schemas.openxmlformats.org/officeDocument/2006/relationships/hyperlink" Target="https://www.dfg.de/resource/blob/339200/dfg-80-01-v0524-en.pdf" TargetMode="External"/><Relationship Id="rId24" Type="http://schemas.openxmlformats.org/officeDocument/2006/relationships/hyperlink" Target="https://www.nfdi.de/?lang=en" TargetMode="External"/><Relationship Id="rId32" Type="http://schemas.openxmlformats.org/officeDocument/2006/relationships/theme" Target="theme/theme1.xml"/><Relationship Id="rId5" Type="http://schemas.openxmlformats.org/officeDocument/2006/relationships/hyperlink" Target="https://wissenschaftliche-integritaet.de/en/notes-on-implementation/" TargetMode="External"/><Relationship Id="rId15" Type="http://schemas.openxmlformats.org/officeDocument/2006/relationships/hyperlink" Target="https://www.leibniz-gemeinschaft.de/fileadmin/user_upload/Bilder_und_Downloads/%C3%9Cber_uns/Integrit%C3%A4t/Guidelines_for_Good_Scientific_Practice_in_the_Leibniz_Association.pdf" TargetMode="External"/><Relationship Id="rId23" Type="http://schemas.openxmlformats.org/officeDocument/2006/relationships/hyperlink" Target="https://www.dfg.de/resource/blob/172098/guidelines-research-data.pdf" TargetMode="External"/><Relationship Id="rId28" Type="http://schemas.openxmlformats.org/officeDocument/2006/relationships/hyperlink" Target="https://www.gesetze-im-internet.de/englisch_gg/englisch_gg.html" TargetMode="External"/><Relationship Id="rId10" Type="http://schemas.openxmlformats.org/officeDocument/2006/relationships/hyperlink" Target="https://www.dfg.de/en/basics-topics/basics-and-principles-of-funding/good-research-practice/misconduct" TargetMode="External"/><Relationship Id="rId19" Type="http://schemas.openxmlformats.org/officeDocument/2006/relationships/hyperlink" Target="https://www.dfg.de/en/research-funding/proposal-funding-process/faq/humanities-social-sciences" TargetMode="External"/><Relationship Id="rId31" Type="http://schemas.openxmlformats.org/officeDocument/2006/relationships/fontTable" Target="fontTable.xml"/><Relationship Id="rId4" Type="http://schemas.openxmlformats.org/officeDocument/2006/relationships/hyperlink" Target="https://www.gesetze-im-internet.de/englisch_gg/englisch_gg.html" TargetMode="External"/><Relationship Id="rId9" Type="http://schemas.openxmlformats.org/officeDocument/2006/relationships/hyperlink" Target="https://wissenschaftliche-integritaet.de/en/code-of-conduct/ombudspersons/" TargetMode="External"/><Relationship Id="rId14" Type="http://schemas.openxmlformats.org/officeDocument/2006/relationships/hyperlink" Target="https://www.helmholtz.de/en/about-us/helmholtz-centers/" TargetMode="External"/><Relationship Id="rId22" Type="http://schemas.openxmlformats.org/officeDocument/2006/relationships/hyperlink" Target="https://www.bfr.bund.de/en/notification/questions-and-answers-on-animal-experiments-alternative-methods-and-animal-experiment-numbers-1/?utm_source=chatgpt.com" TargetMode="External"/><Relationship Id="rId27" Type="http://schemas.openxmlformats.org/officeDocument/2006/relationships/hyperlink" Target="https://www.hrk.de/resolutions-publications/resolutions/beschluss/detail/good-scientific-practice-at-german-higher-education-institutions/" TargetMode="External"/><Relationship Id="rId30" Type="http://schemas.openxmlformats.org/officeDocument/2006/relationships/hyperlink" Target="https://www.gesetze-im-internet.de/englisch_gg/englisch_g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3717</Words>
  <Characters>20449</Characters>
  <Application>Microsoft Office Word</Application>
  <DocSecurity>0</DocSecurity>
  <Lines>170</Lines>
  <Paragraphs>48</Paragraphs>
  <ScaleCrop>false</ScaleCrop>
  <Company/>
  <LinksUpToDate>false</LinksUpToDate>
  <CharactersWithSpaces>24118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2026-04-16T07:08:00Z</dcterms:created>
  <dcterms:modified xsi:type="dcterms:W3CDTF">2026-04-16T07:08:00Z</dcterms:modified>
</cp:coreProperties>
</file>