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23440" w14:textId="77777777" w:rsidR="00AB58D9" w:rsidRPr="00AB58D9" w:rsidRDefault="00AB58D9" w:rsidP="00AB58D9">
      <w:pPr>
        <w:rPr>
          <w:lang w:val="nl-NL"/>
        </w:rPr>
      </w:pPr>
      <w:r w:rsidRPr="00AB58D9">
        <w:rPr>
          <w:lang w:val="nl-NL"/>
        </w:rPr>
        <w:t xml:space="preserve">Ja — en mijn voorlopige oordeel is dat </w:t>
      </w:r>
      <w:r w:rsidRPr="00AB58D9">
        <w:rPr>
          <w:b/>
          <w:bCs/>
          <w:lang w:val="nl-NL"/>
        </w:rPr>
        <w:t>Griekenland een duidelijk ander type landschap is dan Nederland en Denemarken</w:t>
      </w:r>
      <w:r w:rsidRPr="00AB58D9">
        <w:rPr>
          <w:lang w:val="nl-NL"/>
        </w:rPr>
        <w:t xml:space="preserve">. Waar Denemarken een vrij scherp nationaal wettelijk tweesporenmodel heeft en Nederland een sterk openbaar gedocumenteerd code- en procedurestelsel, lijkt Griekenland vooral een </w:t>
      </w:r>
      <w:r w:rsidRPr="00AB58D9">
        <w:rPr>
          <w:b/>
          <w:bCs/>
          <w:lang w:val="nl-NL"/>
        </w:rPr>
        <w:t>wettelijk verplichte maar institutioneel uitgewerkte infrastructuur</w:t>
      </w:r>
      <w:r w:rsidRPr="00AB58D9">
        <w:rPr>
          <w:lang w:val="nl-NL"/>
        </w:rPr>
        <w:t xml:space="preserve"> te hebben: er is </w:t>
      </w:r>
      <w:r w:rsidRPr="00AB58D9">
        <w:rPr>
          <w:b/>
          <w:bCs/>
          <w:lang w:val="nl-NL"/>
        </w:rPr>
        <w:t>geen duidelijk nationaal research-integrity orgaan</w:t>
      </w:r>
      <w:r w:rsidRPr="00AB58D9">
        <w:rPr>
          <w:lang w:val="nl-NL"/>
        </w:rPr>
        <w:t xml:space="preserve"> dat vergelijkbaar is met LOWI of de Danish Board on Research Misconduct, maar er is wél nationale wetgeving die instellingen verplicht om </w:t>
      </w:r>
      <w:r w:rsidRPr="00AB58D9">
        <w:rPr>
          <w:b/>
          <w:bCs/>
          <w:lang w:val="nl-NL"/>
        </w:rPr>
        <w:t>Research Ethics and Deontology Committees</w:t>
      </w:r>
      <w:r w:rsidRPr="00AB58D9">
        <w:rPr>
          <w:lang w:val="nl-NL"/>
        </w:rPr>
        <w:t xml:space="preserve"> op te zetten, plus een nationale advieslaag rond bio-ethiek en techno-ethiek, en een normerende financieringslaag. ENRIO vat dat vrij scherp samen: Griekenland heeft nog geen nationale institutionele research-integrity structuur, en gevallen worden lokaal behandeld door ad-hoccommissies van de onderzoeksinstellingen zelf. (</w:t>
      </w:r>
      <w:hyperlink r:id="rId4" w:tooltip="https://www.enrio.eu/country-reports/greece/" w:history="1">
        <w:r w:rsidRPr="00AB58D9">
          <w:rPr>
            <w:rStyle w:val="Hyperlink"/>
            <w:lang w:val="nl-NL"/>
          </w:rPr>
          <w:t>ENRIO</w:t>
        </w:r>
      </w:hyperlink>
      <w:r w:rsidRPr="00AB58D9">
        <w:rPr>
          <w:lang w:val="nl-NL"/>
        </w:rPr>
        <w:t>)</w:t>
      </w:r>
    </w:p>
    <w:p w14:paraId="466B34DF" w14:textId="77777777" w:rsidR="00AB58D9" w:rsidRPr="00AB58D9" w:rsidRDefault="00AB58D9" w:rsidP="00AB58D9">
      <w:pPr>
        <w:rPr>
          <w:lang w:val="nl-NL"/>
        </w:rPr>
      </w:pPr>
      <w:r w:rsidRPr="00AB58D9">
        <w:rPr>
          <w:lang w:val="nl-NL"/>
        </w:rPr>
        <w:t xml:space="preserve">Dat betekent dat je Griekenland waarschijnlijk niet moet modelleren als één hiërarchisch systeem, maar als een </w:t>
      </w:r>
      <w:r w:rsidRPr="00AB58D9">
        <w:rPr>
          <w:b/>
          <w:bCs/>
          <w:lang w:val="nl-NL"/>
        </w:rPr>
        <w:t>meerlagig netwerk</w:t>
      </w:r>
      <w:r w:rsidRPr="00AB58D9">
        <w:rPr>
          <w:lang w:val="nl-NL"/>
        </w:rPr>
        <w:t xml:space="preserve"> met vier kernen: </w:t>
      </w:r>
      <w:r w:rsidRPr="00AB58D9">
        <w:rPr>
          <w:b/>
          <w:bCs/>
          <w:lang w:val="nl-NL"/>
        </w:rPr>
        <w:t>wetgeving</w:t>
      </w:r>
      <w:r w:rsidRPr="00AB58D9">
        <w:rPr>
          <w:lang w:val="nl-NL"/>
        </w:rPr>
        <w:t xml:space="preserve">, </w:t>
      </w:r>
      <w:r w:rsidRPr="00AB58D9">
        <w:rPr>
          <w:b/>
          <w:bCs/>
          <w:lang w:val="nl-NL"/>
        </w:rPr>
        <w:t>institutionele commissies</w:t>
      </w:r>
      <w:r w:rsidRPr="00AB58D9">
        <w:rPr>
          <w:lang w:val="nl-NL"/>
        </w:rPr>
        <w:t xml:space="preserve">, </w:t>
      </w:r>
      <w:r w:rsidRPr="00AB58D9">
        <w:rPr>
          <w:b/>
          <w:bCs/>
          <w:lang w:val="nl-NL"/>
        </w:rPr>
        <w:t>nationale adviesorganen</w:t>
      </w:r>
      <w:r w:rsidRPr="00AB58D9">
        <w:rPr>
          <w:lang w:val="nl-NL"/>
        </w:rPr>
        <w:t xml:space="preserve">, en </w:t>
      </w:r>
      <w:r w:rsidRPr="00AB58D9">
        <w:rPr>
          <w:b/>
          <w:bCs/>
          <w:lang w:val="nl-NL"/>
        </w:rPr>
        <w:t>financierings- en netwerkdocumenten</w:t>
      </w:r>
      <w:r w:rsidRPr="00AB58D9">
        <w:rPr>
          <w:lang w:val="nl-NL"/>
        </w:rPr>
        <w:t xml:space="preserve">. De centrale vraag is daardoor minder “welk nationaal orgaan beslist?”, en meer: </w:t>
      </w:r>
      <w:r w:rsidRPr="00AB58D9">
        <w:rPr>
          <w:b/>
          <w:bCs/>
          <w:lang w:val="nl-NL"/>
        </w:rPr>
        <w:t>welke nationale regels dwingen instellingen om zelf integriteits- en ethiekstructuren op te bouwen, en hoe doen instellingen dat concreet?</w:t>
      </w:r>
      <w:r w:rsidRPr="00AB58D9">
        <w:rPr>
          <w:lang w:val="nl-NL"/>
        </w:rPr>
        <w:t xml:space="preserve"> (</w:t>
      </w:r>
      <w:hyperlink r:id="rId5" w:tooltip="https://www.enrio.eu/country-reports/greece/" w:history="1">
        <w:r w:rsidRPr="00AB58D9">
          <w:rPr>
            <w:rStyle w:val="Hyperlink"/>
            <w:lang w:val="nl-NL"/>
          </w:rPr>
          <w:t>ENRIO</w:t>
        </w:r>
      </w:hyperlink>
      <w:r w:rsidRPr="00AB58D9">
        <w:rPr>
          <w:lang w:val="nl-NL"/>
        </w:rPr>
        <w:t>)</w:t>
      </w:r>
    </w:p>
    <w:p w14:paraId="19D81CA4" w14:textId="77777777" w:rsidR="00AB58D9" w:rsidRPr="00AB58D9" w:rsidRDefault="00AB58D9" w:rsidP="00AB58D9">
      <w:pPr>
        <w:rPr>
          <w:b/>
          <w:bCs/>
          <w:lang w:val="nl-NL"/>
        </w:rPr>
      </w:pPr>
      <w:r w:rsidRPr="00AB58D9">
        <w:rPr>
          <w:b/>
          <w:bCs/>
          <w:lang w:val="nl-NL"/>
        </w:rPr>
        <w:t>1. Wat Griekenland in wezen lijkt te zijn</w:t>
      </w:r>
    </w:p>
    <w:p w14:paraId="12CF79F3" w14:textId="77777777" w:rsidR="00AB58D9" w:rsidRPr="00AB58D9" w:rsidRDefault="00AB58D9" w:rsidP="00AB58D9">
      <w:pPr>
        <w:rPr>
          <w:lang w:val="nl-NL"/>
        </w:rPr>
      </w:pPr>
      <w:r w:rsidRPr="00AB58D9">
        <w:rPr>
          <w:lang w:val="nl-NL"/>
        </w:rPr>
        <w:t xml:space="preserve">Mijn werkhypothese zou zijn: </w:t>
      </w:r>
      <w:r w:rsidRPr="00AB58D9">
        <w:rPr>
          <w:b/>
          <w:bCs/>
          <w:lang w:val="nl-NL"/>
        </w:rPr>
        <w:t>Griekenland is een decentraal research-integrity stelsel met een nationale wettelijke ondergrond, maar zonder sterke nationale misconduct-jurisdictie in één centraal orgaan</w:t>
      </w:r>
      <w:r w:rsidRPr="00AB58D9">
        <w:rPr>
          <w:lang w:val="nl-NL"/>
        </w:rPr>
        <w:t xml:space="preserve">. De dragende wettelijke zet was </w:t>
      </w:r>
      <w:r w:rsidRPr="00AB58D9">
        <w:rPr>
          <w:b/>
          <w:bCs/>
          <w:lang w:val="nl-NL"/>
        </w:rPr>
        <w:t>Law 4521/2018</w:t>
      </w:r>
      <w:r w:rsidRPr="00AB58D9">
        <w:rPr>
          <w:lang w:val="nl-NL"/>
        </w:rPr>
        <w:t xml:space="preserve">, die volgens ENRIO voorschrijft dat iedere publieke onderzoeksinstelling een </w:t>
      </w:r>
      <w:r w:rsidRPr="00AB58D9">
        <w:rPr>
          <w:b/>
          <w:bCs/>
          <w:lang w:val="nl-NL"/>
        </w:rPr>
        <w:t>Research Ethics and Deontology Committee</w:t>
      </w:r>
      <w:r w:rsidRPr="00AB58D9">
        <w:rPr>
          <w:lang w:val="nl-NL"/>
        </w:rPr>
        <w:t xml:space="preserve"> moet hebben, met minimaal vijf en maximaal zeven leden en ten minste twee externe leden. In de praktijk zie je die commissies overal terug onder varianten als </w:t>
      </w:r>
      <w:r w:rsidRPr="00AB58D9">
        <w:rPr>
          <w:b/>
          <w:bCs/>
          <w:lang w:val="nl-NL"/>
        </w:rPr>
        <w:t>REC</w:t>
      </w:r>
      <w:r w:rsidRPr="00AB58D9">
        <w:rPr>
          <w:lang w:val="nl-NL"/>
        </w:rPr>
        <w:t xml:space="preserve">, </w:t>
      </w:r>
      <w:r w:rsidRPr="00AB58D9">
        <w:rPr>
          <w:b/>
          <w:bCs/>
          <w:lang w:val="nl-NL"/>
        </w:rPr>
        <w:t>REDC</w:t>
      </w:r>
      <w:r w:rsidRPr="00AB58D9">
        <w:rPr>
          <w:lang w:val="nl-NL"/>
        </w:rPr>
        <w:t xml:space="preserve"> of </w:t>
      </w:r>
      <w:r w:rsidRPr="00AB58D9">
        <w:rPr>
          <w:b/>
          <w:bCs/>
          <w:lang w:val="nl-NL"/>
        </w:rPr>
        <w:t>EHDE</w:t>
      </w:r>
      <w:r w:rsidRPr="00AB58D9">
        <w:rPr>
          <w:lang w:val="nl-NL"/>
        </w:rPr>
        <w:t>. (</w:t>
      </w:r>
      <w:hyperlink r:id="rId6" w:tooltip="https://www.enrio.eu/country-reports/greece/" w:history="1">
        <w:r w:rsidRPr="00AB58D9">
          <w:rPr>
            <w:rStyle w:val="Hyperlink"/>
            <w:lang w:val="nl-NL"/>
          </w:rPr>
          <w:t>ENRIO</w:t>
        </w:r>
      </w:hyperlink>
      <w:r w:rsidRPr="00AB58D9">
        <w:rPr>
          <w:lang w:val="nl-NL"/>
        </w:rPr>
        <w:t>)</w:t>
      </w:r>
    </w:p>
    <w:p w14:paraId="3C8625DC" w14:textId="77777777" w:rsidR="00AB58D9" w:rsidRPr="00AB58D9" w:rsidRDefault="00AB58D9" w:rsidP="00AB58D9">
      <w:pPr>
        <w:rPr>
          <w:lang w:val="nl-NL"/>
        </w:rPr>
      </w:pPr>
      <w:r w:rsidRPr="00AB58D9">
        <w:rPr>
          <w:lang w:val="nl-NL"/>
        </w:rPr>
        <w:t xml:space="preserve">Tegelijk is het niet puur “ethics” in enge zin. De institutionele regelingen die ik heb bekeken, verbinden deze commissies expliciet met </w:t>
      </w:r>
      <w:r w:rsidRPr="00AB58D9">
        <w:rPr>
          <w:b/>
          <w:bCs/>
          <w:lang w:val="nl-NL"/>
        </w:rPr>
        <w:t>research integrity</w:t>
      </w:r>
      <w:r w:rsidRPr="00AB58D9">
        <w:rPr>
          <w:lang w:val="nl-NL"/>
        </w:rPr>
        <w:t xml:space="preserve">, </w:t>
      </w:r>
      <w:r w:rsidRPr="00AB58D9">
        <w:rPr>
          <w:b/>
          <w:bCs/>
          <w:lang w:val="nl-NL"/>
        </w:rPr>
        <w:t>fair scientific practice</w:t>
      </w:r>
      <w:r w:rsidRPr="00AB58D9">
        <w:rPr>
          <w:lang w:val="nl-NL"/>
        </w:rPr>
        <w:t xml:space="preserve">, </w:t>
      </w:r>
      <w:r w:rsidRPr="00AB58D9">
        <w:rPr>
          <w:b/>
          <w:bCs/>
          <w:lang w:val="nl-NL"/>
        </w:rPr>
        <w:t>privacy en persoonsgegevens</w:t>
      </w:r>
      <w:r w:rsidRPr="00AB58D9">
        <w:rPr>
          <w:lang w:val="nl-NL"/>
        </w:rPr>
        <w:t xml:space="preserve">, </w:t>
      </w:r>
      <w:r w:rsidRPr="00AB58D9">
        <w:rPr>
          <w:b/>
          <w:bCs/>
          <w:lang w:val="nl-NL"/>
        </w:rPr>
        <w:t>intellectuele eigendom</w:t>
      </w:r>
      <w:r w:rsidRPr="00AB58D9">
        <w:rPr>
          <w:lang w:val="nl-NL"/>
        </w:rPr>
        <w:t xml:space="preserve">, </w:t>
      </w:r>
      <w:r w:rsidRPr="00AB58D9">
        <w:rPr>
          <w:b/>
          <w:bCs/>
          <w:lang w:val="nl-NL"/>
        </w:rPr>
        <w:t>gelijke behandeling</w:t>
      </w:r>
      <w:r w:rsidRPr="00AB58D9">
        <w:rPr>
          <w:lang w:val="nl-NL"/>
        </w:rPr>
        <w:t xml:space="preserve">, en soms ook met </w:t>
      </w:r>
      <w:r w:rsidRPr="00AB58D9">
        <w:rPr>
          <w:b/>
          <w:bCs/>
          <w:lang w:val="nl-NL"/>
        </w:rPr>
        <w:t>training</w:t>
      </w:r>
      <w:r w:rsidRPr="00AB58D9">
        <w:rPr>
          <w:lang w:val="nl-NL"/>
        </w:rPr>
        <w:t xml:space="preserve">, </w:t>
      </w:r>
      <w:r w:rsidRPr="00AB58D9">
        <w:rPr>
          <w:b/>
          <w:bCs/>
          <w:lang w:val="nl-NL"/>
        </w:rPr>
        <w:t>awareness raising</w:t>
      </w:r>
      <w:r w:rsidRPr="00AB58D9">
        <w:rPr>
          <w:lang w:val="nl-NL"/>
        </w:rPr>
        <w:t xml:space="preserve"> en samenwerking met andere nationale of Europese organen. Dat maakt Griekenland inhoudelijk breder dan alleen een systeem voor voorafgaande ethische toetsing. (</w:t>
      </w:r>
      <w:hyperlink r:id="rId7" w:tooltip="https://angers-fr.frl.uoa.gr/fileadmin/depts/frl.uoa.gr/angers/uploads/ETHICS.pdf" w:history="1">
        <w:r w:rsidRPr="00AB58D9">
          <w:rPr>
            <w:rStyle w:val="Hyperlink"/>
            <w:lang w:val="nl-NL"/>
          </w:rPr>
          <w:t>SiteB-EN</w:t>
        </w:r>
      </w:hyperlink>
      <w:r w:rsidRPr="00AB58D9">
        <w:rPr>
          <w:lang w:val="nl-NL"/>
        </w:rPr>
        <w:t>)</w:t>
      </w:r>
    </w:p>
    <w:p w14:paraId="016746D0" w14:textId="77777777" w:rsidR="00AB58D9" w:rsidRPr="00AB58D9" w:rsidRDefault="00AB58D9" w:rsidP="00AB58D9">
      <w:pPr>
        <w:rPr>
          <w:b/>
          <w:bCs/>
          <w:lang w:val="nl-NL"/>
        </w:rPr>
      </w:pPr>
      <w:r w:rsidRPr="00AB58D9">
        <w:rPr>
          <w:b/>
          <w:bCs/>
          <w:lang w:val="nl-NL"/>
        </w:rPr>
        <w:t>2. De nationale juridische ruggengraat</w:t>
      </w:r>
    </w:p>
    <w:p w14:paraId="72143D86" w14:textId="77777777" w:rsidR="00AB58D9" w:rsidRPr="00AB58D9" w:rsidRDefault="00AB58D9" w:rsidP="00AB58D9">
      <w:pPr>
        <w:rPr>
          <w:lang w:val="nl-NL"/>
        </w:rPr>
      </w:pPr>
      <w:r w:rsidRPr="00AB58D9">
        <w:rPr>
          <w:lang w:val="nl-NL"/>
        </w:rPr>
        <w:t xml:space="preserve">De eerste bron die je voor Griekenland altijd moet verzamelen is </w:t>
      </w:r>
      <w:r w:rsidRPr="00AB58D9">
        <w:rPr>
          <w:b/>
          <w:bCs/>
          <w:lang w:val="nl-NL"/>
        </w:rPr>
        <w:t>Law 4521/2018</w:t>
      </w:r>
      <w:r w:rsidRPr="00AB58D9">
        <w:rPr>
          <w:lang w:val="nl-NL"/>
        </w:rPr>
        <w:t xml:space="preserve">. Ook als je de volledige wettekst niet meteen hebt, zie je via ENRIO en de institutionele pagina’s heel duidelijk wat die wet doet: zij vormt de </w:t>
      </w:r>
      <w:r w:rsidRPr="00AB58D9">
        <w:rPr>
          <w:b/>
          <w:bCs/>
          <w:lang w:val="nl-NL"/>
        </w:rPr>
        <w:t>constituerende basis</w:t>
      </w:r>
      <w:r w:rsidRPr="00AB58D9">
        <w:rPr>
          <w:lang w:val="nl-NL"/>
        </w:rPr>
        <w:t xml:space="preserve"> voor de institutionele Research Ethics and Deontology Committees. Universiteiten en onderzoekscentra verwijzen er expliciet naar bij hun oprichting, samenstelling en </w:t>
      </w:r>
      <w:r w:rsidRPr="00AB58D9">
        <w:rPr>
          <w:lang w:val="nl-NL"/>
        </w:rPr>
        <w:lastRenderedPageBreak/>
        <w:t xml:space="preserve">bevoegdheden. Dat zie je onder meer bij de </w:t>
      </w:r>
      <w:r w:rsidRPr="00AB58D9">
        <w:rPr>
          <w:b/>
          <w:bCs/>
          <w:lang w:val="nl-NL"/>
        </w:rPr>
        <w:t>National Hellenic Research Foundation</w:t>
      </w:r>
      <w:r w:rsidRPr="00AB58D9">
        <w:rPr>
          <w:lang w:val="nl-NL"/>
        </w:rPr>
        <w:t xml:space="preserve">, de </w:t>
      </w:r>
      <w:r w:rsidRPr="00AB58D9">
        <w:rPr>
          <w:b/>
          <w:bCs/>
          <w:lang w:val="nl-NL"/>
        </w:rPr>
        <w:t>National and Kapodistrian University of Athens</w:t>
      </w:r>
      <w:r w:rsidRPr="00AB58D9">
        <w:rPr>
          <w:lang w:val="nl-NL"/>
        </w:rPr>
        <w:t xml:space="preserve">, </w:t>
      </w:r>
      <w:r w:rsidRPr="00AB58D9">
        <w:rPr>
          <w:b/>
          <w:bCs/>
          <w:lang w:val="nl-NL"/>
        </w:rPr>
        <w:t>Aristotle University of Thessaloniki</w:t>
      </w:r>
      <w:r w:rsidRPr="00AB58D9">
        <w:rPr>
          <w:lang w:val="nl-NL"/>
        </w:rPr>
        <w:t xml:space="preserve">, </w:t>
      </w:r>
      <w:r w:rsidRPr="00AB58D9">
        <w:rPr>
          <w:b/>
          <w:bCs/>
          <w:lang w:val="nl-NL"/>
        </w:rPr>
        <w:t>University of Thessaly</w:t>
      </w:r>
      <w:r w:rsidRPr="00AB58D9">
        <w:rPr>
          <w:lang w:val="nl-NL"/>
        </w:rPr>
        <w:t xml:space="preserve"> en </w:t>
      </w:r>
      <w:r w:rsidRPr="00AB58D9">
        <w:rPr>
          <w:b/>
          <w:bCs/>
          <w:lang w:val="nl-NL"/>
        </w:rPr>
        <w:t>NCSR Demokritos</w:t>
      </w:r>
      <w:r w:rsidRPr="00AB58D9">
        <w:rPr>
          <w:lang w:val="nl-NL"/>
        </w:rPr>
        <w:t>. (</w:t>
      </w:r>
      <w:hyperlink r:id="rId8" w:tooltip="https://www.enrio.eu/country-reports/greece/" w:history="1">
        <w:r w:rsidRPr="00AB58D9">
          <w:rPr>
            <w:rStyle w:val="Hyperlink"/>
            <w:lang w:val="nl-NL"/>
          </w:rPr>
          <w:t>ENRIO</w:t>
        </w:r>
      </w:hyperlink>
      <w:r w:rsidRPr="00AB58D9">
        <w:rPr>
          <w:lang w:val="nl-NL"/>
        </w:rPr>
        <w:t>)</w:t>
      </w:r>
    </w:p>
    <w:p w14:paraId="0D894514" w14:textId="77777777" w:rsidR="00AB58D9" w:rsidRPr="00AB58D9" w:rsidRDefault="00AB58D9" w:rsidP="00AB58D9">
      <w:pPr>
        <w:rPr>
          <w:lang w:val="nl-NL"/>
        </w:rPr>
      </w:pPr>
      <w:r w:rsidRPr="00AB58D9">
        <w:rPr>
          <w:lang w:val="nl-NL"/>
        </w:rPr>
        <w:t xml:space="preserve">De tweede grote juridische laag is </w:t>
      </w:r>
      <w:r w:rsidRPr="00AB58D9">
        <w:rPr>
          <w:b/>
          <w:bCs/>
          <w:lang w:val="nl-NL"/>
        </w:rPr>
        <w:t>Law 4957/2022</w:t>
      </w:r>
      <w:r w:rsidRPr="00AB58D9">
        <w:rPr>
          <w:lang w:val="nl-NL"/>
        </w:rPr>
        <w:t xml:space="preserve">, die in meerdere universitaire en financieringsdocumenten terugkomt als actuele basis voor ethiek- en deontologieregels in het hoger onderwijs. Een belangrijke indicatie van de doorwerking van die wet is dat </w:t>
      </w:r>
      <w:r w:rsidRPr="00AB58D9">
        <w:rPr>
          <w:b/>
          <w:bCs/>
          <w:lang w:val="nl-NL"/>
        </w:rPr>
        <w:t>HFRI</w:t>
      </w:r>
      <w:r w:rsidRPr="00AB58D9">
        <w:rPr>
          <w:lang w:val="nl-NL"/>
        </w:rPr>
        <w:t xml:space="preserve"> in recente calls expliciet eist dat projecten, vóór opname in het budget van de host institution, een goedkeurend besluit hebben van de bevoegde institutional ethics committee overeenkomstig Law 4957/2022. Dat maakt de REC/EHDE in Griekenland niet alleen een interne commissie, maar ook een </w:t>
      </w:r>
      <w:r w:rsidRPr="00AB58D9">
        <w:rPr>
          <w:b/>
          <w:bCs/>
          <w:lang w:val="nl-NL"/>
        </w:rPr>
        <w:t>schakel in de financieringsketen</w:t>
      </w:r>
      <w:r w:rsidRPr="00AB58D9">
        <w:rPr>
          <w:lang w:val="nl-NL"/>
        </w:rPr>
        <w:t>. (</w:t>
      </w:r>
      <w:hyperlink r:id="rId9" w:tooltip="https://www.elidek.gr/wp-content/uploads/2023/07/HFRIs-3rd-Call-for-FMs-and-Researchers.pdf" w:history="1">
        <w:r w:rsidRPr="00AB58D9">
          <w:rPr>
            <w:rStyle w:val="Hyperlink"/>
            <w:lang w:val="nl-NL"/>
          </w:rPr>
          <w:t>elidek.gr</w:t>
        </w:r>
      </w:hyperlink>
      <w:r w:rsidRPr="00AB58D9">
        <w:rPr>
          <w:lang w:val="nl-NL"/>
        </w:rPr>
        <w:t>)</w:t>
      </w:r>
    </w:p>
    <w:p w14:paraId="662BD7F8" w14:textId="77777777" w:rsidR="00AB58D9" w:rsidRPr="00AB58D9" w:rsidRDefault="00AB58D9" w:rsidP="00AB58D9">
      <w:pPr>
        <w:rPr>
          <w:lang w:val="nl-NL"/>
        </w:rPr>
      </w:pPr>
      <w:r w:rsidRPr="00AB58D9">
        <w:rPr>
          <w:lang w:val="nl-NL"/>
        </w:rPr>
        <w:t xml:space="preserve">Daarnaast zie je in institutionele codes ook andere grenswetten terugkomen. Zo verwijst de </w:t>
      </w:r>
      <w:r w:rsidRPr="00AB58D9">
        <w:rPr>
          <w:b/>
          <w:bCs/>
          <w:lang w:val="nl-NL"/>
        </w:rPr>
        <w:t>Athens University of Economics and Business</w:t>
      </w:r>
      <w:r w:rsidRPr="00AB58D9">
        <w:rPr>
          <w:lang w:val="nl-NL"/>
        </w:rPr>
        <w:t xml:space="preserve"> in haar code naar de auteursrechtelijke bescherming van werken onder </w:t>
      </w:r>
      <w:r w:rsidRPr="00AB58D9">
        <w:rPr>
          <w:b/>
          <w:bCs/>
          <w:lang w:val="nl-NL"/>
        </w:rPr>
        <w:t>Law 2121/1993</w:t>
      </w:r>
      <w:r w:rsidRPr="00AB58D9">
        <w:rPr>
          <w:lang w:val="nl-NL"/>
        </w:rPr>
        <w:t xml:space="preserve"> en naar disciplinaire overtredingen onder </w:t>
      </w:r>
      <w:r w:rsidRPr="00AB58D9">
        <w:rPr>
          <w:b/>
          <w:bCs/>
          <w:lang w:val="nl-NL"/>
        </w:rPr>
        <w:t>Article 179 of Law 4957/2022</w:t>
      </w:r>
      <w:r w:rsidRPr="00AB58D9">
        <w:rPr>
          <w:lang w:val="nl-NL"/>
        </w:rPr>
        <w:t xml:space="preserve">. Dat is methodologisch belangrijk: in Griekenland lijken institutionele ethics/integrity documenten niet los te staan van bredere rechtsgebieden zoals </w:t>
      </w:r>
      <w:r w:rsidRPr="00AB58D9">
        <w:rPr>
          <w:b/>
          <w:bCs/>
          <w:lang w:val="nl-NL"/>
        </w:rPr>
        <w:t>disciplinair recht</w:t>
      </w:r>
      <w:r w:rsidRPr="00AB58D9">
        <w:rPr>
          <w:lang w:val="nl-NL"/>
        </w:rPr>
        <w:t xml:space="preserve">, </w:t>
      </w:r>
      <w:r w:rsidRPr="00AB58D9">
        <w:rPr>
          <w:b/>
          <w:bCs/>
          <w:lang w:val="nl-NL"/>
        </w:rPr>
        <w:t>IP</w:t>
      </w:r>
      <w:r w:rsidRPr="00AB58D9">
        <w:rPr>
          <w:lang w:val="nl-NL"/>
        </w:rPr>
        <w:t xml:space="preserve">, en </w:t>
      </w:r>
      <w:r w:rsidRPr="00AB58D9">
        <w:rPr>
          <w:b/>
          <w:bCs/>
          <w:lang w:val="nl-NL"/>
        </w:rPr>
        <w:t>data protection</w:t>
      </w:r>
      <w:r w:rsidRPr="00AB58D9">
        <w:rPr>
          <w:lang w:val="nl-NL"/>
        </w:rPr>
        <w:t>. (</w:t>
      </w:r>
      <w:hyperlink r:id="rId10" w:tooltip="https://www.aueb.gr/sites/default/files/Code%20of%20Ethics%20and%20Good%20Practice%20of%20the%20Athens%20University%20of%20Economics%20and%20Business.pdf" w:history="1">
        <w:r w:rsidRPr="00AB58D9">
          <w:rPr>
            <w:rStyle w:val="Hyperlink"/>
            <w:lang w:val="nl-NL"/>
          </w:rPr>
          <w:t>Athens University</w:t>
        </w:r>
      </w:hyperlink>
      <w:r w:rsidRPr="00AB58D9">
        <w:rPr>
          <w:lang w:val="nl-NL"/>
        </w:rPr>
        <w:t>)</w:t>
      </w:r>
    </w:p>
    <w:p w14:paraId="3B093EC7" w14:textId="77777777" w:rsidR="00AB58D9" w:rsidRPr="00AB58D9" w:rsidRDefault="00AB58D9" w:rsidP="00AB58D9">
      <w:pPr>
        <w:rPr>
          <w:b/>
          <w:bCs/>
          <w:lang w:val="nl-NL"/>
        </w:rPr>
      </w:pPr>
      <w:r w:rsidRPr="00AB58D9">
        <w:rPr>
          <w:b/>
          <w:bCs/>
          <w:lang w:val="nl-NL"/>
        </w:rPr>
        <w:t>3. De nationale publieke en beleidsmatige actoren</w:t>
      </w:r>
    </w:p>
    <w:p w14:paraId="6CBA3188" w14:textId="77777777" w:rsidR="00AB58D9" w:rsidRPr="00AB58D9" w:rsidRDefault="00AB58D9" w:rsidP="00AB58D9">
      <w:pPr>
        <w:rPr>
          <w:lang w:val="nl-NL"/>
        </w:rPr>
      </w:pPr>
      <w:r w:rsidRPr="00AB58D9">
        <w:rPr>
          <w:lang w:val="nl-NL"/>
        </w:rPr>
        <w:t xml:space="preserve">Een belangrijke nationale actor is het </w:t>
      </w:r>
      <w:r w:rsidRPr="00AB58D9">
        <w:rPr>
          <w:b/>
          <w:bCs/>
          <w:lang w:val="nl-NL"/>
        </w:rPr>
        <w:t>General Secretariat for Research and Innovation (GSRI)</w:t>
      </w:r>
      <w:r w:rsidRPr="00AB58D9">
        <w:rPr>
          <w:lang w:val="nl-NL"/>
        </w:rPr>
        <w:t xml:space="preserve">. Officiële beschrijvingen zetten GSRI neer als de publieke dienst die verantwoordelijk is voor het plannen en coördineren van de implementatie van het nationale beleid voor research, technology development and innovation, en als toezichthouder op research centres en technology bodies. Voor jouw kaart betekent dat: GSRI is niet per se het orgaan dat integriteitszaken onderzoekt, maar wel een </w:t>
      </w:r>
      <w:r w:rsidRPr="00AB58D9">
        <w:rPr>
          <w:b/>
          <w:bCs/>
          <w:lang w:val="nl-NL"/>
        </w:rPr>
        <w:t>stelselactor aan de bovenkant</w:t>
      </w:r>
      <w:r w:rsidRPr="00AB58D9">
        <w:rPr>
          <w:lang w:val="nl-NL"/>
        </w:rPr>
        <w:t xml:space="preserve"> die het onderzoeksbestel bestuurlijk ordent. (</w:t>
      </w:r>
      <w:hyperlink r:id="rId11" w:tooltip="https://gsri.gov.gr/en/" w:history="1">
        <w:r w:rsidRPr="00AB58D9">
          <w:rPr>
            <w:rStyle w:val="Hyperlink"/>
            <w:lang w:val="nl-NL"/>
          </w:rPr>
          <w:t>GSRI</w:t>
        </w:r>
      </w:hyperlink>
      <w:r w:rsidRPr="00AB58D9">
        <w:rPr>
          <w:lang w:val="nl-NL"/>
        </w:rPr>
        <w:t>)</w:t>
      </w:r>
    </w:p>
    <w:p w14:paraId="3E0B150F" w14:textId="77777777" w:rsidR="00AB58D9" w:rsidRPr="00AB58D9" w:rsidRDefault="00AB58D9" w:rsidP="00AB58D9">
      <w:pPr>
        <w:rPr>
          <w:lang w:val="nl-NL"/>
        </w:rPr>
      </w:pPr>
      <w:r w:rsidRPr="00AB58D9">
        <w:rPr>
          <w:lang w:val="nl-NL"/>
        </w:rPr>
        <w:t xml:space="preserve">Daarboven of daarnaast staat de </w:t>
      </w:r>
      <w:r w:rsidRPr="00AB58D9">
        <w:rPr>
          <w:b/>
          <w:bCs/>
          <w:lang w:val="nl-NL"/>
        </w:rPr>
        <w:t>National Council for Research, Technology and Innovation (NCRTI / ESETEK)</w:t>
      </w:r>
      <w:r w:rsidRPr="00AB58D9">
        <w:rPr>
          <w:lang w:val="nl-NL"/>
        </w:rPr>
        <w:t xml:space="preserve"> als hoogste adviserende overheidsorgaan voor de nationale RTDI-strategie. Dat is geen research-integrity body in enge zin, maar het hoort wel in jouw Griekse landschap thuis als </w:t>
      </w:r>
      <w:r w:rsidRPr="00AB58D9">
        <w:rPr>
          <w:b/>
          <w:bCs/>
          <w:lang w:val="nl-NL"/>
        </w:rPr>
        <w:t>strategische governance-laag</w:t>
      </w:r>
      <w:r w:rsidRPr="00AB58D9">
        <w:rPr>
          <w:lang w:val="nl-NL"/>
        </w:rPr>
        <w:t>: het helpt de nationale onderzoeksrichting vormen waarbinnen integriteits- en ethiekregimes functioneren. (</w:t>
      </w:r>
      <w:hyperlink r:id="rId12" w:tooltip="https://gsri.gov.gr/en/esetek-english/" w:history="1">
        <w:r w:rsidRPr="00AB58D9">
          <w:rPr>
            <w:rStyle w:val="Hyperlink"/>
            <w:lang w:val="nl-NL"/>
          </w:rPr>
          <w:t>GSRI</w:t>
        </w:r>
      </w:hyperlink>
      <w:r w:rsidRPr="00AB58D9">
        <w:rPr>
          <w:lang w:val="nl-NL"/>
        </w:rPr>
        <w:t>)</w:t>
      </w:r>
    </w:p>
    <w:p w14:paraId="4A33B498" w14:textId="77777777" w:rsidR="00AB58D9" w:rsidRPr="00AB58D9" w:rsidRDefault="00AB58D9" w:rsidP="00AB58D9">
      <w:pPr>
        <w:rPr>
          <w:lang w:val="nl-NL"/>
        </w:rPr>
      </w:pPr>
      <w:r w:rsidRPr="00AB58D9">
        <w:rPr>
          <w:lang w:val="nl-NL"/>
        </w:rPr>
        <w:t xml:space="preserve">Een tweede nationale laag is de </w:t>
      </w:r>
      <w:r w:rsidRPr="00AB58D9">
        <w:rPr>
          <w:b/>
          <w:bCs/>
          <w:lang w:val="nl-NL"/>
        </w:rPr>
        <w:t>Hellenic Foundation for Research and Innovation (HFRI / ELIDEK)</w:t>
      </w:r>
      <w:r w:rsidRPr="00AB58D9">
        <w:rPr>
          <w:lang w:val="nl-NL"/>
        </w:rPr>
        <w:t xml:space="preserve">. HFRI is opgericht in 2016, heeft een eigen institutioneel kader en governance-architectuur, en ondersteunt onderzoek op basis van kwaliteit en excellentie. Voor jouw project is vooral belangrijk dat HFRI in zijn calls een eigen sectie </w:t>
      </w:r>
      <w:r w:rsidRPr="00AB58D9">
        <w:rPr>
          <w:b/>
          <w:bCs/>
          <w:lang w:val="nl-NL"/>
        </w:rPr>
        <w:t>“Ensuring research integrity”</w:t>
      </w:r>
      <w:r w:rsidRPr="00AB58D9">
        <w:rPr>
          <w:lang w:val="nl-NL"/>
        </w:rPr>
        <w:t xml:space="preserve"> heeft en daar expliciet gedrag eist in overeenstemming met ethics and deontology, scientific truth, academic freedom, human dignity, </w:t>
      </w:r>
      <w:r w:rsidRPr="00AB58D9">
        <w:rPr>
          <w:lang w:val="nl-NL"/>
        </w:rPr>
        <w:lastRenderedPageBreak/>
        <w:t xml:space="preserve">environmental protection, and intellectual/industrial property. De calls noemen expliciet dat appropriating, falsifying, plagiarising or misleadingly presenting results niet zijn toegestaan en dat dit tot uitsluiting of terugvordering kan leiden. Daarmee is HFRI duidelijk een </w:t>
      </w:r>
      <w:r w:rsidRPr="00AB58D9">
        <w:rPr>
          <w:b/>
          <w:bCs/>
          <w:lang w:val="nl-NL"/>
        </w:rPr>
        <w:t>compliance actor</w:t>
      </w:r>
      <w:r w:rsidRPr="00AB58D9">
        <w:rPr>
          <w:lang w:val="nl-NL"/>
        </w:rPr>
        <w:t>, niet alleen een financier. (</w:t>
      </w:r>
      <w:hyperlink r:id="rId13" w:tooltip="https://www.elidek.gr/en/2020/12/24/h-f-r-i-supporting-research-enhancing-innovation-2/" w:history="1">
        <w:r w:rsidRPr="00AB58D9">
          <w:rPr>
            <w:rStyle w:val="Hyperlink"/>
            <w:lang w:val="nl-NL"/>
          </w:rPr>
          <w:t>elidek.gr</w:t>
        </w:r>
      </w:hyperlink>
      <w:r w:rsidRPr="00AB58D9">
        <w:rPr>
          <w:lang w:val="nl-NL"/>
        </w:rPr>
        <w:t>)</w:t>
      </w:r>
    </w:p>
    <w:p w14:paraId="3CA40462" w14:textId="77777777" w:rsidR="00AB58D9" w:rsidRPr="00AB58D9" w:rsidRDefault="00AB58D9" w:rsidP="00AB58D9">
      <w:pPr>
        <w:rPr>
          <w:b/>
          <w:bCs/>
          <w:lang w:val="nl-NL"/>
        </w:rPr>
      </w:pPr>
      <w:r w:rsidRPr="00AB58D9">
        <w:rPr>
          <w:b/>
          <w:bCs/>
          <w:lang w:val="nl-NL"/>
        </w:rPr>
        <w:t>4. De nationale advieslaag: bio-ethiek en techno-ethiek</w:t>
      </w:r>
    </w:p>
    <w:p w14:paraId="7B490348" w14:textId="77777777" w:rsidR="00AB58D9" w:rsidRPr="00AB58D9" w:rsidRDefault="00AB58D9" w:rsidP="00AB58D9">
      <w:pPr>
        <w:rPr>
          <w:lang w:val="nl-NL"/>
        </w:rPr>
      </w:pPr>
      <w:r w:rsidRPr="00AB58D9">
        <w:rPr>
          <w:lang w:val="nl-NL"/>
        </w:rPr>
        <w:t xml:space="preserve">Een heel belangrijke Griekse actor is de </w:t>
      </w:r>
      <w:r w:rsidRPr="00AB58D9">
        <w:rPr>
          <w:b/>
          <w:bCs/>
          <w:lang w:val="nl-NL"/>
        </w:rPr>
        <w:t>National Commission for Bioethics and Technoethics</w:t>
      </w:r>
      <w:r w:rsidRPr="00AB58D9">
        <w:rPr>
          <w:lang w:val="nl-NL"/>
        </w:rPr>
        <w:t xml:space="preserve">. Dit is een </w:t>
      </w:r>
      <w:r w:rsidRPr="00AB58D9">
        <w:rPr>
          <w:b/>
          <w:bCs/>
          <w:lang w:val="nl-NL"/>
        </w:rPr>
        <w:t>onafhankelijk adviesorgaan van de staat</w:t>
      </w:r>
      <w:r w:rsidRPr="00AB58D9">
        <w:rPr>
          <w:lang w:val="nl-NL"/>
        </w:rPr>
        <w:t xml:space="preserve">, ingesteld bij </w:t>
      </w:r>
      <w:r w:rsidRPr="00AB58D9">
        <w:rPr>
          <w:b/>
          <w:bCs/>
          <w:lang w:val="nl-NL"/>
        </w:rPr>
        <w:t>Law 4780/2021</w:t>
      </w:r>
      <w:r w:rsidRPr="00AB58D9">
        <w:rPr>
          <w:lang w:val="nl-NL"/>
        </w:rPr>
        <w:t xml:space="preserve">, dat aan de Prime Minister rapporteert en administratief/financieel wordt ondersteund door de Presidency of Government. De missie omvat de ethische, sociale en juridische dimensies van biologie, biotechnologie, geneeskunde, genetica, AI, geavanceerde algoritmen en robotica. De commissie kan beleidsvoorstellen doen, richtlijnen en adviezen uitbrengen, rapporten publiceren, wetgevingsvoorstellen voorbereiden en internationale vertegenwoordiging opnemen. Zij bestaat uit </w:t>
      </w:r>
      <w:r w:rsidRPr="00AB58D9">
        <w:rPr>
          <w:b/>
          <w:bCs/>
          <w:lang w:val="nl-NL"/>
        </w:rPr>
        <w:t>13 hoog aangeschreven wetenschappers</w:t>
      </w:r>
      <w:r w:rsidRPr="00AB58D9">
        <w:rPr>
          <w:lang w:val="nl-NL"/>
        </w:rPr>
        <w:t>. (</w:t>
      </w:r>
      <w:hyperlink r:id="rId14" w:tooltip="https://bioethics.gr/en/page/armodiothtes-13" w:history="1">
        <w:r w:rsidRPr="00AB58D9">
          <w:rPr>
            <w:rStyle w:val="Hyperlink"/>
            <w:lang w:val="nl-NL"/>
          </w:rPr>
          <w:t>Bioethics</w:t>
        </w:r>
      </w:hyperlink>
      <w:r w:rsidRPr="00AB58D9">
        <w:rPr>
          <w:lang w:val="nl-NL"/>
        </w:rPr>
        <w:t>)</w:t>
      </w:r>
    </w:p>
    <w:p w14:paraId="3B0FDFA3" w14:textId="77777777" w:rsidR="00AB58D9" w:rsidRPr="00AB58D9" w:rsidRDefault="00AB58D9" w:rsidP="00AB58D9">
      <w:pPr>
        <w:rPr>
          <w:lang w:val="nl-NL"/>
        </w:rPr>
      </w:pPr>
      <w:r w:rsidRPr="00AB58D9">
        <w:rPr>
          <w:lang w:val="nl-NL"/>
        </w:rPr>
        <w:t xml:space="preserve">Voor jouw onderzoek is deze commissie methodologisch heel belangrijk, juist omdat zij </w:t>
      </w:r>
      <w:r w:rsidRPr="00AB58D9">
        <w:rPr>
          <w:b/>
          <w:bCs/>
          <w:lang w:val="nl-NL"/>
        </w:rPr>
        <w:t>geen nationale misconduct board</w:t>
      </w:r>
      <w:r w:rsidRPr="00AB58D9">
        <w:rPr>
          <w:lang w:val="nl-NL"/>
        </w:rPr>
        <w:t xml:space="preserve"> is. Zij lijkt veel meer op een </w:t>
      </w:r>
      <w:r w:rsidRPr="00AB58D9">
        <w:rPr>
          <w:b/>
          <w:bCs/>
          <w:lang w:val="nl-NL"/>
        </w:rPr>
        <w:t>normatieve en reflectieve bovenlaag</w:t>
      </w:r>
      <w:r w:rsidRPr="00AB58D9">
        <w:rPr>
          <w:lang w:val="nl-NL"/>
        </w:rPr>
        <w:t>: zij definieert, adviseert, verduidelijkt overlap en publiceert aanbevelingen. Daarmee speelt zij in Griekenland een rol die deels normatief is, deels coördinerend, maar niet rechtstreeks sanctionerend. (</w:t>
      </w:r>
      <w:hyperlink r:id="rId15" w:tooltip="https://bioethics.gr/en/page/armodiothtes-13" w:history="1">
        <w:r w:rsidRPr="00AB58D9">
          <w:rPr>
            <w:rStyle w:val="Hyperlink"/>
            <w:lang w:val="nl-NL"/>
          </w:rPr>
          <w:t>Bioethics</w:t>
        </w:r>
      </w:hyperlink>
      <w:r w:rsidRPr="00AB58D9">
        <w:rPr>
          <w:lang w:val="nl-NL"/>
        </w:rPr>
        <w:t>)</w:t>
      </w:r>
    </w:p>
    <w:p w14:paraId="6B033B11" w14:textId="77777777" w:rsidR="00AB58D9" w:rsidRPr="00AB58D9" w:rsidRDefault="00AB58D9" w:rsidP="00AB58D9">
      <w:pPr>
        <w:rPr>
          <w:lang w:val="nl-NL"/>
        </w:rPr>
      </w:pPr>
      <w:r w:rsidRPr="00AB58D9">
        <w:rPr>
          <w:lang w:val="nl-NL"/>
        </w:rPr>
        <w:t xml:space="preserve">Bovendien heeft deze commissie een belangrijke </w:t>
      </w:r>
      <w:r w:rsidRPr="00AB58D9">
        <w:rPr>
          <w:b/>
          <w:bCs/>
          <w:lang w:val="nl-NL"/>
        </w:rPr>
        <w:t>historische documentlaag</w:t>
      </w:r>
      <w:r w:rsidRPr="00AB58D9">
        <w:rPr>
          <w:lang w:val="nl-NL"/>
        </w:rPr>
        <w:t xml:space="preserve">. Al haar voorganger, de vroegere National Bioethics Commission, publiceerde onder meer in </w:t>
      </w:r>
      <w:r w:rsidRPr="00AB58D9">
        <w:rPr>
          <w:b/>
          <w:bCs/>
          <w:lang w:val="nl-NL"/>
        </w:rPr>
        <w:t>2008</w:t>
      </w:r>
      <w:r w:rsidRPr="00AB58D9">
        <w:rPr>
          <w:lang w:val="nl-NL"/>
        </w:rPr>
        <w:t xml:space="preserve"> een </w:t>
      </w:r>
      <w:r w:rsidRPr="00AB58D9">
        <w:rPr>
          <w:b/>
          <w:bCs/>
          <w:lang w:val="nl-NL"/>
        </w:rPr>
        <w:t>Report on Research Ethics in Biological Sciences</w:t>
      </w:r>
      <w:r w:rsidRPr="00AB58D9">
        <w:rPr>
          <w:lang w:val="nl-NL"/>
        </w:rPr>
        <w:t xml:space="preserve">, in </w:t>
      </w:r>
      <w:r w:rsidRPr="00AB58D9">
        <w:rPr>
          <w:b/>
          <w:bCs/>
          <w:lang w:val="nl-NL"/>
        </w:rPr>
        <w:t>2008</w:t>
      </w:r>
      <w:r w:rsidRPr="00AB58D9">
        <w:rPr>
          <w:lang w:val="nl-NL"/>
        </w:rPr>
        <w:t xml:space="preserve"> een </w:t>
      </w:r>
      <w:r w:rsidRPr="00AB58D9">
        <w:rPr>
          <w:b/>
          <w:bCs/>
          <w:lang w:val="nl-NL"/>
        </w:rPr>
        <w:t>Guide for Research Ethics Committees for Biological Research</w:t>
      </w:r>
      <w:r w:rsidRPr="00AB58D9">
        <w:rPr>
          <w:lang w:val="nl-NL"/>
        </w:rPr>
        <w:t xml:space="preserve">, en in </w:t>
      </w:r>
      <w:r w:rsidRPr="00AB58D9">
        <w:rPr>
          <w:b/>
          <w:bCs/>
          <w:lang w:val="nl-NL"/>
        </w:rPr>
        <w:t>2018</w:t>
      </w:r>
      <w:r w:rsidRPr="00AB58D9">
        <w:rPr>
          <w:lang w:val="nl-NL"/>
        </w:rPr>
        <w:t xml:space="preserve"> een </w:t>
      </w:r>
      <w:r w:rsidRPr="00AB58D9">
        <w:rPr>
          <w:b/>
          <w:bCs/>
          <w:lang w:val="nl-NL"/>
        </w:rPr>
        <w:t>Recommendation on the competencies of Research Ethics and Deontology Committees under Law 4521/2018</w:t>
      </w:r>
      <w:r w:rsidRPr="00AB58D9">
        <w:rPr>
          <w:lang w:val="nl-NL"/>
        </w:rPr>
        <w:t xml:space="preserve">. Voor jouw bronkaart zijn dat geen “achtergrondteksten”, maar echte </w:t>
      </w:r>
      <w:r w:rsidRPr="00AB58D9">
        <w:rPr>
          <w:b/>
          <w:bCs/>
          <w:lang w:val="nl-NL"/>
        </w:rPr>
        <w:t>vormende documenten</w:t>
      </w:r>
      <w:r w:rsidRPr="00AB58D9">
        <w:rPr>
          <w:lang w:val="nl-NL"/>
        </w:rPr>
        <w:t xml:space="preserve"> die laten zien hoe Griekenland over de relatie tussen research ethics en research integrity heeft nagedacht. (</w:t>
      </w:r>
      <w:hyperlink r:id="rId16" w:tooltip="https://bioethics.gr/api/files/download/1533/reseth-rep-en.pdf?attachment=false" w:history="1">
        <w:r w:rsidRPr="00AB58D9">
          <w:rPr>
            <w:rStyle w:val="Hyperlink"/>
            <w:lang w:val="nl-NL"/>
          </w:rPr>
          <w:t>Bioethics</w:t>
        </w:r>
      </w:hyperlink>
      <w:r w:rsidRPr="00AB58D9">
        <w:rPr>
          <w:lang w:val="nl-NL"/>
        </w:rPr>
        <w:t>)</w:t>
      </w:r>
    </w:p>
    <w:p w14:paraId="75FDE69F" w14:textId="77777777" w:rsidR="00AB58D9" w:rsidRPr="00AB58D9" w:rsidRDefault="00AB58D9" w:rsidP="00AB58D9">
      <w:pPr>
        <w:rPr>
          <w:b/>
          <w:bCs/>
          <w:lang w:val="nl-NL"/>
        </w:rPr>
      </w:pPr>
      <w:r w:rsidRPr="00AB58D9">
        <w:rPr>
          <w:b/>
          <w:bCs/>
          <w:lang w:val="nl-NL"/>
        </w:rPr>
        <w:t>5. Netwerken en kennisinfrastructuur</w:t>
      </w:r>
    </w:p>
    <w:p w14:paraId="28854DE3" w14:textId="77777777" w:rsidR="00AB58D9" w:rsidRPr="00AB58D9" w:rsidRDefault="00AB58D9" w:rsidP="00AB58D9">
      <w:pPr>
        <w:rPr>
          <w:lang w:val="nl-NL"/>
        </w:rPr>
      </w:pPr>
      <w:r w:rsidRPr="00AB58D9">
        <w:rPr>
          <w:lang w:val="nl-NL"/>
        </w:rPr>
        <w:t xml:space="preserve">Wat Griekenland op nationaal niveau mist aan één centrale misconductinstantie, lijkt het deels op te vangen met </w:t>
      </w:r>
      <w:r w:rsidRPr="00AB58D9">
        <w:rPr>
          <w:b/>
          <w:bCs/>
          <w:lang w:val="nl-NL"/>
        </w:rPr>
        <w:t>netwerken en projecten</w:t>
      </w:r>
      <w:r w:rsidRPr="00AB58D9">
        <w:rPr>
          <w:lang w:val="nl-NL"/>
        </w:rPr>
        <w:t xml:space="preserve">. ENRIO noemt expliciet twee initiatieven: </w:t>
      </w:r>
      <w:r w:rsidRPr="00AB58D9">
        <w:rPr>
          <w:b/>
          <w:bCs/>
          <w:lang w:val="nl-NL"/>
        </w:rPr>
        <w:t>EARTHnet</w:t>
      </w:r>
      <w:r w:rsidRPr="00AB58D9">
        <w:rPr>
          <w:lang w:val="nl-NL"/>
        </w:rPr>
        <w:t xml:space="preserve">, gestart in 2008 om een nationale code and committee te bevorderen, en </w:t>
      </w:r>
      <w:r w:rsidRPr="00AB58D9">
        <w:rPr>
          <w:b/>
          <w:bCs/>
          <w:lang w:val="nl-NL"/>
        </w:rPr>
        <w:t>RCR-Greece</w:t>
      </w:r>
      <w:r w:rsidRPr="00AB58D9">
        <w:rPr>
          <w:lang w:val="nl-NL"/>
        </w:rPr>
        <w:t xml:space="preserve">, gestart in 2014 als een vrijwillig nonprofit netwerk voor responsible conduct of research. ENRIO zegt ook expliciet dat er sinds Law 4521/2018 een nieuw lokaal-institutioneel kader is ontstaan via de verplichte REDCs. Voor jouw kaart betekent dat dat Griekenland een duidelijke </w:t>
      </w:r>
      <w:r w:rsidRPr="00AB58D9">
        <w:rPr>
          <w:b/>
          <w:bCs/>
          <w:lang w:val="nl-NL"/>
        </w:rPr>
        <w:t>network layer</w:t>
      </w:r>
      <w:r w:rsidRPr="00AB58D9">
        <w:rPr>
          <w:lang w:val="nl-NL"/>
        </w:rPr>
        <w:t xml:space="preserve"> heeft naast de formele wet. (</w:t>
      </w:r>
      <w:hyperlink r:id="rId17" w:tooltip="https://www.enrio.eu/country-reports/greece/" w:history="1">
        <w:r w:rsidRPr="00AB58D9">
          <w:rPr>
            <w:rStyle w:val="Hyperlink"/>
            <w:lang w:val="nl-NL"/>
          </w:rPr>
          <w:t>ENRIO</w:t>
        </w:r>
      </w:hyperlink>
      <w:r w:rsidRPr="00AB58D9">
        <w:rPr>
          <w:lang w:val="nl-NL"/>
        </w:rPr>
        <w:t>)</w:t>
      </w:r>
    </w:p>
    <w:p w14:paraId="1D09B524" w14:textId="77777777" w:rsidR="00AB58D9" w:rsidRPr="00AB58D9" w:rsidRDefault="00AB58D9" w:rsidP="00AB58D9">
      <w:pPr>
        <w:rPr>
          <w:lang w:val="nl-NL"/>
        </w:rPr>
      </w:pPr>
      <w:r w:rsidRPr="00AB58D9">
        <w:rPr>
          <w:b/>
          <w:bCs/>
          <w:lang w:val="nl-NL"/>
        </w:rPr>
        <w:lastRenderedPageBreak/>
        <w:t>EARTHnet</w:t>
      </w:r>
      <w:r w:rsidRPr="00AB58D9">
        <w:rPr>
          <w:lang w:val="nl-NL"/>
        </w:rPr>
        <w:t xml:space="preserve"> is hier bijzonder interessant. Beschrijvingen vanuit NTUA verbinden EARTHnet met zowel </w:t>
      </w:r>
      <w:r w:rsidRPr="00AB58D9">
        <w:rPr>
          <w:b/>
          <w:bCs/>
          <w:lang w:val="nl-NL"/>
        </w:rPr>
        <w:t>research ethics</w:t>
      </w:r>
      <w:r w:rsidRPr="00AB58D9">
        <w:rPr>
          <w:lang w:val="nl-NL"/>
        </w:rPr>
        <w:t xml:space="preserve"> als </w:t>
      </w:r>
      <w:r w:rsidRPr="00AB58D9">
        <w:rPr>
          <w:b/>
          <w:bCs/>
          <w:lang w:val="nl-NL"/>
        </w:rPr>
        <w:t>research integrity</w:t>
      </w:r>
      <w:r w:rsidRPr="00AB58D9">
        <w:rPr>
          <w:lang w:val="nl-NL"/>
        </w:rPr>
        <w:t xml:space="preserve">, en noemen expliciet kwesties als plagiarism, data manipulation and scientific fraud. Daarmee is EARTHnet een goed voorbeeld van een Grieks document- en netwerkcluster dat niet puur institutioneel of puur nationaal is, maar ertussenin hangt als </w:t>
      </w:r>
      <w:r w:rsidRPr="00AB58D9">
        <w:rPr>
          <w:b/>
          <w:bCs/>
          <w:lang w:val="nl-NL"/>
        </w:rPr>
        <w:t>epistemische infrastructuur</w:t>
      </w:r>
      <w:r w:rsidRPr="00AB58D9">
        <w:rPr>
          <w:lang w:val="nl-NL"/>
        </w:rPr>
        <w:t>. (</w:t>
      </w:r>
      <w:hyperlink r:id="rId18" w:tooltip="https://earthnet.ntua.gr/description/?lang=en" w:history="1">
        <w:r w:rsidRPr="00AB58D9">
          <w:rPr>
            <w:rStyle w:val="Hyperlink"/>
            <w:lang w:val="nl-NL"/>
          </w:rPr>
          <w:t>earthnet.ntua.gr</w:t>
        </w:r>
      </w:hyperlink>
      <w:r w:rsidRPr="00AB58D9">
        <w:rPr>
          <w:lang w:val="nl-NL"/>
        </w:rPr>
        <w:t>)</w:t>
      </w:r>
    </w:p>
    <w:p w14:paraId="1876D7FC" w14:textId="77777777" w:rsidR="00AB58D9" w:rsidRPr="00AB58D9" w:rsidRDefault="00AB58D9" w:rsidP="00AB58D9">
      <w:pPr>
        <w:rPr>
          <w:lang w:val="nl-NL"/>
        </w:rPr>
      </w:pPr>
      <w:r w:rsidRPr="00AB58D9">
        <w:rPr>
          <w:lang w:val="nl-NL"/>
        </w:rPr>
        <w:t xml:space="preserve">Ook </w:t>
      </w:r>
      <w:r w:rsidRPr="00AB58D9">
        <w:rPr>
          <w:b/>
          <w:bCs/>
          <w:lang w:val="nl-NL"/>
        </w:rPr>
        <w:t>NTUA</w:t>
      </w:r>
      <w:r w:rsidRPr="00AB58D9">
        <w:rPr>
          <w:lang w:val="nl-NL"/>
        </w:rPr>
        <w:t xml:space="preserve"> is op dit vlak een sleutelinstelling, omdat het via zijn Special Account for Research Funds betrokken is bij Europese integriteitsprojecten zoals </w:t>
      </w:r>
      <w:r w:rsidRPr="00AB58D9">
        <w:rPr>
          <w:b/>
          <w:bCs/>
          <w:lang w:val="nl-NL"/>
        </w:rPr>
        <w:t>ENERI</w:t>
      </w:r>
      <w:r w:rsidRPr="00AB58D9">
        <w:rPr>
          <w:lang w:val="nl-NL"/>
        </w:rPr>
        <w:t xml:space="preserve">, </w:t>
      </w:r>
      <w:r w:rsidRPr="00AB58D9">
        <w:rPr>
          <w:b/>
          <w:bCs/>
          <w:lang w:val="nl-NL"/>
        </w:rPr>
        <w:t>RE4GREEN</w:t>
      </w:r>
      <w:r w:rsidRPr="00AB58D9">
        <w:rPr>
          <w:lang w:val="nl-NL"/>
        </w:rPr>
        <w:t xml:space="preserve"> en </w:t>
      </w:r>
      <w:r w:rsidRPr="00AB58D9">
        <w:rPr>
          <w:b/>
          <w:bCs/>
          <w:lang w:val="nl-NL"/>
        </w:rPr>
        <w:t>AI-THOS</w:t>
      </w:r>
      <w:r w:rsidRPr="00AB58D9">
        <w:rPr>
          <w:lang w:val="nl-NL"/>
        </w:rPr>
        <w:t xml:space="preserve">. Dat laat zien dat delen van het Griekse landschap sterk </w:t>
      </w:r>
      <w:r w:rsidRPr="00AB58D9">
        <w:rPr>
          <w:b/>
          <w:bCs/>
          <w:lang w:val="nl-NL"/>
        </w:rPr>
        <w:t>Europees ingebed</w:t>
      </w:r>
      <w:r w:rsidRPr="00AB58D9">
        <w:rPr>
          <w:lang w:val="nl-NL"/>
        </w:rPr>
        <w:t xml:space="preserve"> zijn en dat je voor Griekenland naast nationale documenten waarschijnlijk ook projectdocumentatie als aparte bronsoort moet verzamelen. (</w:t>
      </w:r>
      <w:hyperlink r:id="rId19" w:tooltip="https://www.elke.ntua.gr/en/research_project/eneri-european-network-of-research-ethics-and-research-integrity-2/" w:history="1">
        <w:r w:rsidRPr="00AB58D9">
          <w:rPr>
            <w:rStyle w:val="Hyperlink"/>
            <w:lang w:val="nl-NL"/>
          </w:rPr>
          <w:t>Elke</w:t>
        </w:r>
      </w:hyperlink>
      <w:r w:rsidRPr="00AB58D9">
        <w:rPr>
          <w:lang w:val="nl-NL"/>
        </w:rPr>
        <w:t>)</w:t>
      </w:r>
    </w:p>
    <w:p w14:paraId="224890FA" w14:textId="77777777" w:rsidR="00AB58D9" w:rsidRPr="00AB58D9" w:rsidRDefault="00AB58D9" w:rsidP="00AB58D9">
      <w:pPr>
        <w:rPr>
          <w:b/>
          <w:bCs/>
          <w:lang w:val="nl-NL"/>
        </w:rPr>
      </w:pPr>
      <w:r w:rsidRPr="00AB58D9">
        <w:rPr>
          <w:b/>
          <w:bCs/>
          <w:lang w:val="nl-NL"/>
        </w:rPr>
        <w:t>6. De institutionele laag: hier zit de feitelijke kern</w:t>
      </w:r>
    </w:p>
    <w:p w14:paraId="54EE83A9" w14:textId="77777777" w:rsidR="00AB58D9" w:rsidRPr="00AB58D9" w:rsidRDefault="00AB58D9" w:rsidP="00AB58D9">
      <w:pPr>
        <w:rPr>
          <w:lang w:val="nl-NL"/>
        </w:rPr>
      </w:pPr>
      <w:r w:rsidRPr="00AB58D9">
        <w:rPr>
          <w:lang w:val="nl-NL"/>
        </w:rPr>
        <w:t xml:space="preserve">Als je Griekenland echt in kaart wilt brengen, dan ligt de </w:t>
      </w:r>
      <w:r w:rsidRPr="00AB58D9">
        <w:rPr>
          <w:b/>
          <w:bCs/>
          <w:lang w:val="nl-NL"/>
        </w:rPr>
        <w:t>echte kern op institutioneel niveau</w:t>
      </w:r>
      <w:r w:rsidRPr="00AB58D9">
        <w:rPr>
          <w:lang w:val="nl-NL"/>
        </w:rPr>
        <w:t xml:space="preserve">. Dat blijkt niet alleen uit ENRIO’s observatie dat cases lokaal en ad hoc worden behandeld, maar ook uit de rijkdom van institutionele regelgeving. De </w:t>
      </w:r>
      <w:r w:rsidRPr="00AB58D9">
        <w:rPr>
          <w:b/>
          <w:bCs/>
          <w:lang w:val="nl-NL"/>
        </w:rPr>
        <w:t>National and Kapodistrian University of Athens (NKUA)</w:t>
      </w:r>
      <w:r w:rsidRPr="00AB58D9">
        <w:rPr>
          <w:lang w:val="nl-NL"/>
        </w:rPr>
        <w:t xml:space="preserve"> is hier een bijzonder sterke voorbeeldbron. De NKUA-regeling maakt duidelijk dat de REC is opgericht onder Law 4521/2018, de </w:t>
      </w:r>
      <w:r w:rsidRPr="00AB58D9">
        <w:rPr>
          <w:b/>
          <w:bCs/>
          <w:lang w:val="nl-NL"/>
        </w:rPr>
        <w:t>reliability of research</w:t>
      </w:r>
      <w:r w:rsidRPr="00AB58D9">
        <w:rPr>
          <w:lang w:val="nl-NL"/>
        </w:rPr>
        <w:t xml:space="preserve"> moet garanderen, en onderwerpen bestrijkt als human value, health, autonomy, privacy/personal data, equality and non-discrimination, IP, and the natural and cultural environment. De commissie heeft </w:t>
      </w:r>
      <w:r w:rsidRPr="00AB58D9">
        <w:rPr>
          <w:b/>
          <w:bCs/>
          <w:lang w:val="nl-NL"/>
        </w:rPr>
        <w:t>7 members</w:t>
      </w:r>
      <w:r w:rsidRPr="00AB58D9">
        <w:rPr>
          <w:lang w:val="nl-NL"/>
        </w:rPr>
        <w:t xml:space="preserve">, waarvan </w:t>
      </w:r>
      <w:r w:rsidRPr="00AB58D9">
        <w:rPr>
          <w:b/>
          <w:bCs/>
          <w:lang w:val="nl-NL"/>
        </w:rPr>
        <w:t>5 internal and 2 external</w:t>
      </w:r>
      <w:r w:rsidRPr="00AB58D9">
        <w:rPr>
          <w:lang w:val="nl-NL"/>
        </w:rPr>
        <w:t xml:space="preserve">, met ten minste één specialist in ethics/bioethics. De regeling bepaalt ook dat de commissie awareness moet bevorderen, met de National Bioethics Committee mag samenwerken, een </w:t>
      </w:r>
      <w:r w:rsidRPr="00AB58D9">
        <w:rPr>
          <w:b/>
          <w:bCs/>
          <w:lang w:val="nl-NL"/>
        </w:rPr>
        <w:t>annual activity report</w:t>
      </w:r>
      <w:r w:rsidRPr="00AB58D9">
        <w:rPr>
          <w:lang w:val="nl-NL"/>
        </w:rPr>
        <w:t xml:space="preserve"> opstelt, en dat haar decisions </w:t>
      </w:r>
      <w:r w:rsidRPr="00AB58D9">
        <w:rPr>
          <w:b/>
          <w:bCs/>
          <w:lang w:val="nl-NL"/>
        </w:rPr>
        <w:t>binding on NKUA</w:t>
      </w:r>
      <w:r w:rsidRPr="00AB58D9">
        <w:rPr>
          <w:lang w:val="nl-NL"/>
        </w:rPr>
        <w:t xml:space="preserve"> zijn. (</w:t>
      </w:r>
      <w:hyperlink r:id="rId20" w:tooltip="https://angers-fr.frl.uoa.gr/fileadmin/depts/frl.uoa.gr/angers/uploads/ETHICS.pdf" w:history="1">
        <w:r w:rsidRPr="00AB58D9">
          <w:rPr>
            <w:rStyle w:val="Hyperlink"/>
            <w:lang w:val="nl-NL"/>
          </w:rPr>
          <w:t>SiteB-EN</w:t>
        </w:r>
      </w:hyperlink>
      <w:r w:rsidRPr="00AB58D9">
        <w:rPr>
          <w:lang w:val="nl-NL"/>
        </w:rPr>
        <w:t>)</w:t>
      </w:r>
    </w:p>
    <w:p w14:paraId="5D3DD71D" w14:textId="77777777" w:rsidR="00AB58D9" w:rsidRPr="00AB58D9" w:rsidRDefault="00AB58D9" w:rsidP="00AB58D9">
      <w:pPr>
        <w:rPr>
          <w:lang w:val="nl-NL"/>
        </w:rPr>
      </w:pPr>
      <w:r w:rsidRPr="00AB58D9">
        <w:rPr>
          <w:lang w:val="nl-NL"/>
        </w:rPr>
        <w:t xml:space="preserve">De </w:t>
      </w:r>
      <w:r w:rsidRPr="00AB58D9">
        <w:rPr>
          <w:b/>
          <w:bCs/>
          <w:lang w:val="nl-NL"/>
        </w:rPr>
        <w:t>Aristotle University of Thessaloniki (AUTH)</w:t>
      </w:r>
      <w:r w:rsidRPr="00AB58D9">
        <w:rPr>
          <w:lang w:val="nl-NL"/>
        </w:rPr>
        <w:t xml:space="preserve"> bevestigt hetzelfde patroon, maar vult het nog iets steviger in richting research integrity. AUTH’s regulering zegt expliciet dat de committee toezicht houdt op compliance met the generally accepted principles of research integrity and fair scientific practice, naast bescherming van fundamentele mensenrechten, privacy, persoonsgegevens, en natural/cultural environment. Ook hier zie je de samenstelling van </w:t>
      </w:r>
      <w:r w:rsidRPr="00AB58D9">
        <w:rPr>
          <w:b/>
          <w:bCs/>
          <w:lang w:val="nl-NL"/>
        </w:rPr>
        <w:t>7 members</w:t>
      </w:r>
      <w:r w:rsidRPr="00AB58D9">
        <w:rPr>
          <w:lang w:val="nl-NL"/>
        </w:rPr>
        <w:t xml:space="preserve"> met </w:t>
      </w:r>
      <w:r w:rsidRPr="00AB58D9">
        <w:rPr>
          <w:b/>
          <w:bCs/>
          <w:lang w:val="nl-NL"/>
        </w:rPr>
        <w:t>5 internal and 2 external</w:t>
      </w:r>
      <w:r w:rsidRPr="00AB58D9">
        <w:rPr>
          <w:lang w:val="nl-NL"/>
        </w:rPr>
        <w:t xml:space="preserve">. Dat is een sterk bewijs dat “ethics and deontology” in Griekenland in de praktijk ook een </w:t>
      </w:r>
      <w:r w:rsidRPr="00AB58D9">
        <w:rPr>
          <w:b/>
          <w:bCs/>
          <w:lang w:val="nl-NL"/>
        </w:rPr>
        <w:t>integriteitsfunctie</w:t>
      </w:r>
      <w:r w:rsidRPr="00AB58D9">
        <w:rPr>
          <w:lang w:val="nl-NL"/>
        </w:rPr>
        <w:t xml:space="preserve"> heeft. (</w:t>
      </w:r>
      <w:hyperlink r:id="rId21" w:tooltip="https://ehde.auth.gr/en/home/" w:history="1">
        <w:r w:rsidRPr="00AB58D9">
          <w:rPr>
            <w:rStyle w:val="Hyperlink"/>
            <w:lang w:val="nl-NL"/>
          </w:rPr>
          <w:t>ehde.auth.gr</w:t>
        </w:r>
      </w:hyperlink>
      <w:r w:rsidRPr="00AB58D9">
        <w:rPr>
          <w:lang w:val="nl-NL"/>
        </w:rPr>
        <w:t>)</w:t>
      </w:r>
    </w:p>
    <w:p w14:paraId="287262E1" w14:textId="77777777" w:rsidR="00AB58D9" w:rsidRPr="00AB58D9" w:rsidRDefault="00AB58D9" w:rsidP="00AB58D9">
      <w:pPr>
        <w:rPr>
          <w:lang w:val="nl-NL"/>
        </w:rPr>
      </w:pPr>
      <w:r w:rsidRPr="00AB58D9">
        <w:rPr>
          <w:lang w:val="nl-NL"/>
        </w:rPr>
        <w:t xml:space="preserve">Bij de </w:t>
      </w:r>
      <w:r w:rsidRPr="00AB58D9">
        <w:rPr>
          <w:b/>
          <w:bCs/>
          <w:lang w:val="nl-NL"/>
        </w:rPr>
        <w:t>University of Thessaly</w:t>
      </w:r>
      <w:r w:rsidRPr="00AB58D9">
        <w:rPr>
          <w:lang w:val="nl-NL"/>
        </w:rPr>
        <w:t xml:space="preserve"> zie je nog een extra laag. Naast de centrale EHDE onder Law 4521/2018 bevat de universiteitscode een structuur waarbij </w:t>
      </w:r>
      <w:r w:rsidRPr="00AB58D9">
        <w:rPr>
          <w:b/>
          <w:bCs/>
          <w:lang w:val="nl-NL"/>
        </w:rPr>
        <w:t>each academic department</w:t>
      </w:r>
      <w:r w:rsidRPr="00AB58D9">
        <w:rPr>
          <w:lang w:val="nl-NL"/>
        </w:rPr>
        <w:t xml:space="preserve"> een </w:t>
      </w:r>
      <w:r w:rsidRPr="00AB58D9">
        <w:rPr>
          <w:b/>
          <w:bCs/>
          <w:lang w:val="nl-NL"/>
        </w:rPr>
        <w:t>3-member Internal Research Ethics and Conduct Committee</w:t>
      </w:r>
      <w:r w:rsidRPr="00AB58D9">
        <w:rPr>
          <w:lang w:val="nl-NL"/>
        </w:rPr>
        <w:t xml:space="preserve"> aanhoudt voor de mandatory evaluation of research protocols op bachelor-, master- en doctorandsniveau. Die code spreekt bovendien over anti-plagiarism measures and authenticity software such as Turnitin. Dat suggereert dat de Griekse institutionele laag </w:t>
      </w:r>
      <w:r w:rsidRPr="00AB58D9">
        <w:rPr>
          <w:lang w:val="nl-NL"/>
        </w:rPr>
        <w:lastRenderedPageBreak/>
        <w:t xml:space="preserve">soms nog verder wordt </w:t>
      </w:r>
      <w:r w:rsidRPr="00AB58D9">
        <w:rPr>
          <w:b/>
          <w:bCs/>
          <w:lang w:val="nl-NL"/>
        </w:rPr>
        <w:t>gedecentraliseerd naar departementen</w:t>
      </w:r>
      <w:r w:rsidRPr="00AB58D9">
        <w:rPr>
          <w:lang w:val="nl-NL"/>
        </w:rPr>
        <w:t>, in plaats van alleen naar het centrale universiteitsbestuur. (</w:t>
      </w:r>
      <w:hyperlink r:id="rId22" w:tooltip="https://pre.uth.gr/en/the-department/research/research-ethics/" w:history="1">
        <w:r w:rsidRPr="00AB58D9">
          <w:rPr>
            <w:rStyle w:val="Hyperlink"/>
            <w:lang w:val="nl-NL"/>
          </w:rPr>
          <w:t>pre.uth.gr</w:t>
        </w:r>
      </w:hyperlink>
      <w:r w:rsidRPr="00AB58D9">
        <w:rPr>
          <w:lang w:val="nl-NL"/>
        </w:rPr>
        <w:t>)</w:t>
      </w:r>
    </w:p>
    <w:p w14:paraId="4748286E" w14:textId="77777777" w:rsidR="00AB58D9" w:rsidRPr="00AB58D9" w:rsidRDefault="00AB58D9" w:rsidP="00AB58D9">
      <w:pPr>
        <w:rPr>
          <w:lang w:val="nl-NL"/>
        </w:rPr>
      </w:pPr>
      <w:r w:rsidRPr="00AB58D9">
        <w:rPr>
          <w:lang w:val="nl-NL"/>
        </w:rPr>
        <w:t xml:space="preserve">De </w:t>
      </w:r>
      <w:r w:rsidRPr="00AB58D9">
        <w:rPr>
          <w:b/>
          <w:bCs/>
          <w:lang w:val="nl-NL"/>
        </w:rPr>
        <w:t>University of Crete</w:t>
      </w:r>
      <w:r w:rsidRPr="00AB58D9">
        <w:rPr>
          <w:lang w:val="nl-NL"/>
        </w:rPr>
        <w:t xml:space="preserve"> laat weer een iets andere nadruk zien: daar staat de overkoepelende Research Ethics Committee nadrukkelijk in relatie tot research involving </w:t>
      </w:r>
      <w:r w:rsidRPr="00AB58D9">
        <w:rPr>
          <w:b/>
          <w:bCs/>
          <w:lang w:val="nl-NL"/>
        </w:rPr>
        <w:t>human participants and personal data</w:t>
      </w:r>
      <w:r w:rsidRPr="00AB58D9">
        <w:rPr>
          <w:lang w:val="nl-NL"/>
        </w:rPr>
        <w:t>. Dat is analytisch interessant, omdat het laat zien dat sommige Griekse instellingen hun REC duidelijker neerzetten als een gateway voor human-subjects en privacy issues, terwijl andere instellingen de commissie breder koppelen aan research integrity and fair practice. (</w:t>
      </w:r>
      <w:hyperlink r:id="rId23" w:tooltip="https://en.elke.uoc.gr/aboutus/legislation" w:history="1">
        <w:r w:rsidRPr="00AB58D9">
          <w:rPr>
            <w:rStyle w:val="Hyperlink"/>
            <w:lang w:val="nl-NL"/>
          </w:rPr>
          <w:t>en.elke.uoc.gr</w:t>
        </w:r>
      </w:hyperlink>
      <w:r w:rsidRPr="00AB58D9">
        <w:rPr>
          <w:lang w:val="nl-NL"/>
        </w:rPr>
        <w:t>)</w:t>
      </w:r>
    </w:p>
    <w:p w14:paraId="3643E3DF" w14:textId="77777777" w:rsidR="00AB58D9" w:rsidRPr="00AB58D9" w:rsidRDefault="00AB58D9" w:rsidP="00AB58D9">
      <w:pPr>
        <w:rPr>
          <w:lang w:val="nl-NL"/>
        </w:rPr>
      </w:pPr>
      <w:r w:rsidRPr="00AB58D9">
        <w:rPr>
          <w:lang w:val="nl-NL"/>
        </w:rPr>
        <w:t xml:space="preserve">De </w:t>
      </w:r>
      <w:r w:rsidRPr="00AB58D9">
        <w:rPr>
          <w:b/>
          <w:bCs/>
          <w:lang w:val="nl-NL"/>
        </w:rPr>
        <w:t>Athens University of Economics and Business (AUEB)</w:t>
      </w:r>
      <w:r w:rsidRPr="00AB58D9">
        <w:rPr>
          <w:lang w:val="nl-NL"/>
        </w:rPr>
        <w:t xml:space="preserve"> is nuttig omdat de AUEB-code heel expliciet laat zien hoe de commissie zich verhoudt tot het bestuur. Als de committee violations of research ethics or disciplinary offences vaststelt, legt zij haar bevindingen voor aan de </w:t>
      </w:r>
      <w:r w:rsidRPr="00AB58D9">
        <w:rPr>
          <w:b/>
          <w:bCs/>
          <w:lang w:val="nl-NL"/>
        </w:rPr>
        <w:t>Rector</w:t>
      </w:r>
      <w:r w:rsidRPr="00AB58D9">
        <w:rPr>
          <w:lang w:val="nl-NL"/>
        </w:rPr>
        <w:t xml:space="preserve">; de commissie is dus niet zelf het disciplinaire orgaan. De code noemt ook een </w:t>
      </w:r>
      <w:r w:rsidRPr="00AB58D9">
        <w:rPr>
          <w:b/>
          <w:bCs/>
          <w:lang w:val="nl-NL"/>
        </w:rPr>
        <w:t>annual report</w:t>
      </w:r>
      <w:r w:rsidRPr="00AB58D9">
        <w:rPr>
          <w:lang w:val="nl-NL"/>
        </w:rPr>
        <w:t xml:space="preserve"> en anonieme geaggregeerde verwijzingen naar meldingen die niet verder zijn opgepakt. Dat is voor jouw project belangrijk bewijs: Griekse ethics committees lijken vaak een </w:t>
      </w:r>
      <w:r w:rsidRPr="00AB58D9">
        <w:rPr>
          <w:b/>
          <w:bCs/>
          <w:lang w:val="nl-NL"/>
        </w:rPr>
        <w:t>adviserende of signalerende</w:t>
      </w:r>
      <w:r w:rsidRPr="00AB58D9">
        <w:rPr>
          <w:lang w:val="nl-NL"/>
        </w:rPr>
        <w:t xml:space="preserve"> rol te hebben, terwijl formele sanctiemacht hoger in de bestuurlijke lijn ligt. (</w:t>
      </w:r>
      <w:hyperlink r:id="rId24" w:tooltip="https://www.aueb.gr/en/content/ethics-and-good-practice" w:history="1">
        <w:r w:rsidRPr="00AB58D9">
          <w:rPr>
            <w:rStyle w:val="Hyperlink"/>
            <w:lang w:val="nl-NL"/>
          </w:rPr>
          <w:t>Athens University</w:t>
        </w:r>
      </w:hyperlink>
      <w:r w:rsidRPr="00AB58D9">
        <w:rPr>
          <w:lang w:val="nl-NL"/>
        </w:rPr>
        <w:t>)</w:t>
      </w:r>
    </w:p>
    <w:p w14:paraId="6589A8AB" w14:textId="77777777" w:rsidR="00AB58D9" w:rsidRPr="00AB58D9" w:rsidRDefault="00AB58D9" w:rsidP="00AB58D9">
      <w:pPr>
        <w:rPr>
          <w:b/>
          <w:bCs/>
          <w:lang w:val="nl-NL"/>
        </w:rPr>
      </w:pPr>
      <w:r w:rsidRPr="00AB58D9">
        <w:rPr>
          <w:b/>
          <w:bCs/>
          <w:lang w:val="nl-NL"/>
        </w:rPr>
        <w:t>7. De onderzoekscentra: niet alleen universiteiten</w:t>
      </w:r>
    </w:p>
    <w:p w14:paraId="6D188CF9" w14:textId="77777777" w:rsidR="00AB58D9" w:rsidRPr="00AB58D9" w:rsidRDefault="00AB58D9" w:rsidP="00AB58D9">
      <w:pPr>
        <w:rPr>
          <w:lang w:val="nl-NL"/>
        </w:rPr>
      </w:pPr>
      <w:r w:rsidRPr="00AB58D9">
        <w:rPr>
          <w:lang w:val="nl-NL"/>
        </w:rPr>
        <w:t xml:space="preserve">De Griekse integriteitskaart is duidelijk breder dan alleen universiteiten. De </w:t>
      </w:r>
      <w:r w:rsidRPr="00AB58D9">
        <w:rPr>
          <w:b/>
          <w:bCs/>
          <w:lang w:val="nl-NL"/>
        </w:rPr>
        <w:t>National Hellenic Research Foundation (NHRF)</w:t>
      </w:r>
      <w:r w:rsidRPr="00AB58D9">
        <w:rPr>
          <w:lang w:val="nl-NL"/>
        </w:rPr>
        <w:t xml:space="preserve"> heeft sinds oktober 2020 een </w:t>
      </w:r>
      <w:r w:rsidRPr="00AB58D9">
        <w:rPr>
          <w:b/>
          <w:bCs/>
          <w:lang w:val="nl-NL"/>
        </w:rPr>
        <w:t>Research Ethics and Conduct Committee</w:t>
      </w:r>
      <w:r w:rsidRPr="00AB58D9">
        <w:rPr>
          <w:lang w:val="nl-NL"/>
        </w:rPr>
        <w:t xml:space="preserve"> onder Law 4521/2018. NHRF zegt expliciet dat de commissie niet alleen toezicht houdt op ethical integrity, privacy, environment and research integrity, maar ook awareness and training bevordert. NHRF heeft bovendien een eigen </w:t>
      </w:r>
      <w:r w:rsidRPr="00AB58D9">
        <w:rPr>
          <w:b/>
          <w:bCs/>
          <w:lang w:val="nl-NL"/>
        </w:rPr>
        <w:t>Code of Ethics and Conduct for Scientific Research</w:t>
      </w:r>
      <w:r w:rsidRPr="00AB58D9">
        <w:rPr>
          <w:lang w:val="nl-NL"/>
        </w:rPr>
        <w:t xml:space="preserve"> en eigen regulations for the committee. Dat is precies het soort broncluster dat je wilt opslaan: </w:t>
      </w:r>
      <w:r w:rsidRPr="00AB58D9">
        <w:rPr>
          <w:b/>
          <w:bCs/>
          <w:lang w:val="nl-NL"/>
        </w:rPr>
        <w:t>instellingscode + commissie-regeling + awarenessfunctie</w:t>
      </w:r>
      <w:r w:rsidRPr="00AB58D9">
        <w:rPr>
          <w:lang w:val="nl-NL"/>
        </w:rPr>
        <w:t>. (</w:t>
      </w:r>
      <w:hyperlink r:id="rId25" w:tooltip="https://www.eie.gr/en/the-nhrf/committees/research-ethics-committee/" w:history="1">
        <w:r w:rsidRPr="00AB58D9">
          <w:rPr>
            <w:rStyle w:val="Hyperlink"/>
            <w:lang w:val="nl-NL"/>
          </w:rPr>
          <w:t>Εθνικό Ίδρυμα Ερευνών</w:t>
        </w:r>
      </w:hyperlink>
      <w:r w:rsidRPr="00AB58D9">
        <w:rPr>
          <w:lang w:val="nl-NL"/>
        </w:rPr>
        <w:t>)</w:t>
      </w:r>
    </w:p>
    <w:p w14:paraId="61E51907" w14:textId="77777777" w:rsidR="00AB58D9" w:rsidRPr="00AB58D9" w:rsidRDefault="00AB58D9" w:rsidP="00AB58D9">
      <w:pPr>
        <w:rPr>
          <w:lang w:val="nl-NL"/>
        </w:rPr>
      </w:pPr>
      <w:r w:rsidRPr="00AB58D9">
        <w:rPr>
          <w:b/>
          <w:bCs/>
          <w:lang w:val="nl-NL"/>
        </w:rPr>
        <w:t>NCSR Demokritos</w:t>
      </w:r>
      <w:r w:rsidRPr="00AB58D9">
        <w:rPr>
          <w:lang w:val="nl-NL"/>
        </w:rPr>
        <w:t xml:space="preserve"> bevestigt hetzelfde patroon. Demokritos zegt dat zijn REC is opgericht volgens Law 4521/2018, onderzoekers ondersteunt in het afstemmen van hun werk op legal requirements and recognised rules of conduct, educational and training initiatives ontwikkelt, en met counterpart institutions samenwerkt. Dat suggereert dat sommige Griekse onderzoekscentra de commissie niet alleen gebruiken voor beoordeling, maar ook als </w:t>
      </w:r>
      <w:r w:rsidRPr="00AB58D9">
        <w:rPr>
          <w:b/>
          <w:bCs/>
          <w:lang w:val="nl-NL"/>
        </w:rPr>
        <w:t>institutionele integriteitsinfrastructuur voor ondersteuning en training</w:t>
      </w:r>
      <w:r w:rsidRPr="00AB58D9">
        <w:rPr>
          <w:lang w:val="nl-NL"/>
        </w:rPr>
        <w:t>. (</w:t>
      </w:r>
      <w:hyperlink r:id="rId26" w:tooltip="https://www.demokritos.gr/about-us/" w:history="1">
        <w:r w:rsidRPr="00AB58D9">
          <w:rPr>
            <w:rStyle w:val="Hyperlink"/>
            <w:lang w:val="nl-NL"/>
          </w:rPr>
          <w:t>Demokritos</w:t>
        </w:r>
      </w:hyperlink>
      <w:r w:rsidRPr="00AB58D9">
        <w:rPr>
          <w:lang w:val="nl-NL"/>
        </w:rPr>
        <w:t>)</w:t>
      </w:r>
    </w:p>
    <w:p w14:paraId="2CFE0307" w14:textId="77777777" w:rsidR="00AB58D9" w:rsidRPr="00AB58D9" w:rsidRDefault="00AB58D9" w:rsidP="00AB58D9">
      <w:pPr>
        <w:rPr>
          <w:lang w:val="nl-NL"/>
        </w:rPr>
      </w:pPr>
      <w:r w:rsidRPr="00AB58D9">
        <w:rPr>
          <w:lang w:val="nl-NL"/>
        </w:rPr>
        <w:t xml:space="preserve">Ook </w:t>
      </w:r>
      <w:r w:rsidRPr="00AB58D9">
        <w:rPr>
          <w:b/>
          <w:bCs/>
          <w:lang w:val="nl-NL"/>
        </w:rPr>
        <w:t>EKKE</w:t>
      </w:r>
      <w:r w:rsidRPr="00AB58D9">
        <w:rPr>
          <w:lang w:val="nl-NL"/>
        </w:rPr>
        <w:t xml:space="preserve"> is nuttig, omdat het zeer tastbare procedurele bronnen heeft: een commissiepagina met </w:t>
      </w:r>
      <w:r w:rsidRPr="00AB58D9">
        <w:rPr>
          <w:b/>
          <w:bCs/>
          <w:lang w:val="nl-NL"/>
        </w:rPr>
        <w:t>5 full and 5 alternate members</w:t>
      </w:r>
      <w:r w:rsidRPr="00AB58D9">
        <w:rPr>
          <w:lang w:val="nl-NL"/>
        </w:rPr>
        <w:t xml:space="preserve"> en een aparte formulierenpagina. Zulke instellingen zijn voor jouw project goud waard, omdat ze laten zien dat het Griekse landschap heel vaak wordt bewezen via </w:t>
      </w:r>
      <w:r w:rsidRPr="00AB58D9">
        <w:rPr>
          <w:b/>
          <w:bCs/>
          <w:lang w:val="nl-NL"/>
        </w:rPr>
        <w:t>procedural micro-documents</w:t>
      </w:r>
      <w:r w:rsidRPr="00AB58D9">
        <w:rPr>
          <w:lang w:val="nl-NL"/>
        </w:rPr>
        <w:t>: application forms, committee composition pages, internal regulations, consent or review templates. (</w:t>
      </w:r>
      <w:hyperlink r:id="rId27" w:tooltip="https://www.ekke.gr/en/centre/ehde" w:history="1">
        <w:r w:rsidRPr="00AB58D9">
          <w:rPr>
            <w:rStyle w:val="Hyperlink"/>
            <w:lang w:val="nl-NL"/>
          </w:rPr>
          <w:t>Ekke</w:t>
        </w:r>
      </w:hyperlink>
      <w:r w:rsidRPr="00AB58D9">
        <w:rPr>
          <w:lang w:val="nl-NL"/>
        </w:rPr>
        <w:t>)</w:t>
      </w:r>
    </w:p>
    <w:p w14:paraId="27C6E315" w14:textId="77777777" w:rsidR="00AB58D9" w:rsidRPr="00AB58D9" w:rsidRDefault="00AB58D9" w:rsidP="00AB58D9">
      <w:pPr>
        <w:rPr>
          <w:lang w:val="nl-NL"/>
        </w:rPr>
      </w:pPr>
      <w:r w:rsidRPr="00AB58D9">
        <w:rPr>
          <w:lang w:val="nl-NL"/>
        </w:rPr>
        <w:lastRenderedPageBreak/>
        <w:t xml:space="preserve">Het </w:t>
      </w:r>
      <w:r w:rsidRPr="00AB58D9">
        <w:rPr>
          <w:b/>
          <w:bCs/>
          <w:lang w:val="nl-NL"/>
        </w:rPr>
        <w:t>Hellenic Pasteur Institute</w:t>
      </w:r>
      <w:r w:rsidRPr="00AB58D9">
        <w:rPr>
          <w:lang w:val="nl-NL"/>
        </w:rPr>
        <w:t xml:space="preserve"> laat nog een extra interessante overlap zien. Daar is een </w:t>
      </w:r>
      <w:r w:rsidRPr="00AB58D9">
        <w:rPr>
          <w:b/>
          <w:bCs/>
          <w:lang w:val="nl-NL"/>
        </w:rPr>
        <w:t>Committee for Research Ethics</w:t>
      </w:r>
      <w:r w:rsidRPr="00AB58D9">
        <w:rPr>
          <w:lang w:val="nl-NL"/>
        </w:rPr>
        <w:t xml:space="preserve"> met named president, members and alternate members, maar de pagina’s en structuren raken ook aan animal welfare en de protocol evaluation sphere. Dat bevestigt dat in Griekenland, net als elders, de grens tussen research integrity, biological research ethics and animal-research governance in sommige instellingen organisatorisch dicht op elkaar zit. (</w:t>
      </w:r>
      <w:hyperlink r:id="rId28" w:tooltip="https://www.pasteur.gr/en/committee-research-ethics" w:history="1">
        <w:r w:rsidRPr="00AB58D9">
          <w:rPr>
            <w:rStyle w:val="Hyperlink"/>
            <w:lang w:val="nl-NL"/>
          </w:rPr>
          <w:t>pasteur.gr</w:t>
        </w:r>
      </w:hyperlink>
      <w:r w:rsidRPr="00AB58D9">
        <w:rPr>
          <w:lang w:val="nl-NL"/>
        </w:rPr>
        <w:t>)</w:t>
      </w:r>
    </w:p>
    <w:p w14:paraId="140277AB" w14:textId="77777777" w:rsidR="00AB58D9" w:rsidRPr="00AB58D9" w:rsidRDefault="00AB58D9" w:rsidP="00AB58D9">
      <w:pPr>
        <w:rPr>
          <w:lang w:val="nl-NL"/>
        </w:rPr>
      </w:pPr>
      <w:r w:rsidRPr="00AB58D9">
        <w:rPr>
          <w:lang w:val="nl-NL"/>
        </w:rPr>
        <w:t xml:space="preserve">Een bijzonder geavanceerd voorbeeld lijkt </w:t>
      </w:r>
      <w:r w:rsidRPr="00AB58D9">
        <w:rPr>
          <w:b/>
          <w:bCs/>
          <w:lang w:val="nl-NL"/>
        </w:rPr>
        <w:t>FORTH / IMBB-FORTH</w:t>
      </w:r>
      <w:r w:rsidRPr="00AB58D9">
        <w:rPr>
          <w:lang w:val="nl-NL"/>
        </w:rPr>
        <w:t xml:space="preserve">. Daar bestaat naast de FORTH Ethics Committee ook een </w:t>
      </w:r>
      <w:r w:rsidRPr="00AB58D9">
        <w:rPr>
          <w:b/>
          <w:bCs/>
          <w:lang w:val="nl-NL"/>
        </w:rPr>
        <w:t>Office of Scientific Integrity</w:t>
      </w:r>
      <w:r w:rsidRPr="00AB58D9">
        <w:rPr>
          <w:lang w:val="nl-NL"/>
        </w:rPr>
        <w:t xml:space="preserve">, dat training organiseert, een safe environment ondersteunt, reports ontvangt, en zelfs een </w:t>
      </w:r>
      <w:r w:rsidRPr="00AB58D9">
        <w:rPr>
          <w:b/>
          <w:bCs/>
          <w:lang w:val="nl-NL"/>
        </w:rPr>
        <w:t>Ombudsman</w:t>
      </w:r>
      <w:r w:rsidRPr="00AB58D9">
        <w:rPr>
          <w:lang w:val="nl-NL"/>
        </w:rPr>
        <w:t xml:space="preserve"> kan inschakelen bij grievances zoals harassment, misconduct or unequal treatment. Ook verwijst het naar een hele documentenset, waaronder de </w:t>
      </w:r>
      <w:r w:rsidRPr="00AB58D9">
        <w:rPr>
          <w:b/>
          <w:bCs/>
          <w:lang w:val="nl-NL"/>
        </w:rPr>
        <w:t>FORTH Code of Conduct for Research</w:t>
      </w:r>
      <w:r w:rsidRPr="00AB58D9">
        <w:rPr>
          <w:lang w:val="nl-NL"/>
        </w:rPr>
        <w:t xml:space="preserve">, de </w:t>
      </w:r>
      <w:r w:rsidRPr="00AB58D9">
        <w:rPr>
          <w:b/>
          <w:bCs/>
          <w:lang w:val="nl-NL"/>
        </w:rPr>
        <w:t>ALLEA code</w:t>
      </w:r>
      <w:r w:rsidRPr="00AB58D9">
        <w:rPr>
          <w:lang w:val="nl-NL"/>
        </w:rPr>
        <w:t xml:space="preserve">, de European Charter for Researchers en interne regels. Dat is voor jouw kaart methodologisch heel interessant, omdat het laat zien dat sommige Griekse instellingen veel verder gaan dan de minimale wettelijke REC-structuur en een soort </w:t>
      </w:r>
      <w:r w:rsidRPr="00AB58D9">
        <w:rPr>
          <w:b/>
          <w:bCs/>
          <w:lang w:val="nl-NL"/>
        </w:rPr>
        <w:t>uitgebreid lokaal integrity office model</w:t>
      </w:r>
      <w:r w:rsidRPr="00AB58D9">
        <w:rPr>
          <w:lang w:val="nl-NL"/>
        </w:rPr>
        <w:t xml:space="preserve"> bouwen. (</w:t>
      </w:r>
      <w:hyperlink r:id="rId29" w:tooltip="https://www.imbb.forth.gr/en/content/Office-of-Scientific-Integrity-at-IMBB.107/" w:history="1">
        <w:r w:rsidRPr="00AB58D9">
          <w:rPr>
            <w:rStyle w:val="Hyperlink"/>
            <w:lang w:val="nl-NL"/>
          </w:rPr>
          <w:t>ΙΜΒΒ</w:t>
        </w:r>
      </w:hyperlink>
      <w:r w:rsidRPr="00AB58D9">
        <w:rPr>
          <w:lang w:val="nl-NL"/>
        </w:rPr>
        <w:t>)</w:t>
      </w:r>
    </w:p>
    <w:p w14:paraId="3DB5A932" w14:textId="77777777" w:rsidR="00AB58D9" w:rsidRPr="00AB58D9" w:rsidRDefault="00AB58D9" w:rsidP="00AB58D9">
      <w:pPr>
        <w:rPr>
          <w:b/>
          <w:bCs/>
          <w:lang w:val="nl-NL"/>
        </w:rPr>
      </w:pPr>
      <w:r w:rsidRPr="00AB58D9">
        <w:rPr>
          <w:b/>
          <w:bCs/>
          <w:lang w:val="nl-NL"/>
        </w:rPr>
        <w:t>8. Wat de rollen in Griekenland lijken te zijn</w:t>
      </w:r>
    </w:p>
    <w:p w14:paraId="7D28C757" w14:textId="77777777" w:rsidR="00AB58D9" w:rsidRPr="00AB58D9" w:rsidRDefault="00AB58D9" w:rsidP="00AB58D9">
      <w:pPr>
        <w:rPr>
          <w:lang w:val="nl-NL"/>
        </w:rPr>
      </w:pPr>
      <w:r w:rsidRPr="00AB58D9">
        <w:rPr>
          <w:lang w:val="nl-NL"/>
        </w:rPr>
        <w:t xml:space="preserve">Op basis van deze eerste sweep zie ik in Griekenland niet één dominante rol zoals de Nederlandse vertrouwenspersoon of de Deense named person, maar wel een aantal terugkerende rolclusters. Het meest zichtbaar zijn </w:t>
      </w:r>
      <w:r w:rsidRPr="00AB58D9">
        <w:rPr>
          <w:b/>
          <w:bCs/>
          <w:lang w:val="nl-NL"/>
        </w:rPr>
        <w:t>institutional ethics/deontology committees</w:t>
      </w:r>
      <w:r w:rsidRPr="00AB58D9">
        <w:rPr>
          <w:lang w:val="nl-NL"/>
        </w:rPr>
        <w:t xml:space="preserve">, vaak met interne en externe leden; daarnaast zie je </w:t>
      </w:r>
      <w:r w:rsidRPr="00AB58D9">
        <w:rPr>
          <w:b/>
          <w:bCs/>
          <w:lang w:val="nl-NL"/>
        </w:rPr>
        <w:t>rector/president/board-level authority</w:t>
      </w:r>
      <w:r w:rsidRPr="00AB58D9">
        <w:rPr>
          <w:lang w:val="nl-NL"/>
        </w:rPr>
        <w:t xml:space="preserve"> voor opvolging of sanctie; en in enkele meer ontwikkelde instellingen zie je aanvullende rollen zoals </w:t>
      </w:r>
      <w:r w:rsidRPr="00AB58D9">
        <w:rPr>
          <w:b/>
          <w:bCs/>
          <w:lang w:val="nl-NL"/>
        </w:rPr>
        <w:t>named contacts</w:t>
      </w:r>
      <w:r w:rsidRPr="00AB58D9">
        <w:rPr>
          <w:lang w:val="nl-NL"/>
        </w:rPr>
        <w:t xml:space="preserve">, </w:t>
      </w:r>
      <w:r w:rsidRPr="00AB58D9">
        <w:rPr>
          <w:b/>
          <w:bCs/>
          <w:lang w:val="nl-NL"/>
        </w:rPr>
        <w:t>training functions</w:t>
      </w:r>
      <w:r w:rsidRPr="00AB58D9">
        <w:rPr>
          <w:lang w:val="nl-NL"/>
        </w:rPr>
        <w:t xml:space="preserve">, of zelfs een </w:t>
      </w:r>
      <w:r w:rsidRPr="00AB58D9">
        <w:rPr>
          <w:b/>
          <w:bCs/>
          <w:lang w:val="nl-NL"/>
        </w:rPr>
        <w:t>scientific integrity office/ombudsman</w:t>
      </w:r>
      <w:r w:rsidRPr="00AB58D9">
        <w:rPr>
          <w:lang w:val="nl-NL"/>
        </w:rPr>
        <w:t xml:space="preserve">. De nationale bioethics commission en HFRI vervullen daarnaast meer een </w:t>
      </w:r>
      <w:r w:rsidRPr="00AB58D9">
        <w:rPr>
          <w:b/>
          <w:bCs/>
          <w:lang w:val="nl-NL"/>
        </w:rPr>
        <w:t>normerende/adviserende</w:t>
      </w:r>
      <w:r w:rsidRPr="00AB58D9">
        <w:rPr>
          <w:lang w:val="nl-NL"/>
        </w:rPr>
        <w:t xml:space="preserve"> dan een case-handling rol. (</w:t>
      </w:r>
      <w:hyperlink r:id="rId30" w:tooltip="https://angers-fr.frl.uoa.gr/fileadmin/depts/frl.uoa.gr/angers/uploads/ETHICS.pdf" w:history="1">
        <w:r w:rsidRPr="00AB58D9">
          <w:rPr>
            <w:rStyle w:val="Hyperlink"/>
            <w:lang w:val="nl-NL"/>
          </w:rPr>
          <w:t>SiteB-EN</w:t>
        </w:r>
      </w:hyperlink>
      <w:r w:rsidRPr="00AB58D9">
        <w:rPr>
          <w:lang w:val="nl-NL"/>
        </w:rPr>
        <w:t>)</w:t>
      </w:r>
    </w:p>
    <w:p w14:paraId="20744F31" w14:textId="77777777" w:rsidR="00AB58D9" w:rsidRPr="00AB58D9" w:rsidRDefault="00AB58D9" w:rsidP="00AB58D9">
      <w:pPr>
        <w:rPr>
          <w:lang w:val="nl-NL"/>
        </w:rPr>
      </w:pPr>
      <w:r w:rsidRPr="00AB58D9">
        <w:rPr>
          <w:lang w:val="nl-NL"/>
        </w:rPr>
        <w:t xml:space="preserve">Dat betekent ook dat je in Griekenland extra goed moet letten op het verschil tussen: </w:t>
      </w:r>
      <w:r w:rsidRPr="00AB58D9">
        <w:rPr>
          <w:b/>
          <w:bCs/>
          <w:lang w:val="nl-NL"/>
        </w:rPr>
        <w:t>wie beoordeelt</w:t>
      </w:r>
      <w:r w:rsidRPr="00AB58D9">
        <w:rPr>
          <w:lang w:val="nl-NL"/>
        </w:rPr>
        <w:t xml:space="preserve">, </w:t>
      </w:r>
      <w:r w:rsidRPr="00AB58D9">
        <w:rPr>
          <w:b/>
          <w:bCs/>
          <w:lang w:val="nl-NL"/>
        </w:rPr>
        <w:t>wie adviseert</w:t>
      </w:r>
      <w:r w:rsidRPr="00AB58D9">
        <w:rPr>
          <w:lang w:val="nl-NL"/>
        </w:rPr>
        <w:t xml:space="preserve">, </w:t>
      </w:r>
      <w:r w:rsidRPr="00AB58D9">
        <w:rPr>
          <w:b/>
          <w:bCs/>
          <w:lang w:val="nl-NL"/>
        </w:rPr>
        <w:t>wie beslist</w:t>
      </w:r>
      <w:r w:rsidRPr="00AB58D9">
        <w:rPr>
          <w:lang w:val="nl-NL"/>
        </w:rPr>
        <w:t xml:space="preserve">, en </w:t>
      </w:r>
      <w:r w:rsidRPr="00AB58D9">
        <w:rPr>
          <w:b/>
          <w:bCs/>
          <w:lang w:val="nl-NL"/>
        </w:rPr>
        <w:t>wie sanctioneert</w:t>
      </w:r>
      <w:r w:rsidRPr="00AB58D9">
        <w:rPr>
          <w:lang w:val="nl-NL"/>
        </w:rPr>
        <w:t>. Juist omdat er geen sterk nationaal misconduct-orgaan zichtbaar is, zal dat onderscheid per instelling vaak uit de documenten zelf moeten worden gereconstrueerd. AUEB is daar al een goed bewijs voor: de committee onderzoekt en rapporteert, maar de Rector is de actor die vervolgens bestuurlijk in beeld komt. (</w:t>
      </w:r>
      <w:hyperlink r:id="rId31" w:tooltip="https://www.aueb.gr/sites/default/files/Code%20of%20Ethics%20and%20Good%20Practice%20of%20the%20Athens%20University%20of%20Economics%20and%20Business.pdf" w:history="1">
        <w:r w:rsidRPr="00AB58D9">
          <w:rPr>
            <w:rStyle w:val="Hyperlink"/>
            <w:lang w:val="nl-NL"/>
          </w:rPr>
          <w:t>Athens University</w:t>
        </w:r>
      </w:hyperlink>
      <w:r w:rsidRPr="00AB58D9">
        <w:rPr>
          <w:lang w:val="nl-NL"/>
        </w:rPr>
        <w:t>)</w:t>
      </w:r>
    </w:p>
    <w:p w14:paraId="290EC492" w14:textId="77777777" w:rsidR="00AB58D9" w:rsidRPr="00AB58D9" w:rsidRDefault="00AB58D9" w:rsidP="00AB58D9">
      <w:pPr>
        <w:rPr>
          <w:b/>
          <w:bCs/>
          <w:lang w:val="nl-NL"/>
        </w:rPr>
      </w:pPr>
      <w:r w:rsidRPr="00AB58D9">
        <w:rPr>
          <w:b/>
          <w:bCs/>
          <w:lang w:val="nl-NL"/>
        </w:rPr>
        <w:t>9. De parallelle en grensregimes</w:t>
      </w:r>
    </w:p>
    <w:p w14:paraId="3697F09A" w14:textId="77777777" w:rsidR="00AB58D9" w:rsidRPr="00AB58D9" w:rsidRDefault="00AB58D9" w:rsidP="00AB58D9">
      <w:pPr>
        <w:rPr>
          <w:lang w:val="nl-NL"/>
        </w:rPr>
      </w:pPr>
      <w:r w:rsidRPr="00AB58D9">
        <w:rPr>
          <w:lang w:val="nl-NL"/>
        </w:rPr>
        <w:t xml:space="preserve">Net als bij Nederland en Denemarken kun je Griekenland niet goed begrijpen zonder de </w:t>
      </w:r>
      <w:r w:rsidRPr="00AB58D9">
        <w:rPr>
          <w:b/>
          <w:bCs/>
          <w:lang w:val="nl-NL"/>
        </w:rPr>
        <w:t>parallelle ethiek- en rechtsregimes</w:t>
      </w:r>
      <w:r w:rsidRPr="00AB58D9">
        <w:rPr>
          <w:lang w:val="nl-NL"/>
        </w:rPr>
        <w:t xml:space="preserve">. Voor </w:t>
      </w:r>
      <w:r w:rsidRPr="00AB58D9">
        <w:rPr>
          <w:b/>
          <w:bCs/>
          <w:lang w:val="nl-NL"/>
        </w:rPr>
        <w:t>clinical trials</w:t>
      </w:r>
      <w:r w:rsidRPr="00AB58D9">
        <w:rPr>
          <w:lang w:val="nl-NL"/>
        </w:rPr>
        <w:t xml:space="preserve"> bestaat een aparte infrastructuur onder de </w:t>
      </w:r>
      <w:r w:rsidRPr="00AB58D9">
        <w:rPr>
          <w:b/>
          <w:bCs/>
          <w:lang w:val="nl-NL"/>
        </w:rPr>
        <w:t>National Organization for Medicines (EOF)</w:t>
      </w:r>
      <w:r w:rsidRPr="00AB58D9">
        <w:rPr>
          <w:lang w:val="nl-NL"/>
        </w:rPr>
        <w:t xml:space="preserve">. De EOF-pagina’s laten zien dat er een </w:t>
      </w:r>
      <w:r w:rsidRPr="00AB58D9">
        <w:rPr>
          <w:b/>
          <w:bCs/>
          <w:lang w:val="nl-NL"/>
        </w:rPr>
        <w:t>National Ethics Committee</w:t>
      </w:r>
      <w:r w:rsidRPr="00AB58D9">
        <w:rPr>
          <w:lang w:val="nl-NL"/>
        </w:rPr>
        <w:t xml:space="preserve"> is voor clinical studies, dat interventional drug trials en clinical research on medical devices beoordeelt, zich baseert op de Declaration of Helsinki, ICH-GCP en Grieks/EU-recht, en dat zij specifiek </w:t>
      </w:r>
      <w:r w:rsidRPr="00AB58D9">
        <w:rPr>
          <w:lang w:val="nl-NL"/>
        </w:rPr>
        <w:lastRenderedPageBreak/>
        <w:t xml:space="preserve">dignity, privacy, vulnerable groups, integrity and transparency of clinical trials bewaakt. EOF is daarnaast de autoriteit die clinical trials goedkeurt en compliance inspecteert. Dit is dus geen algemene research-integrity body, maar een sterk gereguleerd </w:t>
      </w:r>
      <w:r w:rsidRPr="00AB58D9">
        <w:rPr>
          <w:b/>
          <w:bCs/>
          <w:lang w:val="nl-NL"/>
        </w:rPr>
        <w:t>parallel regime voor klinisch onderzoek</w:t>
      </w:r>
      <w:r w:rsidRPr="00AB58D9">
        <w:rPr>
          <w:lang w:val="nl-NL"/>
        </w:rPr>
        <w:t>. (</w:t>
      </w:r>
      <w:hyperlink r:id="rId32" w:tooltip="https://www.eof.gr/en/%CE%BA%CE%BB%CE%B9%CE%BD%CE%B9%CE%BA%CE%AD%CF%82-%CE%B4%CE%BF%CE%BA%CE%B9%CE%BC%CE%AD%CF%82/" w:history="1">
        <w:r w:rsidRPr="00AB58D9">
          <w:rPr>
            <w:rStyle w:val="Hyperlink"/>
            <w:lang w:val="nl-NL"/>
          </w:rPr>
          <w:t>ΕΟΦ</w:t>
        </w:r>
      </w:hyperlink>
      <w:r w:rsidRPr="00AB58D9">
        <w:rPr>
          <w:lang w:val="nl-NL"/>
        </w:rPr>
        <w:t>)</w:t>
      </w:r>
    </w:p>
    <w:p w14:paraId="7DF61C6F" w14:textId="77777777" w:rsidR="00AB58D9" w:rsidRPr="00AB58D9" w:rsidRDefault="00AB58D9" w:rsidP="00AB58D9">
      <w:pPr>
        <w:rPr>
          <w:lang w:val="nl-NL"/>
        </w:rPr>
      </w:pPr>
      <w:r w:rsidRPr="00AB58D9">
        <w:rPr>
          <w:lang w:val="nl-NL"/>
        </w:rPr>
        <w:t xml:space="preserve">Voor </w:t>
      </w:r>
      <w:r w:rsidRPr="00AB58D9">
        <w:rPr>
          <w:b/>
          <w:bCs/>
          <w:lang w:val="nl-NL"/>
        </w:rPr>
        <w:t>animal research</w:t>
      </w:r>
      <w:r w:rsidRPr="00AB58D9">
        <w:rPr>
          <w:lang w:val="nl-NL"/>
        </w:rPr>
        <w:t xml:space="preserve"> bestaat opnieuw een andere structuur. Het Griekse ministerie verwijst naar een </w:t>
      </w:r>
      <w:r w:rsidRPr="00AB58D9">
        <w:rPr>
          <w:b/>
          <w:bCs/>
          <w:lang w:val="nl-NL"/>
        </w:rPr>
        <w:t>National Committee for the protection of animals used for scientific purposes</w:t>
      </w:r>
      <w:r w:rsidRPr="00AB58D9">
        <w:rPr>
          <w:lang w:val="nl-NL"/>
        </w:rPr>
        <w:t xml:space="preserve">, en </w:t>
      </w:r>
      <w:r w:rsidRPr="00AB58D9">
        <w:rPr>
          <w:b/>
          <w:bCs/>
          <w:lang w:val="nl-NL"/>
        </w:rPr>
        <w:t>Presidential Decree 56/2013</w:t>
      </w:r>
      <w:r w:rsidRPr="00AB58D9">
        <w:rPr>
          <w:lang w:val="nl-NL"/>
        </w:rPr>
        <w:t xml:space="preserve"> implementeert Directive 2010/63/EU. De National Bioethics Commission heeft bovendien expliciet verduidelijkt dat bij dierproeven voorstellen verplicht worden vergund door de bevoegde regionale autoriteiten, na approval by institutional Protocol Evaluation Committees, en dat REC’s en PEC’s moeten samenwerken. Dit is belangrijk voor jouw kaart, omdat het laat zien dat animal governance in Griekenland een </w:t>
      </w:r>
      <w:r w:rsidRPr="00AB58D9">
        <w:rPr>
          <w:b/>
          <w:bCs/>
          <w:lang w:val="nl-NL"/>
        </w:rPr>
        <w:t>eigen licentie- en committee-spoor</w:t>
      </w:r>
      <w:r w:rsidRPr="00AB58D9">
        <w:rPr>
          <w:lang w:val="nl-NL"/>
        </w:rPr>
        <w:t xml:space="preserve"> vormt. (</w:t>
      </w:r>
      <w:hyperlink r:id="rId33" w:tooltip="https://www.minagric.gr/en/citizen-menu/animals-scient-purp" w:history="1">
        <w:r w:rsidRPr="00AB58D9">
          <w:rPr>
            <w:rStyle w:val="Hyperlink"/>
            <w:lang w:val="nl-NL"/>
          </w:rPr>
          <w:t>Ministry of Rural Development</w:t>
        </w:r>
      </w:hyperlink>
      <w:r w:rsidRPr="00AB58D9">
        <w:rPr>
          <w:lang w:val="nl-NL"/>
        </w:rPr>
        <w:t>)</w:t>
      </w:r>
    </w:p>
    <w:p w14:paraId="65ADBC04" w14:textId="77777777" w:rsidR="00AB58D9" w:rsidRPr="00AB58D9" w:rsidRDefault="00AB58D9" w:rsidP="00AB58D9">
      <w:pPr>
        <w:rPr>
          <w:lang w:val="nl-NL"/>
        </w:rPr>
      </w:pPr>
      <w:r w:rsidRPr="00AB58D9">
        <w:rPr>
          <w:lang w:val="nl-NL"/>
        </w:rPr>
        <w:t xml:space="preserve">Voor </w:t>
      </w:r>
      <w:r w:rsidRPr="00AB58D9">
        <w:rPr>
          <w:b/>
          <w:bCs/>
          <w:lang w:val="nl-NL"/>
        </w:rPr>
        <w:t>personal data</w:t>
      </w:r>
      <w:r w:rsidRPr="00AB58D9">
        <w:rPr>
          <w:lang w:val="nl-NL"/>
        </w:rPr>
        <w:t xml:space="preserve"> is de </w:t>
      </w:r>
      <w:r w:rsidRPr="00AB58D9">
        <w:rPr>
          <w:b/>
          <w:bCs/>
          <w:lang w:val="nl-NL"/>
        </w:rPr>
        <w:t>Hellenic Data Protection Authority</w:t>
      </w:r>
      <w:r w:rsidRPr="00AB58D9">
        <w:rPr>
          <w:lang w:val="nl-NL"/>
        </w:rPr>
        <w:t xml:space="preserve"> relevant. Zij is een constitutionally established independent authority, bevoegd voor de toepassing van de GDPR en de nationale wetten </w:t>
      </w:r>
      <w:r w:rsidRPr="00AB58D9">
        <w:rPr>
          <w:b/>
          <w:bCs/>
          <w:lang w:val="nl-NL"/>
        </w:rPr>
        <w:t>4624/2019</w:t>
      </w:r>
      <w:r w:rsidRPr="00AB58D9">
        <w:rPr>
          <w:lang w:val="nl-NL"/>
        </w:rPr>
        <w:t xml:space="preserve"> en </w:t>
      </w:r>
      <w:r w:rsidRPr="00AB58D9">
        <w:rPr>
          <w:b/>
          <w:bCs/>
          <w:lang w:val="nl-NL"/>
        </w:rPr>
        <w:t>3471/2006</w:t>
      </w:r>
      <w:r w:rsidRPr="00AB58D9">
        <w:rPr>
          <w:lang w:val="nl-NL"/>
        </w:rPr>
        <w:t xml:space="preserve">. Omdat vrijwel alle Griekse REC-regelingen privacy and personal data noemen als kernonderwerp, hoort de HDPA in jouw Griekse landschap thuis als een duidelijke </w:t>
      </w:r>
      <w:r w:rsidRPr="00AB58D9">
        <w:rPr>
          <w:b/>
          <w:bCs/>
          <w:lang w:val="nl-NL"/>
        </w:rPr>
        <w:t>boundary authority</w:t>
      </w:r>
      <w:r w:rsidRPr="00AB58D9">
        <w:rPr>
          <w:lang w:val="nl-NL"/>
        </w:rPr>
        <w:t>. (</w:t>
      </w:r>
      <w:hyperlink r:id="rId34" w:tooltip="https://www.dpa.gr/en" w:history="1">
        <w:r w:rsidRPr="00AB58D9">
          <w:rPr>
            <w:rStyle w:val="Hyperlink"/>
            <w:lang w:val="nl-NL"/>
          </w:rPr>
          <w:t>dpa.gr</w:t>
        </w:r>
      </w:hyperlink>
      <w:r w:rsidRPr="00AB58D9">
        <w:rPr>
          <w:lang w:val="nl-NL"/>
        </w:rPr>
        <w:t>)</w:t>
      </w:r>
    </w:p>
    <w:p w14:paraId="5512E2A8" w14:textId="77777777" w:rsidR="00AB58D9" w:rsidRPr="00AB58D9" w:rsidRDefault="00AB58D9" w:rsidP="00AB58D9">
      <w:pPr>
        <w:rPr>
          <w:lang w:val="nl-NL"/>
        </w:rPr>
      </w:pPr>
      <w:r w:rsidRPr="00AB58D9">
        <w:rPr>
          <w:lang w:val="nl-NL"/>
        </w:rPr>
        <w:t xml:space="preserve">Een heel nuttig verduidelijkend document is hier de </w:t>
      </w:r>
      <w:r w:rsidRPr="00AB58D9">
        <w:rPr>
          <w:b/>
          <w:bCs/>
          <w:lang w:val="nl-NL"/>
        </w:rPr>
        <w:t>2018 Recommendation on the competencies of Research Ethics and Deontology Committees</w:t>
      </w:r>
      <w:r w:rsidRPr="00AB58D9">
        <w:rPr>
          <w:lang w:val="nl-NL"/>
        </w:rPr>
        <w:t xml:space="preserve"> van de National Bioethics Commission. Die maakt expliciet dat REC-approval </w:t>
      </w:r>
      <w:r w:rsidRPr="00AB58D9">
        <w:rPr>
          <w:b/>
          <w:bCs/>
          <w:lang w:val="nl-NL"/>
        </w:rPr>
        <w:t>niet</w:t>
      </w:r>
      <w:r w:rsidRPr="00AB58D9">
        <w:rPr>
          <w:lang w:val="nl-NL"/>
        </w:rPr>
        <w:t xml:space="preserve"> in de plaats treedt van andere approvals/licences van competent bodies, en bespreekt overlap met clinical trials, medically assisted reproduction and laboratory animals. Dit document is methodologisch uitstekend, omdat het precies laat zien </w:t>
      </w:r>
      <w:r w:rsidRPr="00AB58D9">
        <w:rPr>
          <w:b/>
          <w:bCs/>
          <w:lang w:val="nl-NL"/>
        </w:rPr>
        <w:t>hoe de grenzen van het Griekse systeem worden getrokken</w:t>
      </w:r>
      <w:r w:rsidRPr="00AB58D9">
        <w:rPr>
          <w:lang w:val="nl-NL"/>
        </w:rPr>
        <w:t>. (</w:t>
      </w:r>
      <w:hyperlink r:id="rId35" w:tooltip="https://bioethics.gr/api/files/download/2616/SYSTASH_EHDE_FINAL_EN.pdf?attachment=false" w:history="1">
        <w:r w:rsidRPr="00AB58D9">
          <w:rPr>
            <w:rStyle w:val="Hyperlink"/>
            <w:lang w:val="nl-NL"/>
          </w:rPr>
          <w:t>Bioethics</w:t>
        </w:r>
      </w:hyperlink>
      <w:r w:rsidRPr="00AB58D9">
        <w:rPr>
          <w:lang w:val="nl-NL"/>
        </w:rPr>
        <w:t>)</w:t>
      </w:r>
    </w:p>
    <w:p w14:paraId="508E34E0" w14:textId="77777777" w:rsidR="00AB58D9" w:rsidRPr="00AB58D9" w:rsidRDefault="00AB58D9" w:rsidP="00AB58D9">
      <w:pPr>
        <w:rPr>
          <w:b/>
          <w:bCs/>
          <w:lang w:val="nl-NL"/>
        </w:rPr>
      </w:pPr>
      <w:r w:rsidRPr="00AB58D9">
        <w:rPr>
          <w:b/>
          <w:bCs/>
          <w:lang w:val="nl-NL"/>
        </w:rPr>
        <w:t>10. Welke documentlabels Griekenland nu oplevert</w:t>
      </w:r>
    </w:p>
    <w:p w14:paraId="7A8F5A26" w14:textId="77777777" w:rsidR="00AB58D9" w:rsidRPr="00AB58D9" w:rsidRDefault="00AB58D9" w:rsidP="00AB58D9">
      <w:pPr>
        <w:rPr>
          <w:lang w:val="nl-NL"/>
        </w:rPr>
      </w:pPr>
      <w:r w:rsidRPr="00AB58D9">
        <w:rPr>
          <w:lang w:val="nl-NL"/>
        </w:rPr>
        <w:t>Voor Griekenland zou ik voorlopig de volgende documentlabels hanteren.</w:t>
      </w:r>
    </w:p>
    <w:p w14:paraId="68826FC5" w14:textId="77777777" w:rsidR="00AB58D9" w:rsidRPr="00AB58D9" w:rsidRDefault="00AB58D9" w:rsidP="00AB58D9">
      <w:pPr>
        <w:rPr>
          <w:lang w:val="nl-NL"/>
        </w:rPr>
      </w:pPr>
      <w:r w:rsidRPr="00AB58D9">
        <w:rPr>
          <w:b/>
          <w:bCs/>
          <w:lang w:val="nl-NL"/>
        </w:rPr>
        <w:t>1. Constitutive law</w:t>
      </w:r>
      <w:r w:rsidRPr="00AB58D9">
        <w:rPr>
          <w:lang w:val="nl-NL"/>
        </w:rPr>
        <w:t>: Law 4521/2018, Law 4957/2022, Law 4780/2021, en voor randgebieden Presidential Decree 56/2013 en relevante clinical-trial regelgeving. Dit zijn de documenten die het bestaan van actoren en bevoegdheden funderen. (</w:t>
      </w:r>
      <w:hyperlink r:id="rId36" w:tooltip="https://www.enrio.eu/country-reports/greece/" w:history="1">
        <w:r w:rsidRPr="00AB58D9">
          <w:rPr>
            <w:rStyle w:val="Hyperlink"/>
            <w:lang w:val="nl-NL"/>
          </w:rPr>
          <w:t>ENRIO</w:t>
        </w:r>
      </w:hyperlink>
      <w:r w:rsidRPr="00AB58D9">
        <w:rPr>
          <w:lang w:val="nl-NL"/>
        </w:rPr>
        <w:t>)</w:t>
      </w:r>
    </w:p>
    <w:p w14:paraId="6F06BE17" w14:textId="77777777" w:rsidR="00AB58D9" w:rsidRPr="00AB58D9" w:rsidRDefault="00AB58D9" w:rsidP="00AB58D9">
      <w:pPr>
        <w:rPr>
          <w:lang w:val="nl-NL"/>
        </w:rPr>
      </w:pPr>
      <w:r w:rsidRPr="00AB58D9">
        <w:rPr>
          <w:b/>
          <w:bCs/>
          <w:lang w:val="nl-NL"/>
        </w:rPr>
        <w:t>2. National advisory and interpretive document</w:t>
      </w:r>
      <w:r w:rsidRPr="00AB58D9">
        <w:rPr>
          <w:lang w:val="nl-NL"/>
        </w:rPr>
        <w:t>: terms of reference, opinions, recommendations en reports van de National Commission for Bioethics and Technoethics en haar voorganger. Dit is in Griekenland een bijzonder rijke bronsoort, omdat zij veel systeemgrenzen expliciet maakt. (</w:t>
      </w:r>
      <w:hyperlink r:id="rId37" w:tooltip="https://bioethics.gr/en/page/text" w:history="1">
        <w:r w:rsidRPr="00AB58D9">
          <w:rPr>
            <w:rStyle w:val="Hyperlink"/>
            <w:lang w:val="nl-NL"/>
          </w:rPr>
          <w:t>Bioethics</w:t>
        </w:r>
      </w:hyperlink>
      <w:r w:rsidRPr="00AB58D9">
        <w:rPr>
          <w:lang w:val="nl-NL"/>
        </w:rPr>
        <w:t>)</w:t>
      </w:r>
    </w:p>
    <w:p w14:paraId="70B77D47" w14:textId="77777777" w:rsidR="00AB58D9" w:rsidRPr="00AB58D9" w:rsidRDefault="00AB58D9" w:rsidP="00AB58D9">
      <w:pPr>
        <w:rPr>
          <w:lang w:val="nl-NL"/>
        </w:rPr>
      </w:pPr>
      <w:r w:rsidRPr="00AB58D9">
        <w:rPr>
          <w:b/>
          <w:bCs/>
          <w:lang w:val="nl-NL"/>
        </w:rPr>
        <w:t>3. Funder compliance document</w:t>
      </w:r>
      <w:r w:rsidRPr="00AB58D9">
        <w:rPr>
          <w:lang w:val="nl-NL"/>
        </w:rPr>
        <w:t>: HFRI-calls, grant rules, evaluator frameworks en ethics/integrity clauses. In Griekenland lijken financiers explicieter dan in sommige andere landen te zeggen hoe research integrity moet worden gewaarborgd. (</w:t>
      </w:r>
      <w:hyperlink r:id="rId38" w:tooltip="https://www.elidek.gr/wp-content/uploads/2023/07/HFRIs-3rd-Call-for-FMs-and-Researchers.pdf" w:history="1">
        <w:r w:rsidRPr="00AB58D9">
          <w:rPr>
            <w:rStyle w:val="Hyperlink"/>
            <w:lang w:val="nl-NL"/>
          </w:rPr>
          <w:t>elidek.gr</w:t>
        </w:r>
      </w:hyperlink>
      <w:r w:rsidRPr="00AB58D9">
        <w:rPr>
          <w:lang w:val="nl-NL"/>
        </w:rPr>
        <w:t>)</w:t>
      </w:r>
    </w:p>
    <w:p w14:paraId="4A4DEFA0" w14:textId="77777777" w:rsidR="00AB58D9" w:rsidRPr="00AB58D9" w:rsidRDefault="00AB58D9" w:rsidP="00AB58D9">
      <w:pPr>
        <w:rPr>
          <w:lang w:val="nl-NL"/>
        </w:rPr>
      </w:pPr>
      <w:r w:rsidRPr="00AB58D9">
        <w:rPr>
          <w:b/>
          <w:bCs/>
          <w:lang w:val="nl-NL"/>
        </w:rPr>
        <w:lastRenderedPageBreak/>
        <w:t>4. Institutional REC/EHDE regulation</w:t>
      </w:r>
      <w:r w:rsidRPr="00AB58D9">
        <w:rPr>
          <w:lang w:val="nl-NL"/>
        </w:rPr>
        <w:t>: de kernbron voor universiteiten en research centres. Hierin vind je samenstelling, bevoegdheden, procedure, binding force, reporting lines en soms awareness/training taken. (</w:t>
      </w:r>
      <w:hyperlink r:id="rId39" w:tooltip="https://angers-fr.frl.uoa.gr/fileadmin/depts/frl.uoa.gr/angers/uploads/ETHICS.pdf" w:history="1">
        <w:r w:rsidRPr="00AB58D9">
          <w:rPr>
            <w:rStyle w:val="Hyperlink"/>
            <w:lang w:val="nl-NL"/>
          </w:rPr>
          <w:t>SiteB-EN</w:t>
        </w:r>
      </w:hyperlink>
      <w:r w:rsidRPr="00AB58D9">
        <w:rPr>
          <w:lang w:val="nl-NL"/>
        </w:rPr>
        <w:t>)</w:t>
      </w:r>
    </w:p>
    <w:p w14:paraId="2AEE9715" w14:textId="77777777" w:rsidR="00AB58D9" w:rsidRPr="00AB58D9" w:rsidRDefault="00AB58D9" w:rsidP="00AB58D9">
      <w:pPr>
        <w:rPr>
          <w:lang w:val="nl-NL"/>
        </w:rPr>
      </w:pPr>
      <w:r w:rsidRPr="00AB58D9">
        <w:rPr>
          <w:b/>
          <w:bCs/>
          <w:lang w:val="nl-NL"/>
        </w:rPr>
        <w:t>5. Institutional code of ethics / code of conduct</w:t>
      </w:r>
      <w:r w:rsidRPr="00AB58D9">
        <w:rPr>
          <w:lang w:val="nl-NL"/>
        </w:rPr>
        <w:t>: bredere codes waarin research integrity, plagiarism, IP, anti-discrimination, student/PhD conduct en disciplinary references samenkomen. Vooral AUEB en University of Thessaly zijn hier nuttige voorbeelden. (</w:t>
      </w:r>
      <w:hyperlink r:id="rId40" w:tooltip="https://www.aueb.gr/sites/default/files/Code%20of%20Ethics%20and%20Good%20Practice%20of%20the%20Athens%20University%20of%20Economics%20and%20Business.pdf" w:history="1">
        <w:r w:rsidRPr="00AB58D9">
          <w:rPr>
            <w:rStyle w:val="Hyperlink"/>
            <w:lang w:val="nl-NL"/>
          </w:rPr>
          <w:t>Athens University</w:t>
        </w:r>
      </w:hyperlink>
      <w:r w:rsidRPr="00AB58D9">
        <w:rPr>
          <w:lang w:val="nl-NL"/>
        </w:rPr>
        <w:t>)</w:t>
      </w:r>
    </w:p>
    <w:p w14:paraId="1E26BED2" w14:textId="77777777" w:rsidR="00AB58D9" w:rsidRPr="00AB58D9" w:rsidRDefault="00AB58D9" w:rsidP="00AB58D9">
      <w:pPr>
        <w:rPr>
          <w:lang w:val="nl-NL"/>
        </w:rPr>
      </w:pPr>
      <w:r w:rsidRPr="00AB58D9">
        <w:rPr>
          <w:b/>
          <w:bCs/>
          <w:lang w:val="nl-NL"/>
        </w:rPr>
        <w:t>6. Procedural micro-documents</w:t>
      </w:r>
      <w:r w:rsidRPr="00AB58D9">
        <w:rPr>
          <w:lang w:val="nl-NL"/>
        </w:rPr>
        <w:t>: application forms, submission templates, committee composition pages, annual reports, complaint or reporting forms. EKKE en diverse universiteiten laten zien dat deze micro-documenten in Griekenland vaak de beste bewijzen van de operationele infrastructuur zijn. (</w:t>
      </w:r>
      <w:hyperlink r:id="rId41" w:tooltip="https://www.ekke.gr/en/centre/ehde" w:history="1">
        <w:r w:rsidRPr="00AB58D9">
          <w:rPr>
            <w:rStyle w:val="Hyperlink"/>
            <w:lang w:val="nl-NL"/>
          </w:rPr>
          <w:t>Ekke</w:t>
        </w:r>
      </w:hyperlink>
      <w:r w:rsidRPr="00AB58D9">
        <w:rPr>
          <w:lang w:val="nl-NL"/>
        </w:rPr>
        <w:t>)</w:t>
      </w:r>
    </w:p>
    <w:p w14:paraId="4F734EFC" w14:textId="77777777" w:rsidR="00AB58D9" w:rsidRPr="00AB58D9" w:rsidRDefault="00AB58D9" w:rsidP="00AB58D9">
      <w:pPr>
        <w:rPr>
          <w:lang w:val="nl-NL"/>
        </w:rPr>
      </w:pPr>
      <w:r w:rsidRPr="00AB58D9">
        <w:rPr>
          <w:b/>
          <w:bCs/>
          <w:lang w:val="nl-NL"/>
        </w:rPr>
        <w:t>7. Network and project document</w:t>
      </w:r>
      <w:r w:rsidRPr="00AB58D9">
        <w:rPr>
          <w:lang w:val="nl-NL"/>
        </w:rPr>
        <w:t>: EARTHnet, RCR-Greece, ENERI, RE4GREEN, AI-THOS. Deze bronsoort is in Griekenland waarschijnlijk belangrijker dan in Nederland, omdat hier een deel van de integriteitsontwikkeling via netwerken en Europese projecten lijkt te lopen. (</w:t>
      </w:r>
      <w:hyperlink r:id="rId42" w:tooltip="https://www.enrio.eu/country-reports/greece/" w:history="1">
        <w:r w:rsidRPr="00AB58D9">
          <w:rPr>
            <w:rStyle w:val="Hyperlink"/>
            <w:lang w:val="nl-NL"/>
          </w:rPr>
          <w:t>ENRIO</w:t>
        </w:r>
      </w:hyperlink>
      <w:r w:rsidRPr="00AB58D9">
        <w:rPr>
          <w:lang w:val="nl-NL"/>
        </w:rPr>
        <w:t>)</w:t>
      </w:r>
    </w:p>
    <w:p w14:paraId="15AA0B71" w14:textId="77777777" w:rsidR="00AB58D9" w:rsidRPr="00AB58D9" w:rsidRDefault="00AB58D9" w:rsidP="00AB58D9">
      <w:pPr>
        <w:rPr>
          <w:b/>
          <w:bCs/>
          <w:lang w:val="nl-NL"/>
        </w:rPr>
      </w:pPr>
      <w:r w:rsidRPr="00AB58D9">
        <w:rPr>
          <w:b/>
          <w:bCs/>
          <w:lang w:val="nl-NL"/>
        </w:rPr>
        <w:t>11. Mijn voorlopige totaalbeeld van Griekenland</w:t>
      </w:r>
    </w:p>
    <w:p w14:paraId="3785A520" w14:textId="77777777" w:rsidR="00AB58D9" w:rsidRPr="00AB58D9" w:rsidRDefault="00AB58D9" w:rsidP="00AB58D9">
      <w:pPr>
        <w:rPr>
          <w:lang w:val="nl-NL"/>
        </w:rPr>
      </w:pPr>
      <w:r w:rsidRPr="00AB58D9">
        <w:rPr>
          <w:lang w:val="nl-NL"/>
        </w:rPr>
        <w:t xml:space="preserve">Als ik alles samenneem, dan zou ik Griekenland voorlopig omschrijven als een </w:t>
      </w:r>
      <w:r w:rsidRPr="00AB58D9">
        <w:rPr>
          <w:b/>
          <w:bCs/>
          <w:lang w:val="nl-NL"/>
        </w:rPr>
        <w:t>wettelijk geactiveerd maar sterk institutioneel gedistribueerd research-integrity landschap</w:t>
      </w:r>
      <w:r w:rsidRPr="00AB58D9">
        <w:rPr>
          <w:lang w:val="nl-NL"/>
        </w:rPr>
        <w:t xml:space="preserve">. De nationale staat levert vooral de </w:t>
      </w:r>
      <w:r w:rsidRPr="00AB58D9">
        <w:rPr>
          <w:b/>
          <w:bCs/>
          <w:lang w:val="nl-NL"/>
        </w:rPr>
        <w:t>wettelijke plicht, de adviesstructuur en de financieringsvoorwaarden</w:t>
      </w:r>
      <w:r w:rsidRPr="00AB58D9">
        <w:rPr>
          <w:lang w:val="nl-NL"/>
        </w:rPr>
        <w:t xml:space="preserve">; de echte operationele infrastructuur zit in de </w:t>
      </w:r>
      <w:r w:rsidRPr="00AB58D9">
        <w:rPr>
          <w:b/>
          <w:bCs/>
          <w:lang w:val="nl-NL"/>
        </w:rPr>
        <w:t>REC/EHDE-achtige commissies van universiteiten en research centres</w:t>
      </w:r>
      <w:r w:rsidRPr="00AB58D9">
        <w:rPr>
          <w:lang w:val="nl-NL"/>
        </w:rPr>
        <w:t xml:space="preserve">; en de grenzen van het veld worden bewaakt door aparte regimes voor </w:t>
      </w:r>
      <w:r w:rsidRPr="00AB58D9">
        <w:rPr>
          <w:b/>
          <w:bCs/>
          <w:lang w:val="nl-NL"/>
        </w:rPr>
        <w:t>clinical trials, animal research, privacy and technoethics</w:t>
      </w:r>
      <w:r w:rsidRPr="00AB58D9">
        <w:rPr>
          <w:lang w:val="nl-NL"/>
        </w:rPr>
        <w:t>. (</w:t>
      </w:r>
      <w:hyperlink r:id="rId43" w:tooltip="https://www.enrio.eu/country-reports/greece/" w:history="1">
        <w:r w:rsidRPr="00AB58D9">
          <w:rPr>
            <w:rStyle w:val="Hyperlink"/>
            <w:lang w:val="nl-NL"/>
          </w:rPr>
          <w:t>ENRIO</w:t>
        </w:r>
      </w:hyperlink>
      <w:r w:rsidRPr="00AB58D9">
        <w:rPr>
          <w:lang w:val="nl-NL"/>
        </w:rPr>
        <w:t>)</w:t>
      </w:r>
    </w:p>
    <w:p w14:paraId="1D1C8382" w14:textId="77777777" w:rsidR="00AB58D9" w:rsidRPr="00AB58D9" w:rsidRDefault="00AB58D9" w:rsidP="00AB58D9">
      <w:pPr>
        <w:rPr>
          <w:lang w:val="nl-NL"/>
        </w:rPr>
      </w:pPr>
      <w:r w:rsidRPr="00AB58D9">
        <w:rPr>
          <w:lang w:val="nl-NL"/>
        </w:rPr>
        <w:t xml:space="preserve">Voor jouw vergelijkende project is Griekenland daardoor heel waardevol. Het is </w:t>
      </w:r>
      <w:r w:rsidRPr="00AB58D9">
        <w:rPr>
          <w:b/>
          <w:bCs/>
          <w:lang w:val="nl-NL"/>
        </w:rPr>
        <w:t>minder centraal gecodificeerd dan Denemarken</w:t>
      </w:r>
      <w:r w:rsidRPr="00AB58D9">
        <w:rPr>
          <w:lang w:val="nl-NL"/>
        </w:rPr>
        <w:t xml:space="preserve">, </w:t>
      </w:r>
      <w:r w:rsidRPr="00AB58D9">
        <w:rPr>
          <w:b/>
          <w:bCs/>
          <w:lang w:val="nl-NL"/>
        </w:rPr>
        <w:t>minder openbaar casuïstisch dan Nederland</w:t>
      </w:r>
      <w:r w:rsidRPr="00AB58D9">
        <w:rPr>
          <w:lang w:val="nl-NL"/>
        </w:rPr>
        <w:t xml:space="preserve">, maar wel duidelijk genoeg wettelijk gestructureerd om systematisch te mappen. Mijn indruk is dat je hier vooral veel wint door de institutionele sweep heel serieus te nemen: in Griekenland bewijs je het systeem waarschijnlijk niet primair via één nationaal orgaan, maar via </w:t>
      </w:r>
      <w:r w:rsidRPr="00AB58D9">
        <w:rPr>
          <w:b/>
          <w:bCs/>
          <w:lang w:val="nl-NL"/>
        </w:rPr>
        <w:t>de veelheid aan lokale regulations, committee pages, forms, codes and annual reports</w:t>
      </w:r>
      <w:r w:rsidRPr="00AB58D9">
        <w:rPr>
          <w:lang w:val="nl-NL"/>
        </w:rPr>
        <w:t>. (</w:t>
      </w:r>
      <w:hyperlink r:id="rId44" w:tooltip="https://www.enrio.eu/country-reports/greece/" w:history="1">
        <w:r w:rsidRPr="00AB58D9">
          <w:rPr>
            <w:rStyle w:val="Hyperlink"/>
            <w:lang w:val="nl-NL"/>
          </w:rPr>
          <w:t>ENRIO</w:t>
        </w:r>
      </w:hyperlink>
      <w:r w:rsidRPr="00AB58D9">
        <w:rPr>
          <w:lang w:val="nl-NL"/>
        </w:rPr>
        <w:t>)</w:t>
      </w:r>
    </w:p>
    <w:p w14:paraId="69EDE59F" w14:textId="77777777" w:rsidR="00AB58D9" w:rsidRPr="00AB58D9" w:rsidRDefault="00AB58D9" w:rsidP="00AB58D9">
      <w:pPr>
        <w:rPr>
          <w:lang w:val="nl-NL"/>
        </w:rPr>
      </w:pPr>
      <w:r w:rsidRPr="00AB58D9">
        <w:rPr>
          <w:lang w:val="nl-NL"/>
        </w:rPr>
        <w:t xml:space="preserve">De logische volgende stap zou nu zijn om voor Griekenland een </w:t>
      </w:r>
      <w:r w:rsidRPr="00AB58D9">
        <w:rPr>
          <w:b/>
          <w:bCs/>
          <w:lang w:val="nl-NL"/>
        </w:rPr>
        <w:t>eerste kerncorpus</w:t>
      </w:r>
      <w:r w:rsidRPr="00AB58D9">
        <w:rPr>
          <w:lang w:val="nl-NL"/>
        </w:rPr>
        <w:t xml:space="preserve"> te definiëren: de nationale wetten, de National Commission for Bioethics and Technoethics, HFRI-integritydocumenten, en daarna 6–8 representatieve instellingen zoals </w:t>
      </w:r>
      <w:r w:rsidRPr="00AB58D9">
        <w:rPr>
          <w:b/>
          <w:bCs/>
          <w:lang w:val="nl-NL"/>
        </w:rPr>
        <w:t>NKUA, AUTH, University of Thessaly, University of Crete, AUEB, NHRF, Demokritos en FORTH</w:t>
      </w:r>
      <w:r w:rsidRPr="00AB58D9">
        <w:rPr>
          <w:lang w:val="nl-NL"/>
        </w:rPr>
        <w:t>. Dan heb je al een heel stevig pilotbeeld van het hele Griekse spectrum.</w:t>
      </w:r>
    </w:p>
    <w:p w14:paraId="40DC4D52"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9A"/>
    <w:rsid w:val="001E528E"/>
    <w:rsid w:val="0023427A"/>
    <w:rsid w:val="002551AA"/>
    <w:rsid w:val="00273D29"/>
    <w:rsid w:val="002E5AD9"/>
    <w:rsid w:val="0036154D"/>
    <w:rsid w:val="00392002"/>
    <w:rsid w:val="00394BCE"/>
    <w:rsid w:val="00407C7C"/>
    <w:rsid w:val="004E2765"/>
    <w:rsid w:val="006846CA"/>
    <w:rsid w:val="00703CEF"/>
    <w:rsid w:val="007A24AA"/>
    <w:rsid w:val="008B444C"/>
    <w:rsid w:val="008B67AA"/>
    <w:rsid w:val="008E329A"/>
    <w:rsid w:val="009A628C"/>
    <w:rsid w:val="009F306F"/>
    <w:rsid w:val="00A65180"/>
    <w:rsid w:val="00A96AF6"/>
    <w:rsid w:val="00AB58D9"/>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C23B4"/>
  <w15:chartTrackingRefBased/>
  <w15:docId w15:val="{8DD44EC1-9F30-4147-8D21-324E7C910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9A"/>
    <w:rPr>
      <w:rFonts w:eastAsiaTheme="majorEastAsia" w:cstheme="majorBidi"/>
      <w:color w:val="272727" w:themeColor="text1" w:themeTint="D8"/>
    </w:rPr>
  </w:style>
  <w:style w:type="paragraph" w:styleId="Title">
    <w:name w:val="Title"/>
    <w:basedOn w:val="Normal"/>
    <w:next w:val="Normal"/>
    <w:link w:val="TitleChar"/>
    <w:uiPriority w:val="10"/>
    <w:qFormat/>
    <w:rsid w:val="008E3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9A"/>
    <w:pPr>
      <w:spacing w:before="160"/>
      <w:jc w:val="center"/>
    </w:pPr>
    <w:rPr>
      <w:i/>
      <w:iCs/>
      <w:color w:val="404040" w:themeColor="text1" w:themeTint="BF"/>
    </w:rPr>
  </w:style>
  <w:style w:type="character" w:customStyle="1" w:styleId="QuoteChar">
    <w:name w:val="Quote Char"/>
    <w:basedOn w:val="DefaultParagraphFont"/>
    <w:link w:val="Quote"/>
    <w:uiPriority w:val="29"/>
    <w:rsid w:val="008E329A"/>
    <w:rPr>
      <w:i/>
      <w:iCs/>
      <w:color w:val="404040" w:themeColor="text1" w:themeTint="BF"/>
    </w:rPr>
  </w:style>
  <w:style w:type="paragraph" w:styleId="ListParagraph">
    <w:name w:val="List Paragraph"/>
    <w:basedOn w:val="Normal"/>
    <w:uiPriority w:val="34"/>
    <w:qFormat/>
    <w:rsid w:val="008E329A"/>
    <w:pPr>
      <w:ind w:left="720"/>
      <w:contextualSpacing/>
    </w:pPr>
  </w:style>
  <w:style w:type="character" w:styleId="IntenseEmphasis">
    <w:name w:val="Intense Emphasis"/>
    <w:basedOn w:val="DefaultParagraphFont"/>
    <w:uiPriority w:val="21"/>
    <w:qFormat/>
    <w:rsid w:val="008E329A"/>
    <w:rPr>
      <w:i/>
      <w:iCs/>
      <w:color w:val="0F4761" w:themeColor="accent1" w:themeShade="BF"/>
    </w:rPr>
  </w:style>
  <w:style w:type="paragraph" w:styleId="IntenseQuote">
    <w:name w:val="Intense Quote"/>
    <w:basedOn w:val="Normal"/>
    <w:next w:val="Normal"/>
    <w:link w:val="IntenseQuoteChar"/>
    <w:uiPriority w:val="30"/>
    <w:qFormat/>
    <w:rsid w:val="008E3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29A"/>
    <w:rPr>
      <w:i/>
      <w:iCs/>
      <w:color w:val="0F4761" w:themeColor="accent1" w:themeShade="BF"/>
    </w:rPr>
  </w:style>
  <w:style w:type="character" w:styleId="IntenseReference">
    <w:name w:val="Intense Reference"/>
    <w:basedOn w:val="DefaultParagraphFont"/>
    <w:uiPriority w:val="32"/>
    <w:qFormat/>
    <w:rsid w:val="008E329A"/>
    <w:rPr>
      <w:b/>
      <w:bCs/>
      <w:smallCaps/>
      <w:color w:val="0F4761" w:themeColor="accent1" w:themeShade="BF"/>
      <w:spacing w:val="5"/>
    </w:rPr>
  </w:style>
  <w:style w:type="character" w:styleId="Hyperlink">
    <w:name w:val="Hyperlink"/>
    <w:basedOn w:val="DefaultParagraphFont"/>
    <w:uiPriority w:val="99"/>
    <w:unhideWhenUsed/>
    <w:rsid w:val="00AB58D9"/>
    <w:rPr>
      <w:color w:val="467886" w:themeColor="hyperlink"/>
      <w:u w:val="single"/>
    </w:rPr>
  </w:style>
  <w:style w:type="character" w:styleId="UnresolvedMention">
    <w:name w:val="Unresolved Mention"/>
    <w:basedOn w:val="DefaultParagraphFont"/>
    <w:uiPriority w:val="99"/>
    <w:semiHidden/>
    <w:unhideWhenUsed/>
    <w:rsid w:val="00AB58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8898">
      <w:bodyDiv w:val="1"/>
      <w:marLeft w:val="0"/>
      <w:marRight w:val="0"/>
      <w:marTop w:val="0"/>
      <w:marBottom w:val="0"/>
      <w:divBdr>
        <w:top w:val="none" w:sz="0" w:space="0" w:color="auto"/>
        <w:left w:val="none" w:sz="0" w:space="0" w:color="auto"/>
        <w:bottom w:val="none" w:sz="0" w:space="0" w:color="auto"/>
        <w:right w:val="none" w:sz="0" w:space="0" w:color="auto"/>
      </w:divBdr>
    </w:div>
    <w:div w:id="57215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rio.eu/country-reports/greece/" TargetMode="External"/><Relationship Id="rId13" Type="http://schemas.openxmlformats.org/officeDocument/2006/relationships/hyperlink" Target="https://www.elidek.gr/en/2020/12/24/h-f-r-i-supporting-research-enhancing-innovation-2/" TargetMode="External"/><Relationship Id="rId18" Type="http://schemas.openxmlformats.org/officeDocument/2006/relationships/hyperlink" Target="https://earthnet.ntua.gr/description/?lang=en" TargetMode="External"/><Relationship Id="rId26" Type="http://schemas.openxmlformats.org/officeDocument/2006/relationships/hyperlink" Target="https://www.demokritos.gr/about-us/" TargetMode="External"/><Relationship Id="rId39" Type="http://schemas.openxmlformats.org/officeDocument/2006/relationships/hyperlink" Target="https://angers-fr.frl.uoa.gr/fileadmin/depts/frl.uoa.gr/angers/uploads/ETHICS.pdf" TargetMode="External"/><Relationship Id="rId3" Type="http://schemas.openxmlformats.org/officeDocument/2006/relationships/webSettings" Target="webSettings.xml"/><Relationship Id="rId21" Type="http://schemas.openxmlformats.org/officeDocument/2006/relationships/hyperlink" Target="https://ehde.auth.gr/en/home/" TargetMode="External"/><Relationship Id="rId34" Type="http://schemas.openxmlformats.org/officeDocument/2006/relationships/hyperlink" Target="https://www.dpa.gr/en" TargetMode="External"/><Relationship Id="rId42" Type="http://schemas.openxmlformats.org/officeDocument/2006/relationships/hyperlink" Target="https://www.enrio.eu/country-reports/greece/" TargetMode="External"/><Relationship Id="rId7" Type="http://schemas.openxmlformats.org/officeDocument/2006/relationships/hyperlink" Target="https://angers-fr.frl.uoa.gr/fileadmin/depts/frl.uoa.gr/angers/uploads/ETHICS.pdf" TargetMode="External"/><Relationship Id="rId12" Type="http://schemas.openxmlformats.org/officeDocument/2006/relationships/hyperlink" Target="https://gsri.gov.gr/en/esetek-english/" TargetMode="External"/><Relationship Id="rId17" Type="http://schemas.openxmlformats.org/officeDocument/2006/relationships/hyperlink" Target="https://www.enrio.eu/country-reports/greece/" TargetMode="External"/><Relationship Id="rId25" Type="http://schemas.openxmlformats.org/officeDocument/2006/relationships/hyperlink" Target="https://www.eie.gr/en/the-nhrf/committees/research-ethics-committee/" TargetMode="External"/><Relationship Id="rId33" Type="http://schemas.openxmlformats.org/officeDocument/2006/relationships/hyperlink" Target="https://www.minagric.gr/en/citizen-menu/animals-scient-purp" TargetMode="External"/><Relationship Id="rId38" Type="http://schemas.openxmlformats.org/officeDocument/2006/relationships/hyperlink" Target="https://www.elidek.gr/wp-content/uploads/2023/07/HFRIs-3rd-Call-for-FMs-and-Researchers.pdf" TargetMode="External"/><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bioethics.gr/api/files/download/1533/reseth-rep-en.pdf?attachment=false" TargetMode="External"/><Relationship Id="rId20" Type="http://schemas.openxmlformats.org/officeDocument/2006/relationships/hyperlink" Target="https://angers-fr.frl.uoa.gr/fileadmin/depts/frl.uoa.gr/angers/uploads/ETHICS.pdf" TargetMode="External"/><Relationship Id="rId29" Type="http://schemas.openxmlformats.org/officeDocument/2006/relationships/hyperlink" Target="https://www.imbb.forth.gr/en/content/Office-of-Scientific-Integrity-at-IMBB.107/" TargetMode="External"/><Relationship Id="rId41" Type="http://schemas.openxmlformats.org/officeDocument/2006/relationships/hyperlink" Target="https://www.ekke.gr/en/centre/ehde" TargetMode="External"/><Relationship Id="rId1" Type="http://schemas.openxmlformats.org/officeDocument/2006/relationships/styles" Target="styles.xml"/><Relationship Id="rId6" Type="http://schemas.openxmlformats.org/officeDocument/2006/relationships/hyperlink" Target="https://www.enrio.eu/country-reports/greece/" TargetMode="External"/><Relationship Id="rId11" Type="http://schemas.openxmlformats.org/officeDocument/2006/relationships/hyperlink" Target="https://gsri.gov.gr/en/" TargetMode="External"/><Relationship Id="rId24" Type="http://schemas.openxmlformats.org/officeDocument/2006/relationships/hyperlink" Target="https://www.aueb.gr/en/content/ethics-and-good-practice" TargetMode="External"/><Relationship Id="rId32" Type="http://schemas.openxmlformats.org/officeDocument/2006/relationships/hyperlink" Target="https://www.eof.gr/en/%CE%BA%CE%BB%CE%B9%CE%BD%CE%B9%CE%BA%CE%AD%CF%82-%CE%B4%CE%BF%CE%BA%CE%B9%CE%BC%CE%AD%CF%82/" TargetMode="External"/><Relationship Id="rId37" Type="http://schemas.openxmlformats.org/officeDocument/2006/relationships/hyperlink" Target="https://bioethics.gr/en/page/text" TargetMode="External"/><Relationship Id="rId40" Type="http://schemas.openxmlformats.org/officeDocument/2006/relationships/hyperlink" Target="https://www.aueb.gr/sites/default/files/Code%20of%20Ethics%20and%20Good%20Practice%20of%20the%20Athens%20University%20of%20Economics%20and%20Business.pdf" TargetMode="External"/><Relationship Id="rId45" Type="http://schemas.openxmlformats.org/officeDocument/2006/relationships/fontTable" Target="fontTable.xml"/><Relationship Id="rId5" Type="http://schemas.openxmlformats.org/officeDocument/2006/relationships/hyperlink" Target="https://www.enrio.eu/country-reports/greece/" TargetMode="External"/><Relationship Id="rId15" Type="http://schemas.openxmlformats.org/officeDocument/2006/relationships/hyperlink" Target="https://bioethics.gr/en/page/armodiothtes-13" TargetMode="External"/><Relationship Id="rId23" Type="http://schemas.openxmlformats.org/officeDocument/2006/relationships/hyperlink" Target="https://en.elke.uoc.gr/aboutus/legislation" TargetMode="External"/><Relationship Id="rId28" Type="http://schemas.openxmlformats.org/officeDocument/2006/relationships/hyperlink" Target="https://www.pasteur.gr/en/committee-research-ethics" TargetMode="External"/><Relationship Id="rId36" Type="http://schemas.openxmlformats.org/officeDocument/2006/relationships/hyperlink" Target="https://www.enrio.eu/country-reports/greece/" TargetMode="External"/><Relationship Id="rId10" Type="http://schemas.openxmlformats.org/officeDocument/2006/relationships/hyperlink" Target="https://www.aueb.gr/sites/default/files/Code%20of%20Ethics%20and%20Good%20Practice%20of%20the%20Athens%20University%20of%20Economics%20and%20Business.pdf" TargetMode="External"/><Relationship Id="rId19" Type="http://schemas.openxmlformats.org/officeDocument/2006/relationships/hyperlink" Target="https://www.elke.ntua.gr/en/research_project/eneri-european-network-of-research-ethics-and-research-integrity-2/" TargetMode="External"/><Relationship Id="rId31" Type="http://schemas.openxmlformats.org/officeDocument/2006/relationships/hyperlink" Target="https://www.aueb.gr/sites/default/files/Code%20of%20Ethics%20and%20Good%20Practice%20of%20the%20Athens%20University%20of%20Economics%20and%20Business.pdf" TargetMode="External"/><Relationship Id="rId44" Type="http://schemas.openxmlformats.org/officeDocument/2006/relationships/hyperlink" Target="https://www.enrio.eu/country-reports/greece/" TargetMode="External"/><Relationship Id="rId4" Type="http://schemas.openxmlformats.org/officeDocument/2006/relationships/hyperlink" Target="https://www.enrio.eu/country-reports/greece/" TargetMode="External"/><Relationship Id="rId9" Type="http://schemas.openxmlformats.org/officeDocument/2006/relationships/hyperlink" Target="https://www.elidek.gr/wp-content/uploads/2023/07/HFRIs-3rd-Call-for-FMs-and-Researchers.pdf" TargetMode="External"/><Relationship Id="rId14" Type="http://schemas.openxmlformats.org/officeDocument/2006/relationships/hyperlink" Target="https://bioethics.gr/en/page/armodiothtes-13" TargetMode="External"/><Relationship Id="rId22" Type="http://schemas.openxmlformats.org/officeDocument/2006/relationships/hyperlink" Target="https://pre.uth.gr/en/the-department/research/research-ethics/" TargetMode="External"/><Relationship Id="rId27" Type="http://schemas.openxmlformats.org/officeDocument/2006/relationships/hyperlink" Target="https://www.ekke.gr/en/centre/ehde" TargetMode="External"/><Relationship Id="rId30" Type="http://schemas.openxmlformats.org/officeDocument/2006/relationships/hyperlink" Target="https://angers-fr.frl.uoa.gr/fileadmin/depts/frl.uoa.gr/angers/uploads/ETHICS.pdf" TargetMode="External"/><Relationship Id="rId35" Type="http://schemas.openxmlformats.org/officeDocument/2006/relationships/hyperlink" Target="https://bioethics.gr/api/files/download/2616/SYSTASH_EHDE_FINAL_EN.pdf?attachment=false" TargetMode="External"/><Relationship Id="rId43" Type="http://schemas.openxmlformats.org/officeDocument/2006/relationships/hyperlink" Target="https://www.enrio.eu/country-reports/gre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4456</Words>
  <Characters>24513</Characters>
  <Application>Microsoft Office Word</Application>
  <DocSecurity>0</DocSecurity>
  <Lines>204</Lines>
  <Paragraphs>57</Paragraphs>
  <ScaleCrop>false</ScaleCrop>
  <Company/>
  <LinksUpToDate>false</LinksUpToDate>
  <CharactersWithSpaces>28912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2026-04-16T07:13:00Z</dcterms:created>
  <dcterms:modified xsi:type="dcterms:W3CDTF">2026-04-16T07:13:00Z</dcterms:modified>
</cp:coreProperties>
</file>