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B4B5" w14:textId="77777777" w:rsidR="00021A88" w:rsidRPr="00021A88" w:rsidRDefault="00021A88" w:rsidP="00021A88">
      <w:pPr>
        <w:rPr>
          <w:b/>
          <w:bCs/>
          <w:lang w:val="nl-NL"/>
        </w:rPr>
      </w:pPr>
      <w:r w:rsidRPr="00021A88">
        <w:rPr>
          <w:b/>
          <w:bCs/>
          <w:lang w:val="nl-NL"/>
        </w:rPr>
        <w:t>Hongarije – eerste bronkaart van het research-integrity landschap</w:t>
      </w:r>
    </w:p>
    <w:p w14:paraId="16D6519B" w14:textId="77777777" w:rsidR="00021A88" w:rsidRPr="00021A88" w:rsidRDefault="00021A88" w:rsidP="00021A88">
      <w:pPr>
        <w:rPr>
          <w:lang w:val="nl-NL"/>
        </w:rPr>
      </w:pPr>
      <w:r w:rsidRPr="00021A88">
        <w:rPr>
          <w:lang w:val="nl-NL"/>
        </w:rPr>
        <w:t xml:space="preserve">Mijn voorlopige kaart van Hongarije ziet er zo uit: niet één strak hiërarchisch systeem, maar een </w:t>
      </w:r>
      <w:r w:rsidRPr="00021A88">
        <w:rPr>
          <w:b/>
          <w:bCs/>
          <w:lang w:val="nl-NL"/>
        </w:rPr>
        <w:t>meerlagig landschap</w:t>
      </w:r>
      <w:r w:rsidRPr="00021A88">
        <w:rPr>
          <w:lang w:val="nl-NL"/>
        </w:rPr>
        <w:t xml:space="preserve"> met ten minste vijf duidelijke pijlers. Ik zie een nationale </w:t>
      </w:r>
      <w:r w:rsidRPr="00021A88">
        <w:rPr>
          <w:b/>
          <w:bCs/>
          <w:lang w:val="nl-NL"/>
        </w:rPr>
        <w:t>Academie-laag</w:t>
      </w:r>
      <w:r w:rsidRPr="00021A88">
        <w:rPr>
          <w:lang w:val="nl-NL"/>
        </w:rPr>
        <w:t xml:space="preserve"> rond de Hongaarse Academie van Wetenschappen (</w:t>
      </w:r>
      <w:r w:rsidRPr="00021A88">
        <w:rPr>
          <w:b/>
          <w:bCs/>
          <w:lang w:val="nl-NL"/>
        </w:rPr>
        <w:t>MTA</w:t>
      </w:r>
      <w:r w:rsidRPr="00021A88">
        <w:rPr>
          <w:lang w:val="nl-NL"/>
        </w:rPr>
        <w:t xml:space="preserve">) en haar science-ethics code; een tweede nationale onderzoekslaag rond </w:t>
      </w:r>
      <w:r w:rsidRPr="00021A88">
        <w:rPr>
          <w:b/>
          <w:bCs/>
          <w:lang w:val="nl-NL"/>
        </w:rPr>
        <w:t>HUN-REN</w:t>
      </w:r>
      <w:r w:rsidRPr="00021A88">
        <w:rPr>
          <w:lang w:val="nl-NL"/>
        </w:rPr>
        <w:t xml:space="preserve">; een </w:t>
      </w:r>
      <w:r w:rsidRPr="00021A88">
        <w:rPr>
          <w:b/>
          <w:bCs/>
          <w:lang w:val="nl-NL"/>
        </w:rPr>
        <w:t>beleids- en financieringslaag</w:t>
      </w:r>
      <w:r w:rsidRPr="00021A88">
        <w:rPr>
          <w:lang w:val="nl-NL"/>
        </w:rPr>
        <w:t xml:space="preserve"> rond </w:t>
      </w:r>
      <w:r w:rsidRPr="00021A88">
        <w:rPr>
          <w:b/>
          <w:bCs/>
          <w:lang w:val="nl-NL"/>
        </w:rPr>
        <w:t>NKFIH</w:t>
      </w:r>
      <w:r w:rsidRPr="00021A88">
        <w:rPr>
          <w:lang w:val="nl-NL"/>
        </w:rPr>
        <w:t xml:space="preserve">; een </w:t>
      </w:r>
      <w:r w:rsidRPr="00021A88">
        <w:rPr>
          <w:b/>
          <w:bCs/>
          <w:lang w:val="nl-NL"/>
        </w:rPr>
        <w:t>hogeronderwijs- en doctorale kwaliteitslaag</w:t>
      </w:r>
      <w:r w:rsidRPr="00021A88">
        <w:rPr>
          <w:lang w:val="nl-NL"/>
        </w:rPr>
        <w:t xml:space="preserve"> rond de Higher Education Act, de </w:t>
      </w:r>
      <w:r w:rsidRPr="00021A88">
        <w:rPr>
          <w:b/>
          <w:bCs/>
          <w:lang w:val="nl-NL"/>
        </w:rPr>
        <w:t>Hungarian Doctoral Council</w:t>
      </w:r>
      <w:r w:rsidRPr="00021A88">
        <w:rPr>
          <w:lang w:val="nl-NL"/>
        </w:rPr>
        <w:t xml:space="preserve"> en </w:t>
      </w:r>
      <w:r w:rsidRPr="00021A88">
        <w:rPr>
          <w:b/>
          <w:bCs/>
          <w:lang w:val="nl-NL"/>
        </w:rPr>
        <w:t>MAB</w:t>
      </w:r>
      <w:r w:rsidRPr="00021A88">
        <w:rPr>
          <w:lang w:val="nl-NL"/>
        </w:rPr>
        <w:t xml:space="preserve">; en daarnaast een veel sterker geformaliseerde </w:t>
      </w:r>
      <w:r w:rsidRPr="00021A88">
        <w:rPr>
          <w:b/>
          <w:bCs/>
          <w:lang w:val="nl-NL"/>
        </w:rPr>
        <w:t>medische en dierexperimentele ethieklaag</w:t>
      </w:r>
      <w:r w:rsidRPr="00021A88">
        <w:rPr>
          <w:lang w:val="nl-NL"/>
        </w:rPr>
        <w:t>. In deze eerste sweep heb ik, anders dan in Denemarken, nog geen één nationale all-sector misconduct board gevonden die álle sectoren en álle zaken centraal afdoet. (</w:t>
      </w:r>
      <w:hyperlink r:id="rId4" w:tooltip="https://mta.hu/data/dokumentumok/egyeb_dokumentumok/2025/Tudomanyetikai_Kodex_2024_angol_VEGLEGES.pdf" w:history="1">
        <w:r w:rsidRPr="00021A88">
          <w:rPr>
            <w:rStyle w:val="Hyperlink"/>
            <w:lang w:val="nl-NL"/>
          </w:rPr>
          <w:t>MTA</w:t>
        </w:r>
      </w:hyperlink>
      <w:r w:rsidRPr="00021A88">
        <w:rPr>
          <w:lang w:val="nl-NL"/>
        </w:rPr>
        <w:t>)</w:t>
      </w:r>
    </w:p>
    <w:p w14:paraId="37057695" w14:textId="77777777" w:rsidR="00021A88" w:rsidRPr="00021A88" w:rsidRDefault="00021A88" w:rsidP="00021A88">
      <w:pPr>
        <w:rPr>
          <w:b/>
          <w:bCs/>
          <w:lang w:val="nl-NL"/>
        </w:rPr>
      </w:pPr>
      <w:r w:rsidRPr="00021A88">
        <w:rPr>
          <w:b/>
          <w:bCs/>
          <w:lang w:val="nl-NL"/>
        </w:rPr>
        <w:t>1. De nationale normatieve kern: MTA en de Science Ethics Code</w:t>
      </w:r>
    </w:p>
    <w:p w14:paraId="67A312B6" w14:textId="77777777" w:rsidR="00021A88" w:rsidRPr="00021A88" w:rsidRDefault="00021A88" w:rsidP="00021A88">
      <w:pPr>
        <w:rPr>
          <w:lang w:val="nl-NL"/>
        </w:rPr>
      </w:pPr>
      <w:r w:rsidRPr="00021A88">
        <w:rPr>
          <w:lang w:val="nl-NL"/>
        </w:rPr>
        <w:t xml:space="preserve">De duidelijkste nationale normbron is de </w:t>
      </w:r>
      <w:r w:rsidRPr="00021A88">
        <w:rPr>
          <w:b/>
          <w:bCs/>
          <w:lang w:val="nl-NL"/>
        </w:rPr>
        <w:t>Science Ethics Code of Conduct</w:t>
      </w:r>
      <w:r w:rsidRPr="00021A88">
        <w:rPr>
          <w:lang w:val="nl-NL"/>
        </w:rPr>
        <w:t xml:space="preserve"> van de </w:t>
      </w:r>
      <w:r w:rsidRPr="00021A88">
        <w:rPr>
          <w:b/>
          <w:bCs/>
          <w:lang w:val="nl-NL"/>
        </w:rPr>
        <w:t>Hungarian Academy of Sciences (MTA)</w:t>
      </w:r>
      <w:r w:rsidRPr="00021A88">
        <w:rPr>
          <w:lang w:val="nl-NL"/>
        </w:rPr>
        <w:t xml:space="preserve">. De huidige versie is een </w:t>
      </w:r>
      <w:r w:rsidRPr="00021A88">
        <w:rPr>
          <w:b/>
          <w:bCs/>
          <w:lang w:val="nl-NL"/>
        </w:rPr>
        <w:t>2024 revised edition</w:t>
      </w:r>
      <w:r w:rsidRPr="00021A88">
        <w:rPr>
          <w:lang w:val="nl-NL"/>
        </w:rPr>
        <w:t xml:space="preserve"> van de eerdere code uit 2010; zij zegt expliciet dat zij voortbouwt op de </w:t>
      </w:r>
      <w:r w:rsidRPr="00021A88">
        <w:rPr>
          <w:b/>
          <w:bCs/>
          <w:lang w:val="nl-NL"/>
        </w:rPr>
        <w:t>2023 revised European Code of Conduct for Research Integrity</w:t>
      </w:r>
      <w:r w:rsidRPr="00021A88">
        <w:rPr>
          <w:lang w:val="nl-NL"/>
        </w:rPr>
        <w:t xml:space="preserve"> van </w:t>
      </w:r>
      <w:r w:rsidRPr="00021A88">
        <w:rPr>
          <w:b/>
          <w:bCs/>
          <w:lang w:val="nl-NL"/>
        </w:rPr>
        <w:t>ALLEA</w:t>
      </w:r>
      <w:r w:rsidRPr="00021A88">
        <w:rPr>
          <w:lang w:val="nl-NL"/>
        </w:rPr>
        <w:t xml:space="preserve">. De code is gebaseerd op de </w:t>
      </w:r>
      <w:r w:rsidRPr="00021A88">
        <w:rPr>
          <w:b/>
          <w:bCs/>
          <w:lang w:val="nl-NL"/>
        </w:rPr>
        <w:t>Academy Act (Act XL of 1994)</w:t>
      </w:r>
      <w:r w:rsidRPr="00021A88">
        <w:rPr>
          <w:lang w:val="nl-NL"/>
        </w:rPr>
        <w:t xml:space="preserve"> en positioneert zichzelf als een document ter bescherming van wetenschappelijke integriteit, vrijheid van onderzoek en de zuiverheid van het wetenschappelijke publieke leven. De persoonlijke reikwijdte is ook belangrijk: de code geldt niet alleen intern voor de Academie, maar ook voor onder meer leden van het publieke lichaam van de Academie, onderzoekers in door de MTA medegefinancierde onderzoeksgroepen en ontvangers van MTA-beurzen en prijzen. (</w:t>
      </w:r>
      <w:hyperlink r:id="rId5" w:tooltip="https://mta.hu/data/dokumentumok/egyeb_dokumentumok/2025/Tudomanyetikai_Kodex_2024_angol_VEGLEGES.pdf" w:history="1">
        <w:r w:rsidRPr="00021A88">
          <w:rPr>
            <w:rStyle w:val="Hyperlink"/>
            <w:lang w:val="nl-NL"/>
          </w:rPr>
          <w:t>MTA</w:t>
        </w:r>
      </w:hyperlink>
      <w:r w:rsidRPr="00021A88">
        <w:rPr>
          <w:lang w:val="nl-NL"/>
        </w:rPr>
        <w:t>)</w:t>
      </w:r>
    </w:p>
    <w:p w14:paraId="7611AF20" w14:textId="77777777" w:rsidR="00021A88" w:rsidRPr="00021A88" w:rsidRDefault="00021A88" w:rsidP="00021A88">
      <w:pPr>
        <w:rPr>
          <w:lang w:val="nl-NL"/>
        </w:rPr>
      </w:pPr>
      <w:r w:rsidRPr="00021A88">
        <w:rPr>
          <w:lang w:val="nl-NL"/>
        </w:rPr>
        <w:t xml:space="preserve">Voor jouw project is vooral cruciaal dat deze code ook iets heel belangrijks zegt over </w:t>
      </w:r>
      <w:r w:rsidRPr="00021A88">
        <w:rPr>
          <w:b/>
          <w:bCs/>
          <w:lang w:val="nl-NL"/>
        </w:rPr>
        <w:t>bevoegdheid</w:t>
      </w:r>
      <w:r w:rsidRPr="00021A88">
        <w:rPr>
          <w:lang w:val="nl-NL"/>
        </w:rPr>
        <w:t xml:space="preserve">. De hoofdregel is niet dat de MTA automatisch alles onderzoekt. Integendeel: de code zegt dat de verantwoordelijkheid om een onderzoek te </w:t>
      </w:r>
      <w:r w:rsidRPr="00021A88">
        <w:rPr>
          <w:b/>
          <w:bCs/>
          <w:lang w:val="nl-NL"/>
        </w:rPr>
        <w:t>starten en voeren</w:t>
      </w:r>
      <w:r w:rsidRPr="00021A88">
        <w:rPr>
          <w:lang w:val="nl-NL"/>
        </w:rPr>
        <w:t xml:space="preserve"> in beginsel ligt bij de </w:t>
      </w:r>
      <w:r w:rsidRPr="00021A88">
        <w:rPr>
          <w:b/>
          <w:bCs/>
          <w:lang w:val="nl-NL"/>
        </w:rPr>
        <w:t>hogeschool, universiteit, onderzoeksinstelling of andere werkgever</w:t>
      </w:r>
      <w:r w:rsidRPr="00021A88">
        <w:rPr>
          <w:lang w:val="nl-NL"/>
        </w:rPr>
        <w:t xml:space="preserve"> van de betrokken onderzoeker. De </w:t>
      </w:r>
      <w:r w:rsidRPr="00021A88">
        <w:rPr>
          <w:b/>
          <w:bCs/>
          <w:lang w:val="nl-NL"/>
        </w:rPr>
        <w:t>Science Ethics Committee</w:t>
      </w:r>
      <w:r w:rsidRPr="00021A88">
        <w:rPr>
          <w:lang w:val="nl-NL"/>
        </w:rPr>
        <w:t xml:space="preserve"> van de Academie — de </w:t>
      </w:r>
      <w:r w:rsidRPr="00021A88">
        <w:rPr>
          <w:b/>
          <w:bCs/>
          <w:lang w:val="nl-NL"/>
        </w:rPr>
        <w:t>Tudományetikai Bizottság (TeB)</w:t>
      </w:r>
      <w:r w:rsidRPr="00021A88">
        <w:rPr>
          <w:lang w:val="nl-NL"/>
        </w:rPr>
        <w:t xml:space="preserve"> — behandelt alleen bepaalde categorieën zelf, bijvoorbeeld rond MTA-procedures, en kan daarnaast als </w:t>
      </w:r>
      <w:r w:rsidRPr="00021A88">
        <w:rPr>
          <w:b/>
          <w:bCs/>
          <w:lang w:val="nl-NL"/>
        </w:rPr>
        <w:t>beroepsinstantie</w:t>
      </w:r>
      <w:r w:rsidRPr="00021A88">
        <w:rPr>
          <w:lang w:val="nl-NL"/>
        </w:rPr>
        <w:t xml:space="preserve"> optreden wanneer een instelling dat expliciet zo heeft geregeld of de code rechtstreeks heeft overgenomen. Tegen inhoudelijke beslissingen van de TeB in eerste aanleg staat vervolgens beroep open bij het </w:t>
      </w:r>
      <w:r w:rsidRPr="00021A88">
        <w:rPr>
          <w:b/>
          <w:bCs/>
          <w:lang w:val="nl-NL"/>
        </w:rPr>
        <w:t>Presidium van de MTA</w:t>
      </w:r>
      <w:r w:rsidRPr="00021A88">
        <w:rPr>
          <w:lang w:val="nl-NL"/>
        </w:rPr>
        <w:t xml:space="preserve">. Dat maakt de MTA-code tegelijk normatief én procesmatig: zij laat zien dat Hongarije niet puur centraal maar vooral </w:t>
      </w:r>
      <w:r w:rsidRPr="00021A88">
        <w:rPr>
          <w:b/>
          <w:bCs/>
          <w:lang w:val="nl-NL"/>
        </w:rPr>
        <w:t>instellings-eerst, Academie-tweede</w:t>
      </w:r>
      <w:r w:rsidRPr="00021A88">
        <w:rPr>
          <w:lang w:val="nl-NL"/>
        </w:rPr>
        <w:t xml:space="preserve"> werkt. (</w:t>
      </w:r>
      <w:hyperlink r:id="rId6" w:tooltip="https://mta.hu/data/dokumentumok/egyeb_dokumentumok/2025/Tudomanyetikai_Kodex_2024_angol_VEGLEGES.pdf" w:history="1">
        <w:r w:rsidRPr="00021A88">
          <w:rPr>
            <w:rStyle w:val="Hyperlink"/>
            <w:lang w:val="nl-NL"/>
          </w:rPr>
          <w:t>MTA</w:t>
        </w:r>
      </w:hyperlink>
      <w:r w:rsidRPr="00021A88">
        <w:rPr>
          <w:lang w:val="nl-NL"/>
        </w:rPr>
        <w:t>)</w:t>
      </w:r>
    </w:p>
    <w:p w14:paraId="1F7844C1" w14:textId="77777777" w:rsidR="00021A88" w:rsidRPr="00021A88" w:rsidRDefault="00021A88" w:rsidP="00021A88">
      <w:pPr>
        <w:rPr>
          <w:lang w:val="nl-NL"/>
        </w:rPr>
      </w:pPr>
      <w:r w:rsidRPr="00021A88">
        <w:rPr>
          <w:lang w:val="nl-NL"/>
        </w:rPr>
        <w:t xml:space="preserve">Ook de huidige </w:t>
      </w:r>
      <w:r w:rsidRPr="00021A88">
        <w:rPr>
          <w:b/>
          <w:bCs/>
          <w:lang w:val="nl-NL"/>
        </w:rPr>
        <w:t>MTA Science Ethics Committee</w:t>
      </w:r>
      <w:r w:rsidRPr="00021A88">
        <w:rPr>
          <w:lang w:val="nl-NL"/>
        </w:rPr>
        <w:t xml:space="preserve">-pagina is voor jouw corpus een ankerbron. Die pagina noemt de actuele voorzitter en leden, vat de statutaire taak samen en zegt dat de commissie </w:t>
      </w:r>
      <w:r w:rsidRPr="00021A88">
        <w:rPr>
          <w:b/>
          <w:bCs/>
          <w:lang w:val="nl-NL"/>
        </w:rPr>
        <w:t>22 leden</w:t>
      </w:r>
      <w:r w:rsidRPr="00021A88">
        <w:rPr>
          <w:lang w:val="nl-NL"/>
        </w:rPr>
        <w:t xml:space="preserve"> heeft. Ze maakt ook duidelijk dat de </w:t>
      </w:r>
      <w:r w:rsidRPr="00021A88">
        <w:rPr>
          <w:lang w:val="nl-NL"/>
        </w:rPr>
        <w:lastRenderedPageBreak/>
        <w:t xml:space="preserve">commissie op concrete zaken kan ingaan wanneer beide partijen haar bevoegdheid erkennen, terwijl bepaalde categorieën — zoals personen in MTA-doctorale procedures en personen die in de code zelf zijn genoemd — daaraan verplicht zijn. De secretariële ondersteuning loopt via het </w:t>
      </w:r>
      <w:r w:rsidRPr="00021A88">
        <w:rPr>
          <w:b/>
          <w:bCs/>
          <w:lang w:val="nl-NL"/>
        </w:rPr>
        <w:t>MTA Secretariat</w:t>
      </w:r>
      <w:r w:rsidRPr="00021A88">
        <w:rPr>
          <w:lang w:val="nl-NL"/>
        </w:rPr>
        <w:t xml:space="preserve">. De oudere Engelstalige proceduretekst is daarnaast nuttig omdat die laat zien hoe de commissie wordt samengesteld: leden worden door de </w:t>
      </w:r>
      <w:r w:rsidRPr="00021A88">
        <w:rPr>
          <w:b/>
          <w:bCs/>
          <w:lang w:val="nl-NL"/>
        </w:rPr>
        <w:t>General Assembly</w:t>
      </w:r>
      <w:r w:rsidRPr="00021A88">
        <w:rPr>
          <w:lang w:val="nl-NL"/>
        </w:rPr>
        <w:t xml:space="preserve"> gekozen, op voordracht vanuit de wetenschappelijke secties. (</w:t>
      </w:r>
      <w:hyperlink r:id="rId7" w:tooltip="https://mta.hu/hatteranyagok/tudomanyetikai-bizottsag-105786" w:history="1">
        <w:r w:rsidRPr="00021A88">
          <w:rPr>
            <w:rStyle w:val="Hyperlink"/>
            <w:lang w:val="nl-NL"/>
          </w:rPr>
          <w:t>MTA</w:t>
        </w:r>
      </w:hyperlink>
      <w:r w:rsidRPr="00021A88">
        <w:rPr>
          <w:lang w:val="nl-NL"/>
        </w:rPr>
        <w:t>)</w:t>
      </w:r>
    </w:p>
    <w:p w14:paraId="63F269C4" w14:textId="77777777" w:rsidR="00021A88" w:rsidRPr="00021A88" w:rsidRDefault="00021A88" w:rsidP="00021A88">
      <w:pPr>
        <w:rPr>
          <w:b/>
          <w:bCs/>
          <w:lang w:val="nl-NL"/>
        </w:rPr>
      </w:pPr>
      <w:r w:rsidRPr="00021A88">
        <w:rPr>
          <w:b/>
          <w:bCs/>
          <w:lang w:val="nl-NL"/>
        </w:rPr>
        <w:t>2. HUN-REN als tweede nationale pijler</w:t>
      </w:r>
    </w:p>
    <w:p w14:paraId="65D0733F" w14:textId="77777777" w:rsidR="00021A88" w:rsidRPr="00021A88" w:rsidRDefault="00021A88" w:rsidP="00021A88">
      <w:pPr>
        <w:rPr>
          <w:lang w:val="nl-NL"/>
        </w:rPr>
      </w:pPr>
      <w:r w:rsidRPr="00021A88">
        <w:rPr>
          <w:lang w:val="nl-NL"/>
        </w:rPr>
        <w:t xml:space="preserve">Naast de Academie is er nu een tweede nationale pijler: </w:t>
      </w:r>
      <w:r w:rsidRPr="00021A88">
        <w:rPr>
          <w:b/>
          <w:bCs/>
          <w:lang w:val="nl-NL"/>
        </w:rPr>
        <w:t>HUN-REN</w:t>
      </w:r>
      <w:r w:rsidRPr="00021A88">
        <w:rPr>
          <w:lang w:val="nl-NL"/>
        </w:rPr>
        <w:t xml:space="preserve">, het </w:t>
      </w:r>
      <w:r w:rsidRPr="00021A88">
        <w:rPr>
          <w:b/>
          <w:bCs/>
          <w:lang w:val="nl-NL"/>
        </w:rPr>
        <w:t>Hungarian Research Network</w:t>
      </w:r>
      <w:r w:rsidRPr="00021A88">
        <w:rPr>
          <w:lang w:val="nl-NL"/>
        </w:rPr>
        <w:t xml:space="preserve">. De </w:t>
      </w:r>
      <w:r w:rsidRPr="00021A88">
        <w:rPr>
          <w:b/>
          <w:bCs/>
          <w:lang w:val="nl-NL"/>
        </w:rPr>
        <w:t>Act XCI of 2024 on HUN-REN</w:t>
      </w:r>
      <w:r w:rsidRPr="00021A88">
        <w:rPr>
          <w:lang w:val="nl-NL"/>
        </w:rPr>
        <w:t xml:space="preserve"> omschrijft HUN-REN als een publieke organisatie die de autonomie van wetenschappelijk onderzoek moet versterken, onderzoek en innovatie moet organiseren en ondersteunen, onderzoeksinstituten kan onderhouden, met universiteiten kan samenwerken en aan doctorale programma’s kan bijdragen. Dat betekent dat je Hongarije niet meer alleen als “Academie + universiteiten” kunt lezen; HUN-REN is een zelfstandige systeemlaag met een eigen wettelijke basis. (</w:t>
      </w:r>
      <w:hyperlink r:id="rId8" w:tooltip="https://hun-ren.hu/data/hun-ren/hirek/2024/december/Hungarian_Research_Network_Law_ID_XCI._2024._0.pdf" w:history="1">
        <w:r w:rsidRPr="00021A88">
          <w:rPr>
            <w:rStyle w:val="Hyperlink"/>
            <w:lang w:val="nl-NL"/>
          </w:rPr>
          <w:t>hun-ren.hu</w:t>
        </w:r>
      </w:hyperlink>
      <w:r w:rsidRPr="00021A88">
        <w:rPr>
          <w:lang w:val="nl-NL"/>
        </w:rPr>
        <w:t>)</w:t>
      </w:r>
    </w:p>
    <w:p w14:paraId="08E21913" w14:textId="77777777" w:rsidR="00021A88" w:rsidRPr="00021A88" w:rsidRDefault="00021A88" w:rsidP="00021A88">
      <w:pPr>
        <w:rPr>
          <w:lang w:val="nl-NL"/>
        </w:rPr>
      </w:pPr>
      <w:r w:rsidRPr="00021A88">
        <w:rPr>
          <w:lang w:val="nl-NL"/>
        </w:rPr>
        <w:t xml:space="preserve">De </w:t>
      </w:r>
      <w:r w:rsidRPr="00021A88">
        <w:rPr>
          <w:b/>
          <w:bCs/>
          <w:lang w:val="nl-NL"/>
        </w:rPr>
        <w:t>Organisational and Operational Regulations</w:t>
      </w:r>
      <w:r w:rsidRPr="00021A88">
        <w:rPr>
          <w:lang w:val="nl-NL"/>
        </w:rPr>
        <w:t xml:space="preserve"> van HUN-REN uit 2026 laten vervolgens zien dat dit niet alleen een bestuurlijke paraplu is, maar ook een </w:t>
      </w:r>
      <w:r w:rsidRPr="00021A88">
        <w:rPr>
          <w:b/>
          <w:bCs/>
          <w:lang w:val="nl-NL"/>
        </w:rPr>
        <w:t>compliance- en integriteitslaag</w:t>
      </w:r>
      <w:r w:rsidRPr="00021A88">
        <w:rPr>
          <w:lang w:val="nl-NL"/>
        </w:rPr>
        <w:t xml:space="preserve">. Daarin staat dat de </w:t>
      </w:r>
      <w:r w:rsidRPr="00021A88">
        <w:rPr>
          <w:b/>
          <w:bCs/>
          <w:lang w:val="nl-NL"/>
        </w:rPr>
        <w:t>Legal and Compliance Directorate</w:t>
      </w:r>
      <w:r w:rsidRPr="00021A88">
        <w:rPr>
          <w:lang w:val="nl-NL"/>
        </w:rPr>
        <w:t xml:space="preserve"> onder meer interne regels rond het whistleblowing-systeem ontwikkelt en onderhoudt, en ook bewaakt of de vereiste interne regelingen binnen de onderzoeksinstellingen aanwezig zijn. Een andere organisatie-eenheid ondersteunt bovendien de behandeling van incidenten die de </w:t>
      </w:r>
      <w:r w:rsidRPr="00021A88">
        <w:rPr>
          <w:b/>
          <w:bCs/>
          <w:lang w:val="nl-NL"/>
        </w:rPr>
        <w:t>organisational integrity</w:t>
      </w:r>
      <w:r w:rsidRPr="00021A88">
        <w:rPr>
          <w:lang w:val="nl-NL"/>
        </w:rPr>
        <w:t xml:space="preserve"> schenden, met verwijzing naar de </w:t>
      </w:r>
      <w:r w:rsidRPr="00021A88">
        <w:rPr>
          <w:b/>
          <w:bCs/>
          <w:lang w:val="nl-NL"/>
        </w:rPr>
        <w:t>Code of Ethics</w:t>
      </w:r>
      <w:r w:rsidRPr="00021A88">
        <w:rPr>
          <w:lang w:val="nl-NL"/>
        </w:rPr>
        <w:t>, en ondersteunt de interne controles van de onderzoeksinstituten. Dat zijn precies de soorten documenten die bewijzen hoe een netwerk “achter de schermen” governance organiseert. (</w:t>
      </w:r>
      <w:hyperlink r:id="rId9" w:tooltip="https://hun-ren.hu/data/hun-ren/intezetek/szmsz/HUN-REN_Organisational_and_Operational_Regulations.pdf" w:history="1">
        <w:r w:rsidRPr="00021A88">
          <w:rPr>
            <w:rStyle w:val="Hyperlink"/>
            <w:lang w:val="nl-NL"/>
          </w:rPr>
          <w:t>hun-ren.hu</w:t>
        </w:r>
      </w:hyperlink>
      <w:r w:rsidRPr="00021A88">
        <w:rPr>
          <w:lang w:val="nl-NL"/>
        </w:rPr>
        <w:t>)</w:t>
      </w:r>
    </w:p>
    <w:p w14:paraId="64E89191" w14:textId="77777777" w:rsidR="00021A88" w:rsidRPr="00021A88" w:rsidRDefault="00021A88" w:rsidP="00021A88">
      <w:pPr>
        <w:rPr>
          <w:lang w:val="nl-NL"/>
        </w:rPr>
      </w:pPr>
      <w:r w:rsidRPr="00021A88">
        <w:rPr>
          <w:lang w:val="nl-NL"/>
        </w:rPr>
        <w:t xml:space="preserve">Opvallend is dat HUN-REN daarnaast ook op netwerk- of instellingsniveau eigen gedragscodes en ethiekstructuren lijkt te bouwen. Er is een centrale HUN-REN-pagina voor een </w:t>
      </w:r>
      <w:r w:rsidRPr="00021A88">
        <w:rPr>
          <w:b/>
          <w:bCs/>
          <w:lang w:val="nl-NL"/>
        </w:rPr>
        <w:t>Magatartási Kódex</w:t>
      </w:r>
      <w:r w:rsidRPr="00021A88">
        <w:rPr>
          <w:lang w:val="nl-NL"/>
        </w:rPr>
        <w:t xml:space="preserve"> uit januari 2026, al vraagt de inhoud daarvan nog een apart documentharvest. Op instituutsniveau zie je de implementatie scherper: in het </w:t>
      </w:r>
      <w:r w:rsidRPr="00021A88">
        <w:rPr>
          <w:b/>
          <w:bCs/>
          <w:lang w:val="nl-NL"/>
        </w:rPr>
        <w:t>Biological Research Centre Szeged</w:t>
      </w:r>
      <w:r w:rsidRPr="00021A88">
        <w:rPr>
          <w:lang w:val="nl-NL"/>
        </w:rPr>
        <w:t xml:space="preserve"> heeft de organisatie- en werkingsregeling een expliciete </w:t>
      </w:r>
      <w:r w:rsidRPr="00021A88">
        <w:rPr>
          <w:b/>
          <w:bCs/>
          <w:lang w:val="nl-NL"/>
        </w:rPr>
        <w:t>Integrity Officer</w:t>
      </w:r>
      <w:r w:rsidRPr="00021A88">
        <w:rPr>
          <w:lang w:val="nl-NL"/>
        </w:rPr>
        <w:t xml:space="preserve">, wiens taak is om onregelmatigheden te voorkomen, meldingen te ontvangen en naleving van ethische normen te bevorderen. Bij het </w:t>
      </w:r>
      <w:r w:rsidRPr="00021A88">
        <w:rPr>
          <w:b/>
          <w:bCs/>
          <w:lang w:val="nl-NL"/>
        </w:rPr>
        <w:t>HUN-REN Research Centre for Astronomy and Earth Sciences (CSFK)</w:t>
      </w:r>
      <w:r w:rsidRPr="00021A88">
        <w:rPr>
          <w:lang w:val="nl-NL"/>
        </w:rPr>
        <w:t xml:space="preserve"> zie je weer een andere lokale uitwerking: een </w:t>
      </w:r>
      <w:r w:rsidRPr="00021A88">
        <w:rPr>
          <w:b/>
          <w:bCs/>
          <w:lang w:val="nl-NL"/>
        </w:rPr>
        <w:t>Ethics Committee</w:t>
      </w:r>
      <w:r w:rsidRPr="00021A88">
        <w:rPr>
          <w:lang w:val="nl-NL"/>
        </w:rPr>
        <w:t xml:space="preserve"> én een </w:t>
      </w:r>
      <w:r w:rsidRPr="00021A88">
        <w:rPr>
          <w:b/>
          <w:bCs/>
          <w:lang w:val="nl-NL"/>
        </w:rPr>
        <w:t>ombudsperson</w:t>
      </w:r>
      <w:r w:rsidRPr="00021A88">
        <w:rPr>
          <w:lang w:val="nl-NL"/>
        </w:rPr>
        <w:t xml:space="preserve">, met eigen procedures en documenten. Dat betekent dat HUN-REN in jouw kaart niet één actor is, maar een </w:t>
      </w:r>
      <w:r w:rsidRPr="00021A88">
        <w:rPr>
          <w:b/>
          <w:bCs/>
          <w:lang w:val="nl-NL"/>
        </w:rPr>
        <w:t>netwerklaag plus een reeks lokale ethiekregimes</w:t>
      </w:r>
      <w:r w:rsidRPr="00021A88">
        <w:rPr>
          <w:lang w:val="nl-NL"/>
        </w:rPr>
        <w:t>. (</w:t>
      </w:r>
      <w:hyperlink r:id="rId10" w:tooltip="https://hun-ren.hu/hunren/magatartasi-kodex-109859" w:history="1">
        <w:r w:rsidRPr="00021A88">
          <w:rPr>
            <w:rStyle w:val="Hyperlink"/>
            <w:lang w:val="nl-NL"/>
          </w:rPr>
          <w:t>hun-ren.hu</w:t>
        </w:r>
      </w:hyperlink>
      <w:r w:rsidRPr="00021A88">
        <w:rPr>
          <w:lang w:val="nl-NL"/>
        </w:rPr>
        <w:t>)</w:t>
      </w:r>
    </w:p>
    <w:p w14:paraId="49255333" w14:textId="77777777" w:rsidR="00021A88" w:rsidRPr="00021A88" w:rsidRDefault="00021A88" w:rsidP="00021A88">
      <w:pPr>
        <w:rPr>
          <w:b/>
          <w:bCs/>
          <w:lang w:val="nl-NL"/>
        </w:rPr>
      </w:pPr>
      <w:r w:rsidRPr="00021A88">
        <w:rPr>
          <w:b/>
          <w:bCs/>
          <w:lang w:val="nl-NL"/>
        </w:rPr>
        <w:t>3. De beleids- en financieringslaag: NKFIH</w:t>
      </w:r>
    </w:p>
    <w:p w14:paraId="37F5981B" w14:textId="77777777" w:rsidR="00021A88" w:rsidRPr="00021A88" w:rsidRDefault="00021A88" w:rsidP="00021A88">
      <w:pPr>
        <w:rPr>
          <w:lang w:val="nl-NL"/>
        </w:rPr>
      </w:pPr>
      <w:r w:rsidRPr="00021A88">
        <w:rPr>
          <w:lang w:val="nl-NL"/>
        </w:rPr>
        <w:lastRenderedPageBreak/>
        <w:t xml:space="preserve">De derde nationale laag is </w:t>
      </w:r>
      <w:r w:rsidRPr="00021A88">
        <w:rPr>
          <w:b/>
          <w:bCs/>
          <w:lang w:val="nl-NL"/>
        </w:rPr>
        <w:t>NKFIH</w:t>
      </w:r>
      <w:r w:rsidRPr="00021A88">
        <w:rPr>
          <w:lang w:val="nl-NL"/>
        </w:rPr>
        <w:t xml:space="preserve">, het </w:t>
      </w:r>
      <w:r w:rsidRPr="00021A88">
        <w:rPr>
          <w:b/>
          <w:bCs/>
          <w:lang w:val="nl-NL"/>
        </w:rPr>
        <w:t>National Research, Development and Innovation Office</w:t>
      </w:r>
      <w:r w:rsidRPr="00021A88">
        <w:rPr>
          <w:lang w:val="nl-NL"/>
        </w:rPr>
        <w:t xml:space="preserve">. Op de “About the Office”-pagina wordt NKFIH gepositioneerd als het orgaan dat strategie, beleid, uitvoering en de </w:t>
      </w:r>
      <w:r w:rsidRPr="00021A88">
        <w:rPr>
          <w:b/>
          <w:bCs/>
          <w:lang w:val="nl-NL"/>
        </w:rPr>
        <w:t>NRDI Fund</w:t>
      </w:r>
      <w:r w:rsidRPr="00021A88">
        <w:rPr>
          <w:lang w:val="nl-NL"/>
        </w:rPr>
        <w:t xml:space="preserve">-logica samenbrengt. Diezelfde pagina laat ook zien dat de </w:t>
      </w:r>
      <w:r w:rsidRPr="00021A88">
        <w:rPr>
          <w:b/>
          <w:bCs/>
          <w:lang w:val="nl-NL"/>
        </w:rPr>
        <w:t>Research Council of Hungary</w:t>
      </w:r>
      <w:r w:rsidRPr="00021A88">
        <w:rPr>
          <w:lang w:val="nl-NL"/>
        </w:rPr>
        <w:t xml:space="preserve"> in deze laag verankerd is, met leden die door consensus worden voorgedragen door het </w:t>
      </w:r>
      <w:r w:rsidRPr="00021A88">
        <w:rPr>
          <w:b/>
          <w:bCs/>
          <w:lang w:val="nl-NL"/>
        </w:rPr>
        <w:t>Ministry of Culture and Innovation</w:t>
      </w:r>
      <w:r w:rsidRPr="00021A88">
        <w:rPr>
          <w:lang w:val="nl-NL"/>
        </w:rPr>
        <w:t xml:space="preserve">, de </w:t>
      </w:r>
      <w:r w:rsidRPr="00021A88">
        <w:rPr>
          <w:b/>
          <w:bCs/>
          <w:lang w:val="nl-NL"/>
        </w:rPr>
        <w:t>MTA</w:t>
      </w:r>
      <w:r w:rsidRPr="00021A88">
        <w:rPr>
          <w:lang w:val="nl-NL"/>
        </w:rPr>
        <w:t xml:space="preserve"> en </w:t>
      </w:r>
      <w:r w:rsidRPr="00021A88">
        <w:rPr>
          <w:b/>
          <w:bCs/>
          <w:lang w:val="nl-NL"/>
        </w:rPr>
        <w:t>HUN-REN</w:t>
      </w:r>
      <w:r w:rsidRPr="00021A88">
        <w:rPr>
          <w:lang w:val="nl-NL"/>
        </w:rPr>
        <w:t xml:space="preserve">. Voor onderzoeksbeoordeling verwijst NKFIH bovendien naar een systeem met </w:t>
      </w:r>
      <w:r w:rsidRPr="00021A88">
        <w:rPr>
          <w:b/>
          <w:bCs/>
          <w:lang w:val="nl-NL"/>
        </w:rPr>
        <w:t>14 evaluation panels</w:t>
      </w:r>
      <w:r w:rsidRPr="00021A88">
        <w:rPr>
          <w:lang w:val="nl-NL"/>
        </w:rPr>
        <w:t xml:space="preserve">. Voor jouw project is dit belangrijk omdat het laat zien dat financiering in Hongarije niet alleen geld verdeelt, maar ook een duidelijke </w:t>
      </w:r>
      <w:r w:rsidRPr="00021A88">
        <w:rPr>
          <w:b/>
          <w:bCs/>
          <w:lang w:val="nl-NL"/>
        </w:rPr>
        <w:t>coördinatie- en beoordelingslaag</w:t>
      </w:r>
      <w:r w:rsidRPr="00021A88">
        <w:rPr>
          <w:lang w:val="nl-NL"/>
        </w:rPr>
        <w:t xml:space="preserve"> vormt. (</w:t>
      </w:r>
      <w:hyperlink r:id="rId11" w:tooltip="https://nkfih.gov.hu/about-the-office" w:history="1">
        <w:r w:rsidRPr="00021A88">
          <w:rPr>
            <w:rStyle w:val="Hyperlink"/>
            <w:lang w:val="nl-NL"/>
          </w:rPr>
          <w:t>NKFIH</w:t>
        </w:r>
      </w:hyperlink>
      <w:r w:rsidRPr="00021A88">
        <w:rPr>
          <w:lang w:val="nl-NL"/>
        </w:rPr>
        <w:t>)</w:t>
      </w:r>
    </w:p>
    <w:p w14:paraId="63D90FB6" w14:textId="77777777" w:rsidR="00021A88" w:rsidRPr="00021A88" w:rsidRDefault="00021A88" w:rsidP="00021A88">
      <w:pPr>
        <w:rPr>
          <w:lang w:val="nl-NL"/>
        </w:rPr>
      </w:pPr>
      <w:r w:rsidRPr="00021A88">
        <w:rPr>
          <w:lang w:val="nl-NL"/>
        </w:rPr>
        <w:t xml:space="preserve">NKFIH is ook inhoudelijk relevant voor integriteit. Op initiatief van NKFIH werd in </w:t>
      </w:r>
      <w:r w:rsidRPr="00021A88">
        <w:rPr>
          <w:b/>
          <w:bCs/>
          <w:lang w:val="nl-NL"/>
        </w:rPr>
        <w:t>2021</w:t>
      </w:r>
      <w:r w:rsidRPr="00021A88">
        <w:rPr>
          <w:lang w:val="nl-NL"/>
        </w:rPr>
        <w:t xml:space="preserve"> een </w:t>
      </w:r>
      <w:r w:rsidRPr="00021A88">
        <w:rPr>
          <w:b/>
          <w:bCs/>
          <w:lang w:val="nl-NL"/>
        </w:rPr>
        <w:t>Open Science Advisory Board</w:t>
      </w:r>
      <w:r w:rsidRPr="00021A88">
        <w:rPr>
          <w:lang w:val="nl-NL"/>
        </w:rPr>
        <w:t xml:space="preserve"> opgericht. De officiële </w:t>
      </w:r>
      <w:r w:rsidRPr="00021A88">
        <w:rPr>
          <w:b/>
          <w:bCs/>
          <w:lang w:val="nl-NL"/>
        </w:rPr>
        <w:t>Position Paper on Open Science</w:t>
      </w:r>
      <w:r w:rsidRPr="00021A88">
        <w:rPr>
          <w:lang w:val="nl-NL"/>
        </w:rPr>
        <w:t xml:space="preserve"> noemt </w:t>
      </w:r>
      <w:r w:rsidRPr="00021A88">
        <w:rPr>
          <w:b/>
          <w:bCs/>
          <w:lang w:val="nl-NL"/>
        </w:rPr>
        <w:t>research integrity</w:t>
      </w:r>
      <w:r w:rsidRPr="00021A88">
        <w:rPr>
          <w:lang w:val="nl-NL"/>
        </w:rPr>
        <w:t xml:space="preserve"> expliciet als één van de pijlers van het Hongaarse open-science raamwerk, naast open access, FAIR/CARE data management, nieuwe metrics, incentives, internationale samenwerking, citizen science en education and skills. Daarnaast publiceerde NKFIH al in </w:t>
      </w:r>
      <w:r w:rsidRPr="00021A88">
        <w:rPr>
          <w:b/>
          <w:bCs/>
          <w:lang w:val="nl-NL"/>
        </w:rPr>
        <w:t>2018</w:t>
      </w:r>
      <w:r w:rsidRPr="00021A88">
        <w:rPr>
          <w:lang w:val="nl-NL"/>
        </w:rPr>
        <w:t xml:space="preserve"> een Hongaarse vertaling van de </w:t>
      </w:r>
      <w:r w:rsidRPr="00021A88">
        <w:rPr>
          <w:b/>
          <w:bCs/>
          <w:lang w:val="nl-NL"/>
        </w:rPr>
        <w:t>European Code of Conduct for Research Integrity</w:t>
      </w:r>
      <w:r w:rsidRPr="00021A88">
        <w:rPr>
          <w:lang w:val="nl-NL"/>
        </w:rPr>
        <w:t xml:space="preserve">. Dat maakt NKFIH voor Hongarije tot een sleutelbron voor de </w:t>
      </w:r>
      <w:r w:rsidRPr="00021A88">
        <w:rPr>
          <w:b/>
          <w:bCs/>
          <w:lang w:val="nl-NL"/>
        </w:rPr>
        <w:t>Europese vertaallaag</w:t>
      </w:r>
      <w:r w:rsidRPr="00021A88">
        <w:rPr>
          <w:lang w:val="nl-NL"/>
        </w:rPr>
        <w:t>: hoe internationale integriteitsnormen in nationaal beleid landen. (</w:t>
      </w:r>
      <w:hyperlink r:id="rId12" w:tooltip="https://nkfih.gov.hu/openscience" w:history="1">
        <w:r w:rsidRPr="00021A88">
          <w:rPr>
            <w:rStyle w:val="Hyperlink"/>
            <w:lang w:val="nl-NL"/>
          </w:rPr>
          <w:t>NKFIH</w:t>
        </w:r>
      </w:hyperlink>
      <w:r w:rsidRPr="00021A88">
        <w:rPr>
          <w:lang w:val="nl-NL"/>
        </w:rPr>
        <w:t>)</w:t>
      </w:r>
    </w:p>
    <w:p w14:paraId="193C9309" w14:textId="77777777" w:rsidR="00021A88" w:rsidRPr="00021A88" w:rsidRDefault="00021A88" w:rsidP="00021A88">
      <w:pPr>
        <w:rPr>
          <w:b/>
          <w:bCs/>
          <w:lang w:val="nl-NL"/>
        </w:rPr>
      </w:pPr>
      <w:r w:rsidRPr="00021A88">
        <w:rPr>
          <w:b/>
          <w:bCs/>
          <w:lang w:val="nl-NL"/>
        </w:rPr>
        <w:t>4. De hogeronderwijs- en doctorale kwaliteitslaag</w:t>
      </w:r>
    </w:p>
    <w:p w14:paraId="43E1728C" w14:textId="77777777" w:rsidR="00021A88" w:rsidRPr="00021A88" w:rsidRDefault="00021A88" w:rsidP="00021A88">
      <w:pPr>
        <w:rPr>
          <w:lang w:val="nl-NL"/>
        </w:rPr>
      </w:pPr>
      <w:r w:rsidRPr="00021A88">
        <w:rPr>
          <w:lang w:val="nl-NL"/>
        </w:rPr>
        <w:t xml:space="preserve">Een vierde laag is niet direct “misconduct handling”, maar wel duidelijk onderdeel van het integriteitslandschap: de </w:t>
      </w:r>
      <w:r w:rsidRPr="00021A88">
        <w:rPr>
          <w:b/>
          <w:bCs/>
          <w:lang w:val="nl-NL"/>
        </w:rPr>
        <w:t>hogeronderwijs- en doctorale kwaliteitsarchitectuur</w:t>
      </w:r>
      <w:r w:rsidRPr="00021A88">
        <w:rPr>
          <w:lang w:val="nl-NL"/>
        </w:rPr>
        <w:t xml:space="preserve">. De Engelse versie van de </w:t>
      </w:r>
      <w:r w:rsidRPr="00021A88">
        <w:rPr>
          <w:b/>
          <w:bCs/>
          <w:lang w:val="nl-NL"/>
        </w:rPr>
        <w:t>Act CCIV of 2011 on National Higher Education</w:t>
      </w:r>
      <w:r w:rsidRPr="00021A88">
        <w:rPr>
          <w:lang w:val="nl-NL"/>
        </w:rPr>
        <w:t xml:space="preserve"> laat zien dat de </w:t>
      </w:r>
      <w:r w:rsidRPr="00021A88">
        <w:rPr>
          <w:b/>
          <w:bCs/>
          <w:lang w:val="nl-NL"/>
        </w:rPr>
        <w:t>Hungarian Doctoral Council</w:t>
      </w:r>
      <w:r w:rsidRPr="00021A88">
        <w:rPr>
          <w:lang w:val="nl-NL"/>
        </w:rPr>
        <w:t xml:space="preserve"> een nationale rol heeft in doctorale kwesties: zij formuleert standpunten, bepaalt principes voor het comprehensive exam en definieert principes voor een kwaliteits- en prestatiegebaseerde verdeling van doctorale middelen. De officiële site van de Doctoral Council fungeert vervolgens als een documenthub voor wetgeving, gidsen, openbare stukken en actuele wijzigingen. Voor jouw kaart is dat belangrijk omdat doctoraatstrajecten vaak de plek zijn waar integriteit, plagiaat, begeleiding en kwaliteitscontrole bij elkaar komen. (</w:t>
      </w:r>
      <w:hyperlink r:id="rId13" w:tooltip="https://www.mab.hu/wp-content/uploads/Nftv_angol_2Sept2016_EMMI-forditas.pdf" w:history="1">
        <w:r w:rsidRPr="00021A88">
          <w:rPr>
            <w:rStyle w:val="Hyperlink"/>
            <w:lang w:val="nl-NL"/>
          </w:rPr>
          <w:t>MAB</w:t>
        </w:r>
      </w:hyperlink>
      <w:r w:rsidRPr="00021A88">
        <w:rPr>
          <w:lang w:val="nl-NL"/>
        </w:rPr>
        <w:t>)</w:t>
      </w:r>
    </w:p>
    <w:p w14:paraId="3AF43A21" w14:textId="77777777" w:rsidR="00021A88" w:rsidRPr="00021A88" w:rsidRDefault="00021A88" w:rsidP="00021A88">
      <w:pPr>
        <w:rPr>
          <w:lang w:val="nl-NL"/>
        </w:rPr>
      </w:pPr>
      <w:r w:rsidRPr="00021A88">
        <w:rPr>
          <w:lang w:val="nl-NL"/>
        </w:rPr>
        <w:t xml:space="preserve">Daarnaast staat er met </w:t>
      </w:r>
      <w:r w:rsidRPr="00021A88">
        <w:rPr>
          <w:b/>
          <w:bCs/>
          <w:lang w:val="nl-NL"/>
        </w:rPr>
        <w:t>MAB</w:t>
      </w:r>
      <w:r w:rsidRPr="00021A88">
        <w:rPr>
          <w:lang w:val="nl-NL"/>
        </w:rPr>
        <w:t xml:space="preserve"> — de </w:t>
      </w:r>
      <w:r w:rsidRPr="00021A88">
        <w:rPr>
          <w:b/>
          <w:bCs/>
          <w:lang w:val="nl-NL"/>
        </w:rPr>
        <w:t>Hungarian Accreditation Committee</w:t>
      </w:r>
      <w:r w:rsidRPr="00021A88">
        <w:rPr>
          <w:lang w:val="nl-NL"/>
        </w:rPr>
        <w:t xml:space="preserve"> — een nationale kwaliteitsinstantie naast de universiteiten. MAB beschrijft zichzelf als een nationaal expertorgaan dat de kwaliteit van hoger onderwijs, onderwijsactiviteiten, </w:t>
      </w:r>
      <w:r w:rsidRPr="00021A88">
        <w:rPr>
          <w:b/>
          <w:bCs/>
          <w:lang w:val="nl-NL"/>
        </w:rPr>
        <w:t>wetenschappelijk onderzoek</w:t>
      </w:r>
      <w:r w:rsidRPr="00021A88">
        <w:rPr>
          <w:lang w:val="nl-NL"/>
        </w:rPr>
        <w:t xml:space="preserve"> en artistieke activiteiten bewaakt, evalueert en accrediteert. MAB lijkt dus geen nationale misconduct-tribune te zijn, maar wel een belangrijke </w:t>
      </w:r>
      <w:r w:rsidRPr="00021A88">
        <w:rPr>
          <w:b/>
          <w:bCs/>
          <w:lang w:val="nl-NL"/>
        </w:rPr>
        <w:t>meta-governance actor</w:t>
      </w:r>
      <w:r w:rsidRPr="00021A88">
        <w:rPr>
          <w:lang w:val="nl-NL"/>
        </w:rPr>
        <w:t>: niet de afhandeling van individuele integriteitszaken, maar de beoordeling van systemen, kwaliteit en institutionele randvoorwaarden. In een Europese vergelijking hoort deze laag er echt bij. (</w:t>
      </w:r>
      <w:hyperlink r:id="rId14" w:tooltip="https://www.mab.hu/en/about-mab/" w:history="1">
        <w:r w:rsidRPr="00021A88">
          <w:rPr>
            <w:rStyle w:val="Hyperlink"/>
            <w:lang w:val="nl-NL"/>
          </w:rPr>
          <w:t>MAB</w:t>
        </w:r>
      </w:hyperlink>
      <w:r w:rsidRPr="00021A88">
        <w:rPr>
          <w:lang w:val="nl-NL"/>
        </w:rPr>
        <w:t>)</w:t>
      </w:r>
    </w:p>
    <w:p w14:paraId="4666D297" w14:textId="77777777" w:rsidR="00021A88" w:rsidRPr="00021A88" w:rsidRDefault="00021A88" w:rsidP="00021A88">
      <w:pPr>
        <w:rPr>
          <w:b/>
          <w:bCs/>
          <w:lang w:val="nl-NL"/>
        </w:rPr>
      </w:pPr>
      <w:r w:rsidRPr="00021A88">
        <w:rPr>
          <w:b/>
          <w:bCs/>
          <w:lang w:val="nl-NL"/>
        </w:rPr>
        <w:t>5. De institutionele laag: universiteiten en lokale ethiekstructuren</w:t>
      </w:r>
    </w:p>
    <w:p w14:paraId="71A9B315" w14:textId="77777777" w:rsidR="00021A88" w:rsidRPr="00021A88" w:rsidRDefault="00021A88" w:rsidP="00021A88">
      <w:pPr>
        <w:rPr>
          <w:lang w:val="nl-NL"/>
        </w:rPr>
      </w:pPr>
      <w:r w:rsidRPr="00021A88">
        <w:rPr>
          <w:lang w:val="nl-NL"/>
        </w:rPr>
        <w:lastRenderedPageBreak/>
        <w:t xml:space="preserve">Op instellingsniveau zie ik in Hongarije geen één uniform model. Wat terugkomt, is een combinatie van </w:t>
      </w:r>
      <w:r w:rsidRPr="00021A88">
        <w:rPr>
          <w:b/>
          <w:bCs/>
          <w:lang w:val="nl-NL"/>
        </w:rPr>
        <w:t>codes of ethics</w:t>
      </w:r>
      <w:r w:rsidRPr="00021A88">
        <w:rPr>
          <w:lang w:val="nl-NL"/>
        </w:rPr>
        <w:t xml:space="preserve">, </w:t>
      </w:r>
      <w:r w:rsidRPr="00021A88">
        <w:rPr>
          <w:b/>
          <w:bCs/>
          <w:lang w:val="nl-NL"/>
        </w:rPr>
        <w:t>research ethics committees</w:t>
      </w:r>
      <w:r w:rsidRPr="00021A88">
        <w:rPr>
          <w:lang w:val="nl-NL"/>
        </w:rPr>
        <w:t xml:space="preserve">, facultaire of universiteitsbrede </w:t>
      </w:r>
      <w:r w:rsidRPr="00021A88">
        <w:rPr>
          <w:b/>
          <w:bCs/>
          <w:lang w:val="nl-NL"/>
        </w:rPr>
        <w:t>ethics committees</w:t>
      </w:r>
      <w:r w:rsidRPr="00021A88">
        <w:rPr>
          <w:lang w:val="nl-NL"/>
        </w:rPr>
        <w:t xml:space="preserve">, doctorale kwaliteitsdocumenten en, in sommige gevallen, aparte regelingen voor plagiaat of AI-gebruik. </w:t>
      </w:r>
      <w:r w:rsidRPr="00021A88">
        <w:rPr>
          <w:b/>
          <w:bCs/>
          <w:lang w:val="nl-NL"/>
        </w:rPr>
        <w:t>Corvinus University of Budapest</w:t>
      </w:r>
      <w:r w:rsidRPr="00021A88">
        <w:rPr>
          <w:lang w:val="nl-NL"/>
        </w:rPr>
        <w:t xml:space="preserve"> is hier een nuttig voorbeeld: de huidige </w:t>
      </w:r>
      <w:r w:rsidRPr="00021A88">
        <w:rPr>
          <w:b/>
          <w:bCs/>
          <w:lang w:val="nl-NL"/>
        </w:rPr>
        <w:t>Code of Ethics</w:t>
      </w:r>
      <w:r w:rsidRPr="00021A88">
        <w:rPr>
          <w:lang w:val="nl-NL"/>
        </w:rPr>
        <w:t xml:space="preserve"> zegt expliciet dat zij de bescherming van </w:t>
      </w:r>
      <w:r w:rsidRPr="00021A88">
        <w:rPr>
          <w:b/>
          <w:bCs/>
          <w:lang w:val="nl-NL"/>
        </w:rPr>
        <w:t>academic integrity</w:t>
      </w:r>
      <w:r w:rsidRPr="00021A88">
        <w:rPr>
          <w:lang w:val="nl-NL"/>
        </w:rPr>
        <w:t xml:space="preserve"> en de vrijheid van onderwijs en onderzoek dient, en beschrijft ethische zelfregulering via eerste- en tweedelijns </w:t>
      </w:r>
      <w:r w:rsidRPr="00021A88">
        <w:rPr>
          <w:b/>
          <w:bCs/>
          <w:lang w:val="nl-NL"/>
        </w:rPr>
        <w:t>Ethics Committees</w:t>
      </w:r>
      <w:r w:rsidRPr="00021A88">
        <w:rPr>
          <w:lang w:val="nl-NL"/>
        </w:rPr>
        <w:t xml:space="preserve">. De kwaliteitsmanual van Corvinus voegt daar een aparte </w:t>
      </w:r>
      <w:r w:rsidRPr="00021A88">
        <w:rPr>
          <w:b/>
          <w:bCs/>
          <w:lang w:val="nl-NL"/>
        </w:rPr>
        <w:t>Research Ethics Committee</w:t>
      </w:r>
      <w:r w:rsidRPr="00021A88">
        <w:rPr>
          <w:lang w:val="nl-NL"/>
        </w:rPr>
        <w:t xml:space="preserve"> aan toe, met documentatieplicht, transparantie en openbare beslissingen. Dat laat zien dat universiteiten in Hongarije hun eigen integriteits- en ethiekinfrastructuur opbouwen, bovenop de nationale lagen. (</w:t>
      </w:r>
      <w:hyperlink r:id="rId15" w:tooltip="https://net.jogtar.hu/bce-jogszabaly?dbnum=589&amp;docid=A11R0032.BCE&amp;getdoc=1&amp;searchUrl=%2Fbce-en%3Fkeyword%3Dethics" w:history="1">
        <w:r w:rsidRPr="00021A88">
          <w:rPr>
            <w:rStyle w:val="Hyperlink"/>
            <w:lang w:val="nl-NL"/>
          </w:rPr>
          <w:t>Jogtar</w:t>
        </w:r>
      </w:hyperlink>
      <w:r w:rsidRPr="00021A88">
        <w:rPr>
          <w:lang w:val="nl-NL"/>
        </w:rPr>
        <w:t>)</w:t>
      </w:r>
    </w:p>
    <w:p w14:paraId="164830BB" w14:textId="77777777" w:rsidR="00021A88" w:rsidRPr="00021A88" w:rsidRDefault="00021A88" w:rsidP="00021A88">
      <w:pPr>
        <w:rPr>
          <w:lang w:val="nl-NL"/>
        </w:rPr>
      </w:pPr>
      <w:r w:rsidRPr="00021A88">
        <w:rPr>
          <w:lang w:val="nl-NL"/>
        </w:rPr>
        <w:t xml:space="preserve">Bij </w:t>
      </w:r>
      <w:r w:rsidRPr="00021A88">
        <w:rPr>
          <w:b/>
          <w:bCs/>
          <w:lang w:val="nl-NL"/>
        </w:rPr>
        <w:t>ELTE</w:t>
      </w:r>
      <w:r w:rsidRPr="00021A88">
        <w:rPr>
          <w:lang w:val="nl-NL"/>
        </w:rPr>
        <w:t xml:space="preserve"> zie je nog duidelijker dat “ethiek” en “research integrity” in Hongarije vaak institutioneel worden uitgesplitst. De </w:t>
      </w:r>
      <w:r w:rsidRPr="00021A88">
        <w:rPr>
          <w:b/>
          <w:bCs/>
          <w:lang w:val="nl-NL"/>
        </w:rPr>
        <w:t>Faculty of Education and Psychology</w:t>
      </w:r>
      <w:r w:rsidRPr="00021A88">
        <w:rPr>
          <w:lang w:val="nl-NL"/>
        </w:rPr>
        <w:t xml:space="preserve"> heeft een </w:t>
      </w:r>
      <w:r w:rsidRPr="00021A88">
        <w:rPr>
          <w:b/>
          <w:bCs/>
          <w:lang w:val="nl-NL"/>
        </w:rPr>
        <w:t>Research Ethics Committee</w:t>
      </w:r>
      <w:r w:rsidRPr="00021A88">
        <w:rPr>
          <w:lang w:val="nl-NL"/>
        </w:rPr>
        <w:t xml:space="preserve"> die goedkeuring verleent voor niet-medisch onderzoek met menselijke deelnemers; wanneer het onderzoek medische aspecten heeft, wordt verwezen naar de medische ethiekroute via </w:t>
      </w:r>
      <w:r w:rsidRPr="00021A88">
        <w:rPr>
          <w:b/>
          <w:bCs/>
          <w:lang w:val="nl-NL"/>
        </w:rPr>
        <w:t>Semmelweis University</w:t>
      </w:r>
      <w:r w:rsidRPr="00021A88">
        <w:rPr>
          <w:lang w:val="nl-NL"/>
        </w:rPr>
        <w:t xml:space="preserve">. Een andere ELTE-faculteit, </w:t>
      </w:r>
      <w:r w:rsidRPr="00021A88">
        <w:rPr>
          <w:b/>
          <w:bCs/>
          <w:lang w:val="nl-NL"/>
        </w:rPr>
        <w:t>Bárczi</w:t>
      </w:r>
      <w:r w:rsidRPr="00021A88">
        <w:rPr>
          <w:lang w:val="nl-NL"/>
        </w:rPr>
        <w:t xml:space="preserve">, heeft een </w:t>
      </w:r>
      <w:r w:rsidRPr="00021A88">
        <w:rPr>
          <w:b/>
          <w:bCs/>
          <w:lang w:val="nl-NL"/>
        </w:rPr>
        <w:t>Scientific and Research Ethics Committee</w:t>
      </w:r>
      <w:r w:rsidRPr="00021A88">
        <w:rPr>
          <w:lang w:val="nl-NL"/>
        </w:rPr>
        <w:t xml:space="preserve"> met een veel bredere taak: niet alleen research ethics approvals, maar ook strategische, administratieve en wetenschappelijke coördinatie. Dat is voor jouw project heel relevant, omdat het laat zien dat de naam “ethics committee” in Hongarije </w:t>
      </w:r>
      <w:r w:rsidRPr="00021A88">
        <w:rPr>
          <w:b/>
          <w:bCs/>
          <w:lang w:val="nl-NL"/>
        </w:rPr>
        <w:t>niet automatisch één functie</w:t>
      </w:r>
      <w:r w:rsidRPr="00021A88">
        <w:rPr>
          <w:lang w:val="nl-NL"/>
        </w:rPr>
        <w:t xml:space="preserve"> betekent. (</w:t>
      </w:r>
      <w:hyperlink r:id="rId16" w:tooltip="https://www.ppk.elte.hu/en/research-ethics-committee" w:history="1">
        <w:r w:rsidRPr="00021A88">
          <w:rPr>
            <w:rStyle w:val="Hyperlink"/>
            <w:lang w:val="nl-NL"/>
          </w:rPr>
          <w:t>ELTE Pedagógiai és Pszichológiai Kar</w:t>
        </w:r>
      </w:hyperlink>
      <w:r w:rsidRPr="00021A88">
        <w:rPr>
          <w:lang w:val="nl-NL"/>
        </w:rPr>
        <w:t>)</w:t>
      </w:r>
    </w:p>
    <w:p w14:paraId="6A823266" w14:textId="77777777" w:rsidR="00021A88" w:rsidRPr="00021A88" w:rsidRDefault="00021A88" w:rsidP="00021A88">
      <w:pPr>
        <w:rPr>
          <w:lang w:val="nl-NL"/>
        </w:rPr>
      </w:pPr>
      <w:r w:rsidRPr="00021A88">
        <w:rPr>
          <w:b/>
          <w:bCs/>
          <w:lang w:val="nl-NL"/>
        </w:rPr>
        <w:t>Semmelweis University</w:t>
      </w:r>
      <w:r w:rsidRPr="00021A88">
        <w:rPr>
          <w:lang w:val="nl-NL"/>
        </w:rPr>
        <w:t xml:space="preserve"> laat vervolgens zien hoe dicht lokale governance en sectorale medische ethiek bij elkaar kunnen liggen. De universiteit heeft een </w:t>
      </w:r>
      <w:r w:rsidRPr="00021A88">
        <w:rPr>
          <w:b/>
          <w:bCs/>
          <w:lang w:val="nl-NL"/>
        </w:rPr>
        <w:t>University Ethics Committee</w:t>
      </w:r>
      <w:r w:rsidRPr="00021A88">
        <w:rPr>
          <w:lang w:val="nl-NL"/>
        </w:rPr>
        <w:t xml:space="preserve"> voor ethische kwesties binnen de universiteit, maar haar lijst van standing committees bevat daarnaast ook een </w:t>
      </w:r>
      <w:r w:rsidRPr="00021A88">
        <w:rPr>
          <w:b/>
          <w:bCs/>
          <w:lang w:val="nl-NL"/>
        </w:rPr>
        <w:t>External Research Assessment Committee</w:t>
      </w:r>
      <w:r w:rsidRPr="00021A88">
        <w:rPr>
          <w:lang w:val="nl-NL"/>
        </w:rPr>
        <w:t xml:space="preserve">, een </w:t>
      </w:r>
      <w:r w:rsidRPr="00021A88">
        <w:rPr>
          <w:b/>
          <w:bCs/>
          <w:lang w:val="nl-NL"/>
        </w:rPr>
        <w:t>Quality Improvement and Assessment Committee</w:t>
      </w:r>
      <w:r w:rsidRPr="00021A88">
        <w:rPr>
          <w:lang w:val="nl-NL"/>
        </w:rPr>
        <w:t xml:space="preserve">, een </w:t>
      </w:r>
      <w:r w:rsidRPr="00021A88">
        <w:rPr>
          <w:b/>
          <w:bCs/>
          <w:lang w:val="nl-NL"/>
        </w:rPr>
        <w:t>Scientific Council</w:t>
      </w:r>
      <w:r w:rsidRPr="00021A88">
        <w:rPr>
          <w:lang w:val="nl-NL"/>
        </w:rPr>
        <w:t xml:space="preserve"> en een </w:t>
      </w:r>
      <w:r w:rsidRPr="00021A88">
        <w:rPr>
          <w:b/>
          <w:bCs/>
          <w:lang w:val="nl-NL"/>
        </w:rPr>
        <w:t>University Animal Welfare Committee</w:t>
      </w:r>
      <w:r w:rsidRPr="00021A88">
        <w:rPr>
          <w:lang w:val="nl-NL"/>
        </w:rPr>
        <w:t xml:space="preserve">. Nog belangrijker is dat de </w:t>
      </w:r>
      <w:r w:rsidRPr="00021A88">
        <w:rPr>
          <w:b/>
          <w:bCs/>
          <w:lang w:val="nl-NL"/>
        </w:rPr>
        <w:t>Regional, Institutional Scientific and Research Ethics Committee (RKEB/IKEB)</w:t>
      </w:r>
      <w:r w:rsidRPr="00021A88">
        <w:rPr>
          <w:lang w:val="nl-NL"/>
        </w:rPr>
        <w:t xml:space="preserve"> van Semmelweis niet alleen voor de universiteit zelf werkt, maar ook regionale taken heeft voor bepaalde instellingen in Pest County en de hoofdstad. Dat is één van de duidelijkste voorbeelden van een </w:t>
      </w:r>
      <w:r w:rsidRPr="00021A88">
        <w:rPr>
          <w:b/>
          <w:bCs/>
          <w:lang w:val="nl-NL"/>
        </w:rPr>
        <w:t>echte regionale laag</w:t>
      </w:r>
      <w:r w:rsidRPr="00021A88">
        <w:rPr>
          <w:lang w:val="nl-NL"/>
        </w:rPr>
        <w:t xml:space="preserve"> in het Hongaarse landschap — al zit die vooral in de medische onderzoeksethiek, niet in de algemene misconduct-route. (</w:t>
      </w:r>
      <w:hyperlink r:id="rId17" w:tooltip="https://semmelweis.hu/bizottsagok/en/constant-committees/committees-with-university-competence/university-ethics-committee/" w:history="1">
        <w:r w:rsidRPr="00021A88">
          <w:rPr>
            <w:rStyle w:val="Hyperlink"/>
            <w:lang w:val="nl-NL"/>
          </w:rPr>
          <w:t>Semmelweis Egyetem</w:t>
        </w:r>
      </w:hyperlink>
      <w:r w:rsidRPr="00021A88">
        <w:rPr>
          <w:lang w:val="nl-NL"/>
        </w:rPr>
        <w:t>)</w:t>
      </w:r>
    </w:p>
    <w:p w14:paraId="1FD4634D" w14:textId="77777777" w:rsidR="00021A88" w:rsidRPr="00021A88" w:rsidRDefault="00021A88" w:rsidP="00021A88">
      <w:pPr>
        <w:rPr>
          <w:b/>
          <w:bCs/>
          <w:lang w:val="nl-NL"/>
        </w:rPr>
      </w:pPr>
      <w:r w:rsidRPr="00021A88">
        <w:rPr>
          <w:b/>
          <w:bCs/>
          <w:lang w:val="nl-NL"/>
        </w:rPr>
        <w:t>6. De medische onderzoeksethiek: sterk geformaliseerd en nationaal zichtbaar</w:t>
      </w:r>
    </w:p>
    <w:p w14:paraId="31F23832" w14:textId="77777777" w:rsidR="00021A88" w:rsidRPr="00021A88" w:rsidRDefault="00021A88" w:rsidP="00021A88">
      <w:pPr>
        <w:rPr>
          <w:lang w:val="nl-NL"/>
        </w:rPr>
      </w:pPr>
      <w:r w:rsidRPr="00021A88">
        <w:rPr>
          <w:lang w:val="nl-NL"/>
        </w:rPr>
        <w:t xml:space="preserve">De meest uitgewerkte sectorale integriteits- en ethieklaag in Hongarije is duidelijk de </w:t>
      </w:r>
      <w:r w:rsidRPr="00021A88">
        <w:rPr>
          <w:b/>
          <w:bCs/>
          <w:lang w:val="nl-NL"/>
        </w:rPr>
        <w:t>biomedische en klinische onderzoeksethiek</w:t>
      </w:r>
      <w:r w:rsidRPr="00021A88">
        <w:rPr>
          <w:lang w:val="nl-NL"/>
        </w:rPr>
        <w:t xml:space="preserve">. De officiële </w:t>
      </w:r>
      <w:r w:rsidRPr="00021A88">
        <w:rPr>
          <w:b/>
          <w:bCs/>
          <w:lang w:val="nl-NL"/>
        </w:rPr>
        <w:t>Code of Bioethics</w:t>
      </w:r>
      <w:r w:rsidRPr="00021A88">
        <w:rPr>
          <w:lang w:val="nl-NL"/>
        </w:rPr>
        <w:t xml:space="preserve"> van de </w:t>
      </w:r>
      <w:r w:rsidRPr="00021A88">
        <w:rPr>
          <w:b/>
          <w:bCs/>
          <w:lang w:val="nl-NL"/>
        </w:rPr>
        <w:t>Medical Research Council (ETT)</w:t>
      </w:r>
      <w:r w:rsidRPr="00021A88">
        <w:rPr>
          <w:lang w:val="nl-NL"/>
        </w:rPr>
        <w:t xml:space="preserve"> zegt expliciet dat zij voortbouwt op de MTA Science Ethics Code en de ethische aspecten systematiseert die niet volledig door wetgeving kunnen worden gevat. De code beschrijft bovendien een formeel systeem waarin de </w:t>
      </w:r>
      <w:r w:rsidRPr="00021A88">
        <w:rPr>
          <w:lang w:val="nl-NL"/>
        </w:rPr>
        <w:lastRenderedPageBreak/>
        <w:t xml:space="preserve">nationale autoriteit voor research ethics door ETT-commissies wordt uitgeoefend. De ETT-site noemt drie zulke commissies met nationale bevoegdheid: de </w:t>
      </w:r>
      <w:r w:rsidRPr="00021A88">
        <w:rPr>
          <w:b/>
          <w:bCs/>
          <w:lang w:val="nl-NL"/>
        </w:rPr>
        <w:t>Ethics Committee for Clinical Pharmacology (KFEB)</w:t>
      </w:r>
      <w:r w:rsidRPr="00021A88">
        <w:rPr>
          <w:lang w:val="nl-NL"/>
        </w:rPr>
        <w:t xml:space="preserve">, de </w:t>
      </w:r>
      <w:r w:rsidRPr="00021A88">
        <w:rPr>
          <w:b/>
          <w:bCs/>
          <w:lang w:val="nl-NL"/>
        </w:rPr>
        <w:t>Committee of Human Reproduction</w:t>
      </w:r>
      <w:r w:rsidRPr="00021A88">
        <w:rPr>
          <w:lang w:val="nl-NL"/>
        </w:rPr>
        <w:t xml:space="preserve">, en de </w:t>
      </w:r>
      <w:r w:rsidRPr="00021A88">
        <w:rPr>
          <w:b/>
          <w:bCs/>
          <w:lang w:val="nl-NL"/>
        </w:rPr>
        <w:t>Scientific and Research Committee (TUKEB/CEC)</w:t>
      </w:r>
      <w:r w:rsidRPr="00021A88">
        <w:rPr>
          <w:lang w:val="nl-NL"/>
        </w:rPr>
        <w:t xml:space="preserve">. Voor Hongarije betekent dit dat de medische ethiek niet als losse universiteitspraktijk opereert, maar als een </w:t>
      </w:r>
      <w:r w:rsidRPr="00021A88">
        <w:rPr>
          <w:b/>
          <w:bCs/>
          <w:lang w:val="nl-NL"/>
        </w:rPr>
        <w:t>nationaal georganiseerd comitéstelsel</w:t>
      </w:r>
      <w:r w:rsidRPr="00021A88">
        <w:rPr>
          <w:lang w:val="nl-NL"/>
        </w:rPr>
        <w:t>. (</w:t>
      </w:r>
      <w:hyperlink r:id="rId18" w:tooltip="https://ett.okfo.gov.hu/en/codex-of-bioethics/" w:history="1">
        <w:r w:rsidRPr="00021A88">
          <w:rPr>
            <w:rStyle w:val="Hyperlink"/>
            <w:lang w:val="nl-NL"/>
          </w:rPr>
          <w:t>Medical Research Council</w:t>
        </w:r>
      </w:hyperlink>
      <w:r w:rsidRPr="00021A88">
        <w:rPr>
          <w:lang w:val="nl-NL"/>
        </w:rPr>
        <w:t>)</w:t>
      </w:r>
    </w:p>
    <w:p w14:paraId="3462AAFC" w14:textId="77777777" w:rsidR="00021A88" w:rsidRPr="00021A88" w:rsidRDefault="00021A88" w:rsidP="00021A88">
      <w:pPr>
        <w:rPr>
          <w:lang w:val="nl-NL"/>
        </w:rPr>
      </w:pPr>
      <w:r w:rsidRPr="00021A88">
        <w:rPr>
          <w:lang w:val="nl-NL"/>
        </w:rPr>
        <w:t xml:space="preserve">Deze laag is ook institutioneel goed zichtbaar. De </w:t>
      </w:r>
      <w:r w:rsidRPr="00021A88">
        <w:rPr>
          <w:b/>
          <w:bCs/>
          <w:lang w:val="nl-NL"/>
        </w:rPr>
        <w:t>Medical Research Council Secretariat</w:t>
      </w:r>
      <w:r w:rsidRPr="00021A88">
        <w:rPr>
          <w:lang w:val="nl-NL"/>
        </w:rPr>
        <w:t xml:space="preserve"> functioneert vanuit een ministerie-omgeving, en de officiële ETT-pagina laat zien dat er een </w:t>
      </w:r>
      <w:r w:rsidRPr="00021A88">
        <w:rPr>
          <w:b/>
          <w:bCs/>
          <w:lang w:val="nl-NL"/>
        </w:rPr>
        <w:t>Body of Presidents of Regional Research Ethics Committees (REKEBET)</w:t>
      </w:r>
      <w:r w:rsidRPr="00021A88">
        <w:rPr>
          <w:lang w:val="nl-NL"/>
        </w:rPr>
        <w:t xml:space="preserve"> bestaat, bestaande uit de voorzitters van de regionale commissies. Daarmee heeft Hongarije in de medische onderzoeksethiek iets wat je in Nederland of Denemarken veel minder scherp ziet: een formeel benoemde </w:t>
      </w:r>
      <w:r w:rsidRPr="00021A88">
        <w:rPr>
          <w:b/>
          <w:bCs/>
          <w:lang w:val="nl-NL"/>
        </w:rPr>
        <w:t>regionale presidentslaag</w:t>
      </w:r>
      <w:r w:rsidRPr="00021A88">
        <w:rPr>
          <w:lang w:val="nl-NL"/>
        </w:rPr>
        <w:t xml:space="preserve"> binnen het nationale stelsel. (</w:t>
      </w:r>
      <w:hyperlink r:id="rId19" w:tooltip="https://ett.okfo.gov.hu/en/secretariat/" w:history="1">
        <w:r w:rsidRPr="00021A88">
          <w:rPr>
            <w:rStyle w:val="Hyperlink"/>
            <w:lang w:val="nl-NL"/>
          </w:rPr>
          <w:t>Medical Research Council</w:t>
        </w:r>
      </w:hyperlink>
      <w:r w:rsidRPr="00021A88">
        <w:rPr>
          <w:lang w:val="nl-NL"/>
        </w:rPr>
        <w:t>)</w:t>
      </w:r>
    </w:p>
    <w:p w14:paraId="484650B3" w14:textId="77777777" w:rsidR="00021A88" w:rsidRPr="00021A88" w:rsidRDefault="00021A88" w:rsidP="00021A88">
      <w:pPr>
        <w:rPr>
          <w:lang w:val="nl-NL"/>
        </w:rPr>
      </w:pPr>
      <w:r w:rsidRPr="00021A88">
        <w:rPr>
          <w:lang w:val="nl-NL"/>
        </w:rPr>
        <w:t xml:space="preserve">De procedurele verweving met de bevoegde autoriteit is ook goed gedocumenteerd. Autoriteitspagina’s van </w:t>
      </w:r>
      <w:r w:rsidRPr="00021A88">
        <w:rPr>
          <w:b/>
          <w:bCs/>
          <w:lang w:val="nl-NL"/>
        </w:rPr>
        <w:t>OGYÉI/NNGYK</w:t>
      </w:r>
      <w:r w:rsidRPr="00021A88">
        <w:rPr>
          <w:lang w:val="nl-NL"/>
        </w:rPr>
        <w:t xml:space="preserve"> laten zien dat niet-interventionele onderzoeken en klinische onderzoeken van medische hulpmiddelen niet puur een ethische of puur een bestuursrechtelijke procedure zijn. De autoriteit beoordeelt de aanvraag en vraagt tegelijk of parallel een oordeel van een relevante </w:t>
      </w:r>
      <w:r w:rsidRPr="00021A88">
        <w:rPr>
          <w:b/>
          <w:bCs/>
          <w:lang w:val="nl-NL"/>
        </w:rPr>
        <w:t>research ethics committee</w:t>
      </w:r>
      <w:r w:rsidRPr="00021A88">
        <w:rPr>
          <w:lang w:val="nl-NL"/>
        </w:rPr>
        <w:t xml:space="preserve"> zoals </w:t>
      </w:r>
      <w:r w:rsidRPr="00021A88">
        <w:rPr>
          <w:b/>
          <w:bCs/>
          <w:lang w:val="nl-NL"/>
        </w:rPr>
        <w:t>TUKEB</w:t>
      </w:r>
      <w:r w:rsidRPr="00021A88">
        <w:rPr>
          <w:lang w:val="nl-NL"/>
        </w:rPr>
        <w:t xml:space="preserve">; pas bij een gunstige combinatie van autoriteitsbeoordeling en ethisch oordeel kan de procedure verder. Dat is precies het soort bron dat bewijst hoe het systeem </w:t>
      </w:r>
      <w:r w:rsidRPr="00021A88">
        <w:rPr>
          <w:b/>
          <w:bCs/>
          <w:lang w:val="nl-NL"/>
        </w:rPr>
        <w:t>feitelijk functioneert</w:t>
      </w:r>
      <w:r w:rsidRPr="00021A88">
        <w:rPr>
          <w:lang w:val="nl-NL"/>
        </w:rPr>
        <w:t>. (</w:t>
      </w:r>
      <w:hyperlink r:id="rId20" w:tooltip="https://ogyei.gov.hu/authorisation_of_non_interventional_studies" w:history="1">
        <w:r w:rsidRPr="00021A88">
          <w:rPr>
            <w:rStyle w:val="Hyperlink"/>
            <w:lang w:val="nl-NL"/>
          </w:rPr>
          <w:t>NIPN</w:t>
        </w:r>
      </w:hyperlink>
      <w:r w:rsidRPr="00021A88">
        <w:rPr>
          <w:lang w:val="nl-NL"/>
        </w:rPr>
        <w:t>)</w:t>
      </w:r>
    </w:p>
    <w:p w14:paraId="4C92C3FC" w14:textId="77777777" w:rsidR="00021A88" w:rsidRPr="00021A88" w:rsidRDefault="00021A88" w:rsidP="00021A88">
      <w:pPr>
        <w:rPr>
          <w:b/>
          <w:bCs/>
          <w:lang w:val="nl-NL"/>
        </w:rPr>
      </w:pPr>
      <w:r w:rsidRPr="00021A88">
        <w:rPr>
          <w:b/>
          <w:bCs/>
          <w:lang w:val="nl-NL"/>
        </w:rPr>
        <w:t>7. Dierproeven en andere grensregimes</w:t>
      </w:r>
    </w:p>
    <w:p w14:paraId="35757609" w14:textId="77777777" w:rsidR="00021A88" w:rsidRPr="00021A88" w:rsidRDefault="00021A88" w:rsidP="00021A88">
      <w:pPr>
        <w:rPr>
          <w:lang w:val="nl-NL"/>
        </w:rPr>
      </w:pPr>
      <w:r w:rsidRPr="00021A88">
        <w:rPr>
          <w:lang w:val="nl-NL"/>
        </w:rPr>
        <w:t xml:space="preserve">Net als in Denemarken is ook in Hongarije de dierexperimentele sfeer een apart, goed geformaliseerd grensregime. De officiële </w:t>
      </w:r>
      <w:r w:rsidRPr="00021A88">
        <w:rPr>
          <w:b/>
          <w:bCs/>
          <w:lang w:val="nl-NL"/>
        </w:rPr>
        <w:t>NÉBIH</w:t>
      </w:r>
      <w:r w:rsidRPr="00021A88">
        <w:rPr>
          <w:lang w:val="nl-NL"/>
        </w:rPr>
        <w:t xml:space="preserve">-pagina over animal experiments bundelt het relevante regeringsbesluit, rapporten over de werking van de </w:t>
      </w:r>
      <w:r w:rsidRPr="00021A88">
        <w:rPr>
          <w:b/>
          <w:bCs/>
          <w:lang w:val="nl-NL"/>
        </w:rPr>
        <w:t>Animal Experimentation Scientific Ethics Council</w:t>
      </w:r>
      <w:r w:rsidRPr="00021A88">
        <w:rPr>
          <w:lang w:val="nl-NL"/>
        </w:rPr>
        <w:t xml:space="preserve">, statistische gegevens en de samenvattingen van projectaanvragen. Daarmee is dit voor jouw corpus geen randbron maar een volwaardige aparte map: het toont niet alleen normen, maar ook </w:t>
      </w:r>
      <w:r w:rsidRPr="00021A88">
        <w:rPr>
          <w:b/>
          <w:bCs/>
          <w:lang w:val="nl-NL"/>
        </w:rPr>
        <w:t>verslaglegging, statistiek en openbaar gemaakte projectsamenvattingen</w:t>
      </w:r>
      <w:r w:rsidRPr="00021A88">
        <w:rPr>
          <w:lang w:val="nl-NL"/>
        </w:rPr>
        <w:t>. (</w:t>
      </w:r>
      <w:hyperlink r:id="rId21" w:tooltip="https://portal.nebih.gov.hu/-/allatkiserleti-statisztikai-adatok" w:history="1">
        <w:r w:rsidRPr="00021A88">
          <w:rPr>
            <w:rStyle w:val="Hyperlink"/>
            <w:lang w:val="nl-NL"/>
          </w:rPr>
          <w:t>Nébih Portal</w:t>
        </w:r>
      </w:hyperlink>
      <w:r w:rsidRPr="00021A88">
        <w:rPr>
          <w:lang w:val="nl-NL"/>
        </w:rPr>
        <w:t>)</w:t>
      </w:r>
    </w:p>
    <w:p w14:paraId="763E08CA" w14:textId="77777777" w:rsidR="00021A88" w:rsidRPr="00021A88" w:rsidRDefault="00021A88" w:rsidP="00021A88">
      <w:pPr>
        <w:rPr>
          <w:lang w:val="nl-NL"/>
        </w:rPr>
      </w:pPr>
      <w:r w:rsidRPr="00021A88">
        <w:rPr>
          <w:lang w:val="nl-NL"/>
        </w:rPr>
        <w:t xml:space="preserve">Op lokaal niveau zie je daarnaast weer institutionele vertalingen. Semmelweis heeft een </w:t>
      </w:r>
      <w:r w:rsidRPr="00021A88">
        <w:rPr>
          <w:b/>
          <w:bCs/>
          <w:lang w:val="nl-NL"/>
        </w:rPr>
        <w:t>University Animal Welfare Committee</w:t>
      </w:r>
      <w:r w:rsidRPr="00021A88">
        <w:rPr>
          <w:lang w:val="nl-NL"/>
        </w:rPr>
        <w:t xml:space="preserve">, en in NÉBIH-materialen rond vergunningsaanvragen verschijnt ook de </w:t>
      </w:r>
      <w:r w:rsidRPr="00021A88">
        <w:rPr>
          <w:b/>
          <w:bCs/>
          <w:lang w:val="nl-NL"/>
        </w:rPr>
        <w:t>institutional Animal Welfare Body</w:t>
      </w:r>
      <w:r w:rsidRPr="00021A88">
        <w:rPr>
          <w:lang w:val="nl-NL"/>
        </w:rPr>
        <w:t xml:space="preserve"> als actor in het proces. Dat betekent dat het Hongaarse dierexperimentele landschap, net als de medische ethiek, een combinatie is van </w:t>
      </w:r>
      <w:r w:rsidRPr="00021A88">
        <w:rPr>
          <w:b/>
          <w:bCs/>
          <w:lang w:val="nl-NL"/>
        </w:rPr>
        <w:t>centrale staatslaag + institutionele uitvoeringslaag</w:t>
      </w:r>
      <w:r w:rsidRPr="00021A88">
        <w:rPr>
          <w:lang w:val="nl-NL"/>
        </w:rPr>
        <w:t>. (</w:t>
      </w:r>
      <w:hyperlink r:id="rId22" w:tooltip="https://semmelweis.hu/english/about-semmelweis-university/senate/" w:history="1">
        <w:r w:rsidRPr="00021A88">
          <w:rPr>
            <w:rStyle w:val="Hyperlink"/>
            <w:lang w:val="nl-NL"/>
          </w:rPr>
          <w:t>Semmelweis Egyetem</w:t>
        </w:r>
      </w:hyperlink>
      <w:r w:rsidRPr="00021A88">
        <w:rPr>
          <w:lang w:val="nl-NL"/>
        </w:rPr>
        <w:t>)</w:t>
      </w:r>
    </w:p>
    <w:p w14:paraId="44E41F33" w14:textId="77777777" w:rsidR="00021A88" w:rsidRPr="00021A88" w:rsidRDefault="00021A88" w:rsidP="00021A88">
      <w:pPr>
        <w:rPr>
          <w:b/>
          <w:bCs/>
          <w:lang w:val="nl-NL"/>
        </w:rPr>
      </w:pPr>
      <w:r w:rsidRPr="00021A88">
        <w:rPr>
          <w:b/>
          <w:bCs/>
          <w:lang w:val="nl-NL"/>
        </w:rPr>
        <w:t>8. Wat ik nu als Hongaarse kerncorpus zou verzamelen</w:t>
      </w:r>
    </w:p>
    <w:p w14:paraId="7E8DBE11" w14:textId="77777777" w:rsidR="00021A88" w:rsidRPr="00021A88" w:rsidRDefault="00021A88" w:rsidP="00021A88">
      <w:pPr>
        <w:rPr>
          <w:lang w:val="nl-NL"/>
        </w:rPr>
      </w:pPr>
      <w:r w:rsidRPr="00021A88">
        <w:rPr>
          <w:lang w:val="nl-NL"/>
        </w:rPr>
        <w:lastRenderedPageBreak/>
        <w:t xml:space="preserve">Voor Hongarije zou ik nu zes hoofdmappen maken. </w:t>
      </w:r>
      <w:r w:rsidRPr="00021A88">
        <w:rPr>
          <w:b/>
          <w:bCs/>
          <w:lang w:val="nl-NL"/>
        </w:rPr>
        <w:t>Eén</w:t>
      </w:r>
      <w:r w:rsidRPr="00021A88">
        <w:rPr>
          <w:lang w:val="nl-NL"/>
        </w:rPr>
        <w:t xml:space="preserve">: de </w:t>
      </w:r>
      <w:r w:rsidRPr="00021A88">
        <w:rPr>
          <w:b/>
          <w:bCs/>
          <w:lang w:val="nl-NL"/>
        </w:rPr>
        <w:t>Academie-map</w:t>
      </w:r>
      <w:r w:rsidRPr="00021A88">
        <w:rPr>
          <w:lang w:val="nl-NL"/>
        </w:rPr>
        <w:t xml:space="preserve"> met de MTA Science Ethics Code, de TeB-pagina, de procedure- en beroepsregels en relevante statutaire teksten, omdat die samen de nationale normatieve kern en de bevoegdheidsverdeling tonen. (</w:t>
      </w:r>
      <w:hyperlink r:id="rId23" w:tooltip="https://mta.hu/data/dokumentumok/egyeb_dokumentumok/2025/Tudomanyetikai_Kodex_2024_angol_VEGLEGES.pdf" w:history="1">
        <w:r w:rsidRPr="00021A88">
          <w:rPr>
            <w:rStyle w:val="Hyperlink"/>
            <w:lang w:val="nl-NL"/>
          </w:rPr>
          <w:t>MTA</w:t>
        </w:r>
      </w:hyperlink>
      <w:r w:rsidRPr="00021A88">
        <w:rPr>
          <w:lang w:val="nl-NL"/>
        </w:rPr>
        <w:t>)</w:t>
      </w:r>
    </w:p>
    <w:p w14:paraId="1EC18A83" w14:textId="77777777" w:rsidR="00021A88" w:rsidRPr="00021A88" w:rsidRDefault="00021A88" w:rsidP="00021A88">
      <w:pPr>
        <w:rPr>
          <w:lang w:val="nl-NL"/>
        </w:rPr>
      </w:pPr>
      <w:r w:rsidRPr="00021A88">
        <w:rPr>
          <w:b/>
          <w:bCs/>
          <w:lang w:val="nl-NL"/>
        </w:rPr>
        <w:t>Twee</w:t>
      </w:r>
      <w:r w:rsidRPr="00021A88">
        <w:rPr>
          <w:lang w:val="nl-NL"/>
        </w:rPr>
        <w:t xml:space="preserve">: de </w:t>
      </w:r>
      <w:r w:rsidRPr="00021A88">
        <w:rPr>
          <w:b/>
          <w:bCs/>
          <w:lang w:val="nl-NL"/>
        </w:rPr>
        <w:t>HUN-REN-map</w:t>
      </w:r>
      <w:r w:rsidRPr="00021A88">
        <w:rPr>
          <w:lang w:val="nl-NL"/>
        </w:rPr>
        <w:t xml:space="preserve"> met de HUN-REN Act 2024, de Organisational and Operational Regulations 2026, de centrale conduct-code pagina en vervolgens per instituut de lokale ethiek- of integriteitsdocumenten. Deze map bewijst hoe een nationaal onderzoeksnetwerk integriteit en compliance intern organiseert. (</w:t>
      </w:r>
      <w:hyperlink r:id="rId24" w:tooltip="https://hun-ren.hu/data/hun-ren/hirek/2024/december/Hungarian_Research_Network_Law_ID_XCI._2024._0.pdf" w:history="1">
        <w:r w:rsidRPr="00021A88">
          <w:rPr>
            <w:rStyle w:val="Hyperlink"/>
            <w:lang w:val="nl-NL"/>
          </w:rPr>
          <w:t>hun-ren.hu</w:t>
        </w:r>
      </w:hyperlink>
      <w:r w:rsidRPr="00021A88">
        <w:rPr>
          <w:lang w:val="nl-NL"/>
        </w:rPr>
        <w:t>)</w:t>
      </w:r>
    </w:p>
    <w:p w14:paraId="01EB92A5" w14:textId="77777777" w:rsidR="00021A88" w:rsidRPr="00021A88" w:rsidRDefault="00021A88" w:rsidP="00021A88">
      <w:pPr>
        <w:rPr>
          <w:lang w:val="nl-NL"/>
        </w:rPr>
      </w:pPr>
      <w:r w:rsidRPr="00021A88">
        <w:rPr>
          <w:b/>
          <w:bCs/>
          <w:lang w:val="nl-NL"/>
        </w:rPr>
        <w:t>Drie</w:t>
      </w:r>
      <w:r w:rsidRPr="00021A88">
        <w:rPr>
          <w:lang w:val="nl-NL"/>
        </w:rPr>
        <w:t xml:space="preserve">: de </w:t>
      </w:r>
      <w:r w:rsidRPr="00021A88">
        <w:rPr>
          <w:b/>
          <w:bCs/>
          <w:lang w:val="nl-NL"/>
        </w:rPr>
        <w:t>NKFIH/funder-map</w:t>
      </w:r>
      <w:r w:rsidRPr="00021A88">
        <w:rPr>
          <w:lang w:val="nl-NL"/>
        </w:rPr>
        <w:t xml:space="preserve"> met “About the Office”, evaluation-system documenten, de Open Science Advisory Board, de Position Paper on Open Science en de Hongaarse publicatie van de European Code of Conduct. Die map laat zien hoe financiering, strategie en Europese normvertaling elkaar raken. (</w:t>
      </w:r>
      <w:hyperlink r:id="rId25" w:tooltip="https://nkfih.gov.hu/about-the-office" w:history="1">
        <w:r w:rsidRPr="00021A88">
          <w:rPr>
            <w:rStyle w:val="Hyperlink"/>
            <w:lang w:val="nl-NL"/>
          </w:rPr>
          <w:t>NKFIH</w:t>
        </w:r>
      </w:hyperlink>
      <w:r w:rsidRPr="00021A88">
        <w:rPr>
          <w:lang w:val="nl-NL"/>
        </w:rPr>
        <w:t>)</w:t>
      </w:r>
    </w:p>
    <w:p w14:paraId="45656941" w14:textId="77777777" w:rsidR="00021A88" w:rsidRPr="00021A88" w:rsidRDefault="00021A88" w:rsidP="00021A88">
      <w:pPr>
        <w:rPr>
          <w:lang w:val="nl-NL"/>
        </w:rPr>
      </w:pPr>
      <w:r w:rsidRPr="00021A88">
        <w:rPr>
          <w:b/>
          <w:bCs/>
          <w:lang w:val="nl-NL"/>
        </w:rPr>
        <w:t>Vier</w:t>
      </w:r>
      <w:r w:rsidRPr="00021A88">
        <w:rPr>
          <w:lang w:val="nl-NL"/>
        </w:rPr>
        <w:t xml:space="preserve">: de </w:t>
      </w:r>
      <w:r w:rsidRPr="00021A88">
        <w:rPr>
          <w:b/>
          <w:bCs/>
          <w:lang w:val="nl-NL"/>
        </w:rPr>
        <w:t>higher-education/doctoral map</w:t>
      </w:r>
      <w:r w:rsidRPr="00021A88">
        <w:rPr>
          <w:lang w:val="nl-NL"/>
        </w:rPr>
        <w:t xml:space="preserve"> met de Higher Education Act, de Hungarian Doctoral Council, MAB-documenten en daarna de doctorale en kwaliteitsregels van representatieve universiteiten. Dit is de laag die niet alle integriteitszaken beslist, maar wel de kwaliteits- en toezichtsomgeving van onderzoek vormt. (</w:t>
      </w:r>
      <w:hyperlink r:id="rId26" w:tooltip="https://www.mab.hu/wp-content/uploads/Nftv_angol_2Sept2016_EMMI-forditas.pdf" w:history="1">
        <w:r w:rsidRPr="00021A88">
          <w:rPr>
            <w:rStyle w:val="Hyperlink"/>
            <w:lang w:val="nl-NL"/>
          </w:rPr>
          <w:t>MAB</w:t>
        </w:r>
      </w:hyperlink>
      <w:r w:rsidRPr="00021A88">
        <w:rPr>
          <w:lang w:val="nl-NL"/>
        </w:rPr>
        <w:t>)</w:t>
      </w:r>
    </w:p>
    <w:p w14:paraId="5E83CDFC" w14:textId="77777777" w:rsidR="00021A88" w:rsidRPr="00021A88" w:rsidRDefault="00021A88" w:rsidP="00021A88">
      <w:pPr>
        <w:rPr>
          <w:lang w:val="nl-NL"/>
        </w:rPr>
      </w:pPr>
      <w:r w:rsidRPr="00021A88">
        <w:rPr>
          <w:b/>
          <w:bCs/>
          <w:lang w:val="nl-NL"/>
        </w:rPr>
        <w:t>Vijf</w:t>
      </w:r>
      <w:r w:rsidRPr="00021A88">
        <w:rPr>
          <w:lang w:val="nl-NL"/>
        </w:rPr>
        <w:t xml:space="preserve">: een </w:t>
      </w:r>
      <w:r w:rsidRPr="00021A88">
        <w:rPr>
          <w:b/>
          <w:bCs/>
          <w:lang w:val="nl-NL"/>
        </w:rPr>
        <w:t>institutionele map</w:t>
      </w:r>
      <w:r w:rsidRPr="00021A88">
        <w:rPr>
          <w:lang w:val="nl-NL"/>
        </w:rPr>
        <w:t xml:space="preserve"> met per universiteit codes of ethics, research ethics committees, plagiaatregels, doctoral regulations, AI-richtlijnen en facultaire commissies. De voorbeelden van Corvinus, ELTE en Semmelweis laten al zien dat hier veel variatie zit. (</w:t>
      </w:r>
      <w:hyperlink r:id="rId27" w:tooltip="https://net.jogtar.hu/bce-jogszabaly?dbnum=589&amp;docid=A11R0032.BCE&amp;getdoc=1&amp;searchUrl=%2Fbce-en%3Fkeyword%3Dethics" w:history="1">
        <w:r w:rsidRPr="00021A88">
          <w:rPr>
            <w:rStyle w:val="Hyperlink"/>
            <w:lang w:val="nl-NL"/>
          </w:rPr>
          <w:t>Jogtar</w:t>
        </w:r>
      </w:hyperlink>
      <w:r w:rsidRPr="00021A88">
        <w:rPr>
          <w:lang w:val="nl-NL"/>
        </w:rPr>
        <w:t>)</w:t>
      </w:r>
    </w:p>
    <w:p w14:paraId="0182388F" w14:textId="77777777" w:rsidR="00021A88" w:rsidRPr="00021A88" w:rsidRDefault="00021A88" w:rsidP="00021A88">
      <w:pPr>
        <w:rPr>
          <w:lang w:val="nl-NL"/>
        </w:rPr>
      </w:pPr>
      <w:r w:rsidRPr="00021A88">
        <w:rPr>
          <w:b/>
          <w:bCs/>
          <w:lang w:val="nl-NL"/>
        </w:rPr>
        <w:t>Zes</w:t>
      </w:r>
      <w:r w:rsidRPr="00021A88">
        <w:rPr>
          <w:lang w:val="nl-NL"/>
        </w:rPr>
        <w:t xml:space="preserve">: een </w:t>
      </w:r>
      <w:r w:rsidRPr="00021A88">
        <w:rPr>
          <w:b/>
          <w:bCs/>
          <w:lang w:val="nl-NL"/>
        </w:rPr>
        <w:t>biomedical/animal ethics map</w:t>
      </w:r>
      <w:r w:rsidRPr="00021A88">
        <w:rPr>
          <w:lang w:val="nl-NL"/>
        </w:rPr>
        <w:t xml:space="preserve"> met de ETT Code of Bioethics, commissiepagina’s, autoriteitspagina’s van OGYÉI/NNGYK, regionale research ethics committees en NÉBIH-documenten. Dit is in Hongarije geen randverschijnsel maar een zeer substantieel deel van het totale onderzoeks-ethieklandschap. (</w:t>
      </w:r>
      <w:hyperlink r:id="rId28" w:tooltip="https://ett.okfo.gov.hu/en/codex-of-bioethics/" w:history="1">
        <w:r w:rsidRPr="00021A88">
          <w:rPr>
            <w:rStyle w:val="Hyperlink"/>
            <w:lang w:val="nl-NL"/>
          </w:rPr>
          <w:t>Medical Research Council</w:t>
        </w:r>
      </w:hyperlink>
      <w:r w:rsidRPr="00021A88">
        <w:rPr>
          <w:lang w:val="nl-NL"/>
        </w:rPr>
        <w:t>)</w:t>
      </w:r>
    </w:p>
    <w:p w14:paraId="7BC06AA9" w14:textId="77777777" w:rsidR="00021A88" w:rsidRPr="00021A88" w:rsidRDefault="00021A88" w:rsidP="00021A88">
      <w:pPr>
        <w:rPr>
          <w:b/>
          <w:bCs/>
          <w:lang w:val="nl-NL"/>
        </w:rPr>
      </w:pPr>
      <w:r w:rsidRPr="00021A88">
        <w:rPr>
          <w:b/>
          <w:bCs/>
          <w:lang w:val="nl-NL"/>
        </w:rPr>
        <w:t>9. Wat Hongarije onderscheidt</w:t>
      </w:r>
    </w:p>
    <w:p w14:paraId="1FC8D5C0" w14:textId="77777777" w:rsidR="00021A88" w:rsidRPr="00021A88" w:rsidRDefault="00021A88" w:rsidP="00021A88">
      <w:pPr>
        <w:rPr>
          <w:lang w:val="nl-NL"/>
        </w:rPr>
      </w:pPr>
      <w:r w:rsidRPr="00021A88">
        <w:rPr>
          <w:lang w:val="nl-NL"/>
        </w:rPr>
        <w:t xml:space="preserve">Wat Hongarije in deze eerste verkenning onderscheidt, is dat het landschap </w:t>
      </w:r>
      <w:r w:rsidRPr="00021A88">
        <w:rPr>
          <w:b/>
          <w:bCs/>
          <w:lang w:val="nl-NL"/>
        </w:rPr>
        <w:t>meerpolig</w:t>
      </w:r>
      <w:r w:rsidRPr="00021A88">
        <w:rPr>
          <w:lang w:val="nl-NL"/>
        </w:rPr>
        <w:t xml:space="preserve"> is. Ik zie niet één keurige verticale lijn van “wet → nationale commissie → lokale commissie”, maar eerder een set van overlappende normcentra: </w:t>
      </w:r>
      <w:r w:rsidRPr="00021A88">
        <w:rPr>
          <w:b/>
          <w:bCs/>
          <w:lang w:val="nl-NL"/>
        </w:rPr>
        <w:t>MTA/TeB</w:t>
      </w:r>
      <w:r w:rsidRPr="00021A88">
        <w:rPr>
          <w:lang w:val="nl-NL"/>
        </w:rPr>
        <w:t xml:space="preserve">, </w:t>
      </w:r>
      <w:r w:rsidRPr="00021A88">
        <w:rPr>
          <w:b/>
          <w:bCs/>
          <w:lang w:val="nl-NL"/>
        </w:rPr>
        <w:t>HUN-REN</w:t>
      </w:r>
      <w:r w:rsidRPr="00021A88">
        <w:rPr>
          <w:lang w:val="nl-NL"/>
        </w:rPr>
        <w:t xml:space="preserve">, </w:t>
      </w:r>
      <w:r w:rsidRPr="00021A88">
        <w:rPr>
          <w:b/>
          <w:bCs/>
          <w:lang w:val="nl-NL"/>
        </w:rPr>
        <w:t>universiteiten</w:t>
      </w:r>
      <w:r w:rsidRPr="00021A88">
        <w:rPr>
          <w:lang w:val="nl-NL"/>
        </w:rPr>
        <w:t xml:space="preserve">, </w:t>
      </w:r>
      <w:r w:rsidRPr="00021A88">
        <w:rPr>
          <w:b/>
          <w:bCs/>
          <w:lang w:val="nl-NL"/>
        </w:rPr>
        <w:t>doctorale en accreditatie-organen</w:t>
      </w:r>
      <w:r w:rsidRPr="00021A88">
        <w:rPr>
          <w:lang w:val="nl-NL"/>
        </w:rPr>
        <w:t xml:space="preserve">, en daarnaast de zeer sterke </w:t>
      </w:r>
      <w:r w:rsidRPr="00021A88">
        <w:rPr>
          <w:b/>
          <w:bCs/>
          <w:lang w:val="nl-NL"/>
        </w:rPr>
        <w:t>medische en dierexperimentele ethiekstelsels</w:t>
      </w:r>
      <w:r w:rsidRPr="00021A88">
        <w:rPr>
          <w:lang w:val="nl-NL"/>
        </w:rPr>
        <w:t>. Dat maakt Hongarije waarschijnlijk lastiger te oogsten dan Denemarken, maar ook analytisch interessanter, omdat verschillende delen van het onderzoeksbestel elk hun eigen integriteitsarchitectuur hebben. (</w:t>
      </w:r>
      <w:hyperlink r:id="rId29" w:tooltip="https://mta.hu/data/dokumentumok/egyeb_dokumentumok/2025/Tudomanyetikai_Kodex_2024_angol_VEGLEGES.pdf" w:history="1">
        <w:r w:rsidRPr="00021A88">
          <w:rPr>
            <w:rStyle w:val="Hyperlink"/>
            <w:lang w:val="nl-NL"/>
          </w:rPr>
          <w:t>MTA</w:t>
        </w:r>
      </w:hyperlink>
      <w:r w:rsidRPr="00021A88">
        <w:rPr>
          <w:lang w:val="nl-NL"/>
        </w:rPr>
        <w:t>)</w:t>
      </w:r>
    </w:p>
    <w:p w14:paraId="76BCEB9B" w14:textId="77777777" w:rsidR="00021A88" w:rsidRPr="00021A88" w:rsidRDefault="00021A88" w:rsidP="00021A88">
      <w:pPr>
        <w:rPr>
          <w:lang w:val="nl-NL"/>
        </w:rPr>
      </w:pPr>
      <w:r w:rsidRPr="00021A88">
        <w:rPr>
          <w:lang w:val="nl-NL"/>
        </w:rPr>
        <w:t xml:space="preserve">Mijn voorlopig belangrijkste inhoudelijke inzicht is dit: </w:t>
      </w:r>
      <w:r w:rsidRPr="00021A88">
        <w:rPr>
          <w:b/>
          <w:bCs/>
          <w:lang w:val="nl-NL"/>
        </w:rPr>
        <w:t xml:space="preserve">de algemene wetenschappelijke integriteit lijkt in Hongarije vooral institutioneel onderzocht te worden, met de MTA-code als nationale normbron en de TeB als bijzondere of </w:t>
      </w:r>
      <w:r w:rsidRPr="00021A88">
        <w:rPr>
          <w:b/>
          <w:bCs/>
          <w:lang w:val="nl-NL"/>
        </w:rPr>
        <w:lastRenderedPageBreak/>
        <w:t>tweede-lijns actor; de meest formeel gejuridiseerde en nationaal zichtbare routes zitten juist in de medische en dierexperimentele ethiek</w:t>
      </w:r>
      <w:r w:rsidRPr="00021A88">
        <w:rPr>
          <w:lang w:val="nl-NL"/>
        </w:rPr>
        <w:t>. Dat is dus een andere configuratie dan in Nederland én anders dan in Denemarken. (</w:t>
      </w:r>
      <w:hyperlink r:id="rId30" w:tooltip="https://mta.hu/data/dokumentumok/egyeb_dokumentumok/2025/Tudomanyetikai_Kodex_2024_angol_VEGLEGES.pdf" w:history="1">
        <w:r w:rsidRPr="00021A88">
          <w:rPr>
            <w:rStyle w:val="Hyperlink"/>
            <w:lang w:val="nl-NL"/>
          </w:rPr>
          <w:t>MTA</w:t>
        </w:r>
      </w:hyperlink>
      <w:r w:rsidRPr="00021A88">
        <w:rPr>
          <w:lang w:val="nl-NL"/>
        </w:rPr>
        <w:t>)</w:t>
      </w:r>
    </w:p>
    <w:p w14:paraId="48A796BD" w14:textId="77777777" w:rsidR="00021A88" w:rsidRPr="00021A88" w:rsidRDefault="00021A88" w:rsidP="00021A88">
      <w:pPr>
        <w:rPr>
          <w:lang w:val="nl-NL"/>
        </w:rPr>
      </w:pPr>
      <w:r w:rsidRPr="00021A88">
        <w:rPr>
          <w:lang w:val="nl-NL"/>
        </w:rPr>
        <w:t xml:space="preserve">De logische volgende stap is nu om voor Hongarije een </w:t>
      </w:r>
      <w:r w:rsidRPr="00021A88">
        <w:rPr>
          <w:b/>
          <w:bCs/>
          <w:lang w:val="nl-NL"/>
        </w:rPr>
        <w:t>actor-documentmatrix</w:t>
      </w:r>
      <w:r w:rsidRPr="00021A88">
        <w:rPr>
          <w:lang w:val="nl-NL"/>
        </w:rPr>
        <w:t xml:space="preserve"> te maken met rijen voor </w:t>
      </w:r>
      <w:r w:rsidRPr="00021A88">
        <w:rPr>
          <w:b/>
          <w:bCs/>
          <w:lang w:val="nl-NL"/>
        </w:rPr>
        <w:t>MTA, TeB, HUN-REN, NKFIH, ODT, MAB, 3 universiteiten, ETT en NÉBIH</w:t>
      </w:r>
      <w:r w:rsidRPr="00021A88">
        <w:rPr>
          <w:lang w:val="nl-NL"/>
        </w:rPr>
        <w:t xml:space="preserve">, en per rij alleen nog vast te leggen: </w:t>
      </w:r>
      <w:r w:rsidRPr="00021A88">
        <w:rPr>
          <w:b/>
          <w:bCs/>
          <w:lang w:val="nl-NL"/>
        </w:rPr>
        <w:t>welke documenten bestaan er, wie is er verantwoordelijk voor, en wat bewijst elk document over bevoegdheid, procedure of norm</w:t>
      </w:r>
      <w:r w:rsidRPr="00021A88">
        <w:rPr>
          <w:lang w:val="nl-NL"/>
        </w:rPr>
        <w:t>.</w:t>
      </w:r>
    </w:p>
    <w:p w14:paraId="2A4A7945"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33"/>
    <w:rsid w:val="00021A88"/>
    <w:rsid w:val="001B5833"/>
    <w:rsid w:val="001E528E"/>
    <w:rsid w:val="0023427A"/>
    <w:rsid w:val="002551AA"/>
    <w:rsid w:val="00273D29"/>
    <w:rsid w:val="002E5AD9"/>
    <w:rsid w:val="0036154D"/>
    <w:rsid w:val="00392002"/>
    <w:rsid w:val="00394BCE"/>
    <w:rsid w:val="00407C7C"/>
    <w:rsid w:val="004E2765"/>
    <w:rsid w:val="006846CA"/>
    <w:rsid w:val="00703CEF"/>
    <w:rsid w:val="007338BF"/>
    <w:rsid w:val="007A24AA"/>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9C5B"/>
  <w15:chartTrackingRefBased/>
  <w15:docId w15:val="{C9AB4BED-164A-4D29-81EE-583B6EF6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8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8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8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8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8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8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8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8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8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8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833"/>
    <w:rPr>
      <w:rFonts w:eastAsiaTheme="majorEastAsia" w:cstheme="majorBidi"/>
      <w:color w:val="272727" w:themeColor="text1" w:themeTint="D8"/>
    </w:rPr>
  </w:style>
  <w:style w:type="paragraph" w:styleId="Title">
    <w:name w:val="Title"/>
    <w:basedOn w:val="Normal"/>
    <w:next w:val="Normal"/>
    <w:link w:val="TitleChar"/>
    <w:uiPriority w:val="10"/>
    <w:qFormat/>
    <w:rsid w:val="001B5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833"/>
    <w:pPr>
      <w:spacing w:before="160"/>
      <w:jc w:val="center"/>
    </w:pPr>
    <w:rPr>
      <w:i/>
      <w:iCs/>
      <w:color w:val="404040" w:themeColor="text1" w:themeTint="BF"/>
    </w:rPr>
  </w:style>
  <w:style w:type="character" w:customStyle="1" w:styleId="QuoteChar">
    <w:name w:val="Quote Char"/>
    <w:basedOn w:val="DefaultParagraphFont"/>
    <w:link w:val="Quote"/>
    <w:uiPriority w:val="29"/>
    <w:rsid w:val="001B5833"/>
    <w:rPr>
      <w:i/>
      <w:iCs/>
      <w:color w:val="404040" w:themeColor="text1" w:themeTint="BF"/>
    </w:rPr>
  </w:style>
  <w:style w:type="paragraph" w:styleId="ListParagraph">
    <w:name w:val="List Paragraph"/>
    <w:basedOn w:val="Normal"/>
    <w:uiPriority w:val="34"/>
    <w:qFormat/>
    <w:rsid w:val="001B5833"/>
    <w:pPr>
      <w:ind w:left="720"/>
      <w:contextualSpacing/>
    </w:pPr>
  </w:style>
  <w:style w:type="character" w:styleId="IntenseEmphasis">
    <w:name w:val="Intense Emphasis"/>
    <w:basedOn w:val="DefaultParagraphFont"/>
    <w:uiPriority w:val="21"/>
    <w:qFormat/>
    <w:rsid w:val="001B5833"/>
    <w:rPr>
      <w:i/>
      <w:iCs/>
      <w:color w:val="0F4761" w:themeColor="accent1" w:themeShade="BF"/>
    </w:rPr>
  </w:style>
  <w:style w:type="paragraph" w:styleId="IntenseQuote">
    <w:name w:val="Intense Quote"/>
    <w:basedOn w:val="Normal"/>
    <w:next w:val="Normal"/>
    <w:link w:val="IntenseQuoteChar"/>
    <w:uiPriority w:val="30"/>
    <w:qFormat/>
    <w:rsid w:val="001B58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833"/>
    <w:rPr>
      <w:i/>
      <w:iCs/>
      <w:color w:val="0F4761" w:themeColor="accent1" w:themeShade="BF"/>
    </w:rPr>
  </w:style>
  <w:style w:type="character" w:styleId="IntenseReference">
    <w:name w:val="Intense Reference"/>
    <w:basedOn w:val="DefaultParagraphFont"/>
    <w:uiPriority w:val="32"/>
    <w:qFormat/>
    <w:rsid w:val="001B5833"/>
    <w:rPr>
      <w:b/>
      <w:bCs/>
      <w:smallCaps/>
      <w:color w:val="0F4761" w:themeColor="accent1" w:themeShade="BF"/>
      <w:spacing w:val="5"/>
    </w:rPr>
  </w:style>
  <w:style w:type="character" w:styleId="Hyperlink">
    <w:name w:val="Hyperlink"/>
    <w:basedOn w:val="DefaultParagraphFont"/>
    <w:uiPriority w:val="99"/>
    <w:unhideWhenUsed/>
    <w:rsid w:val="00021A88"/>
    <w:rPr>
      <w:color w:val="467886" w:themeColor="hyperlink"/>
      <w:u w:val="single"/>
    </w:rPr>
  </w:style>
  <w:style w:type="character" w:styleId="UnresolvedMention">
    <w:name w:val="Unresolved Mention"/>
    <w:basedOn w:val="DefaultParagraphFont"/>
    <w:uiPriority w:val="99"/>
    <w:semiHidden/>
    <w:unhideWhenUsed/>
    <w:rsid w:val="00021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389211">
      <w:bodyDiv w:val="1"/>
      <w:marLeft w:val="0"/>
      <w:marRight w:val="0"/>
      <w:marTop w:val="0"/>
      <w:marBottom w:val="0"/>
      <w:divBdr>
        <w:top w:val="none" w:sz="0" w:space="0" w:color="auto"/>
        <w:left w:val="none" w:sz="0" w:space="0" w:color="auto"/>
        <w:bottom w:val="none" w:sz="0" w:space="0" w:color="auto"/>
        <w:right w:val="none" w:sz="0" w:space="0" w:color="auto"/>
      </w:divBdr>
    </w:div>
    <w:div w:id="1443573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n-ren.hu/data/hun-ren/hirek/2024/december/Hungarian_Research_Network_Law_ID_XCI._2024._0.pdf" TargetMode="External"/><Relationship Id="rId13" Type="http://schemas.openxmlformats.org/officeDocument/2006/relationships/hyperlink" Target="https://www.mab.hu/wp-content/uploads/Nftv_angol_2Sept2016_EMMI-forditas.pdf" TargetMode="External"/><Relationship Id="rId18" Type="http://schemas.openxmlformats.org/officeDocument/2006/relationships/hyperlink" Target="https://ett.okfo.gov.hu/en/codex-of-bioethics/" TargetMode="External"/><Relationship Id="rId26" Type="http://schemas.openxmlformats.org/officeDocument/2006/relationships/hyperlink" Target="https://www.mab.hu/wp-content/uploads/Nftv_angol_2Sept2016_EMMI-forditas.pdf" TargetMode="External"/><Relationship Id="rId3" Type="http://schemas.openxmlformats.org/officeDocument/2006/relationships/webSettings" Target="webSettings.xml"/><Relationship Id="rId21" Type="http://schemas.openxmlformats.org/officeDocument/2006/relationships/hyperlink" Target="https://portal.nebih.gov.hu/-/allatkiserleti-statisztikai-adatok" TargetMode="External"/><Relationship Id="rId7" Type="http://schemas.openxmlformats.org/officeDocument/2006/relationships/hyperlink" Target="https://mta.hu/hatteranyagok/tudomanyetikai-bizottsag-105786" TargetMode="External"/><Relationship Id="rId12" Type="http://schemas.openxmlformats.org/officeDocument/2006/relationships/hyperlink" Target="https://nkfih.gov.hu/openscience" TargetMode="External"/><Relationship Id="rId17" Type="http://schemas.openxmlformats.org/officeDocument/2006/relationships/hyperlink" Target="https://semmelweis.hu/bizottsagok/en/constant-committees/committees-with-university-competence/university-ethics-committee/" TargetMode="External"/><Relationship Id="rId25" Type="http://schemas.openxmlformats.org/officeDocument/2006/relationships/hyperlink" Target="https://nkfih.gov.hu/about-the-office" TargetMode="External"/><Relationship Id="rId2" Type="http://schemas.openxmlformats.org/officeDocument/2006/relationships/settings" Target="settings.xml"/><Relationship Id="rId16" Type="http://schemas.openxmlformats.org/officeDocument/2006/relationships/hyperlink" Target="https://www.ppk.elte.hu/en/research-ethics-committee" TargetMode="External"/><Relationship Id="rId20" Type="http://schemas.openxmlformats.org/officeDocument/2006/relationships/hyperlink" Target="https://ogyei.gov.hu/authorisation_of_non_interventional_studies" TargetMode="External"/><Relationship Id="rId29" Type="http://schemas.openxmlformats.org/officeDocument/2006/relationships/hyperlink" Target="https://mta.hu/data/dokumentumok/egyeb_dokumentumok/2025/Tudomanyetikai_Kodex_2024_angol_VEGLEGES.pdf" TargetMode="External"/><Relationship Id="rId1" Type="http://schemas.openxmlformats.org/officeDocument/2006/relationships/styles" Target="styles.xml"/><Relationship Id="rId6" Type="http://schemas.openxmlformats.org/officeDocument/2006/relationships/hyperlink" Target="https://mta.hu/data/dokumentumok/egyeb_dokumentumok/2025/Tudomanyetikai_Kodex_2024_angol_VEGLEGES.pdf" TargetMode="External"/><Relationship Id="rId11" Type="http://schemas.openxmlformats.org/officeDocument/2006/relationships/hyperlink" Target="https://nkfih.gov.hu/about-the-office" TargetMode="External"/><Relationship Id="rId24" Type="http://schemas.openxmlformats.org/officeDocument/2006/relationships/hyperlink" Target="https://hun-ren.hu/data/hun-ren/hirek/2024/december/Hungarian_Research_Network_Law_ID_XCI._2024._0.pdf" TargetMode="External"/><Relationship Id="rId32" Type="http://schemas.openxmlformats.org/officeDocument/2006/relationships/theme" Target="theme/theme1.xml"/><Relationship Id="rId5" Type="http://schemas.openxmlformats.org/officeDocument/2006/relationships/hyperlink" Target="https://mta.hu/data/dokumentumok/egyeb_dokumentumok/2025/Tudomanyetikai_Kodex_2024_angol_VEGLEGES.pdf" TargetMode="External"/><Relationship Id="rId15" Type="http://schemas.openxmlformats.org/officeDocument/2006/relationships/hyperlink" Target="https://net.jogtar.hu/bce-jogszabaly?dbnum=589&amp;docid=A11R0032.BCE&amp;getdoc=1&amp;searchUrl=%2Fbce-en%3Fkeyword%3Dethics" TargetMode="External"/><Relationship Id="rId23" Type="http://schemas.openxmlformats.org/officeDocument/2006/relationships/hyperlink" Target="https://mta.hu/data/dokumentumok/egyeb_dokumentumok/2025/Tudomanyetikai_Kodex_2024_angol_VEGLEGES.pdf" TargetMode="External"/><Relationship Id="rId28" Type="http://schemas.openxmlformats.org/officeDocument/2006/relationships/hyperlink" Target="https://ett.okfo.gov.hu/en/codex-of-bioethics/" TargetMode="External"/><Relationship Id="rId10" Type="http://schemas.openxmlformats.org/officeDocument/2006/relationships/hyperlink" Target="https://hun-ren.hu/hunren/magatartasi-kodex-109859" TargetMode="External"/><Relationship Id="rId19" Type="http://schemas.openxmlformats.org/officeDocument/2006/relationships/hyperlink" Target="https://ett.okfo.gov.hu/en/secretariat/" TargetMode="External"/><Relationship Id="rId31" Type="http://schemas.openxmlformats.org/officeDocument/2006/relationships/fontTable" Target="fontTable.xml"/><Relationship Id="rId4" Type="http://schemas.openxmlformats.org/officeDocument/2006/relationships/hyperlink" Target="https://mta.hu/data/dokumentumok/egyeb_dokumentumok/2025/Tudomanyetikai_Kodex_2024_angol_VEGLEGES.pdf" TargetMode="External"/><Relationship Id="rId9" Type="http://schemas.openxmlformats.org/officeDocument/2006/relationships/hyperlink" Target="https://hun-ren.hu/data/hun-ren/intezetek/szmsz/HUN-REN_Organisational_and_Operational_Regulations.pdf" TargetMode="External"/><Relationship Id="rId14" Type="http://schemas.openxmlformats.org/officeDocument/2006/relationships/hyperlink" Target="https://www.mab.hu/en/about-mab/" TargetMode="External"/><Relationship Id="rId22" Type="http://schemas.openxmlformats.org/officeDocument/2006/relationships/hyperlink" Target="https://semmelweis.hu/english/about-semmelweis-university/senate/" TargetMode="External"/><Relationship Id="rId27" Type="http://schemas.openxmlformats.org/officeDocument/2006/relationships/hyperlink" Target="https://net.jogtar.hu/bce-jogszabaly?dbnum=589&amp;docid=A11R0032.BCE&amp;getdoc=1&amp;searchUrl=%2Fbce-en%3Fkeyword%3Dethics" TargetMode="External"/><Relationship Id="rId30" Type="http://schemas.openxmlformats.org/officeDocument/2006/relationships/hyperlink" Target="https://mta.hu/data/dokumentumok/egyeb_dokumentumok/2025/Tudomanyetikai_Kodex_2024_angol_VEGLEG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3442</Words>
  <Characters>18937</Characters>
  <Application>Microsoft Office Word</Application>
  <DocSecurity>0</DocSecurity>
  <Lines>157</Lines>
  <Paragraphs>44</Paragraphs>
  <ScaleCrop>false</ScaleCrop>
  <Company/>
  <LinksUpToDate>false</LinksUpToDate>
  <CharactersWithSpaces>22335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2026-04-16T07:09:00Z</dcterms:created>
  <dcterms:modified xsi:type="dcterms:W3CDTF">2026-04-16T07:09:00Z</dcterms:modified>
</cp:coreProperties>
</file>