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975B" w14:textId="77777777" w:rsidR="00A45D61" w:rsidRPr="00A45D61" w:rsidRDefault="00A45D61" w:rsidP="00A45D61">
      <w:pPr>
        <w:rPr>
          <w:lang w:val="nl-NL"/>
        </w:rPr>
      </w:pPr>
      <w:r w:rsidRPr="00A45D61">
        <w:rPr>
          <w:lang w:val="nl-NL"/>
        </w:rPr>
        <w:t xml:space="preserve">Ja — en Litouwen geeft weer een ander type landschap dan Nederland en Denemarken. Mijn voorlopige indruk is dat Litouwen het best te begrijpen is als een </w:t>
      </w:r>
      <w:r w:rsidRPr="00A45D61">
        <w:rPr>
          <w:b/>
          <w:bCs/>
          <w:lang w:val="nl-NL"/>
        </w:rPr>
        <w:t>ombudsperson-led, meerlagig systeem</w:t>
      </w:r>
      <w:r w:rsidRPr="00A45D61">
        <w:rPr>
          <w:lang w:val="nl-NL"/>
        </w:rPr>
        <w:t xml:space="preserve">: de kern loopt via de </w:t>
      </w:r>
      <w:r w:rsidRPr="00A45D61">
        <w:rPr>
          <w:b/>
          <w:bCs/>
          <w:lang w:val="nl-NL"/>
        </w:rPr>
        <w:t>Office of the Ombudsperson for Academic Ethics and Procedures</w:t>
      </w:r>
      <w:r w:rsidRPr="00A45D61">
        <w:rPr>
          <w:lang w:val="nl-NL"/>
        </w:rPr>
        <w:t xml:space="preserve">, daarnaast is er een aparte </w:t>
      </w:r>
      <w:r w:rsidRPr="00A45D61">
        <w:rPr>
          <w:b/>
          <w:bCs/>
          <w:lang w:val="nl-NL"/>
        </w:rPr>
        <w:t>Research Ethics Committee</w:t>
      </w:r>
      <w:r w:rsidRPr="00A45D61">
        <w:rPr>
          <w:lang w:val="nl-NL"/>
        </w:rPr>
        <w:t xml:space="preserve"> bij de </w:t>
      </w:r>
      <w:r w:rsidRPr="00A45D61">
        <w:rPr>
          <w:b/>
          <w:bCs/>
          <w:lang w:val="nl-NL"/>
        </w:rPr>
        <w:t>Research Council of Lithuania</w:t>
      </w:r>
      <w:r w:rsidRPr="00A45D61">
        <w:rPr>
          <w:lang w:val="nl-NL"/>
        </w:rPr>
        <w:t xml:space="preserve">, daarnaast hebben instellingen hun </w:t>
      </w:r>
      <w:r w:rsidRPr="00A45D61">
        <w:rPr>
          <w:b/>
          <w:bCs/>
          <w:lang w:val="nl-NL"/>
        </w:rPr>
        <w:t>eigen codes, ethics commissions en review boards</w:t>
      </w:r>
      <w:r w:rsidRPr="00A45D61">
        <w:rPr>
          <w:lang w:val="nl-NL"/>
        </w:rPr>
        <w:t xml:space="preserve">, en daarnaast bestaat er een duidelijk aparte </w:t>
      </w:r>
      <w:r w:rsidRPr="00A45D61">
        <w:rPr>
          <w:b/>
          <w:bCs/>
          <w:lang w:val="nl-NL"/>
        </w:rPr>
        <w:t>biomedical ethics</w:t>
      </w:r>
      <w:r w:rsidRPr="00A45D61">
        <w:rPr>
          <w:lang w:val="nl-NL"/>
        </w:rPr>
        <w:t>-laag met nationale en regionale commissies. Daardoor is Litouwen niet één integriteitsroute, maar een netwerk van deels overlappende regimes. (</w:t>
      </w:r>
      <w:hyperlink r:id="rId4" w:tooltip="https://etikostarnyba.lt/wp-content/uploads/2025/10/GUIDELINES-FOR-SCIENCE-COMMUNICATION-in-Line-with-Academic-Ethics.pdf" w:history="1">
        <w:r w:rsidRPr="00A45D61">
          <w:rPr>
            <w:rStyle w:val="Hyperlink"/>
            <w:lang w:val="nl-NL"/>
          </w:rPr>
          <w:t>etikostarnyba.lt</w:t>
        </w:r>
      </w:hyperlink>
      <w:r w:rsidRPr="00A45D61">
        <w:rPr>
          <w:lang w:val="nl-NL"/>
        </w:rPr>
        <w:t>)</w:t>
      </w:r>
    </w:p>
    <w:p w14:paraId="714C2AA3" w14:textId="77777777" w:rsidR="00A45D61" w:rsidRPr="00A45D61" w:rsidRDefault="00A45D61" w:rsidP="00A45D61">
      <w:pPr>
        <w:rPr>
          <w:b/>
          <w:bCs/>
          <w:lang w:val="nl-NL"/>
        </w:rPr>
      </w:pPr>
      <w:r w:rsidRPr="00A45D61">
        <w:rPr>
          <w:b/>
          <w:bCs/>
          <w:lang w:val="nl-NL"/>
        </w:rPr>
        <w:t>1. De wettelijke nationale kern</w:t>
      </w:r>
    </w:p>
    <w:p w14:paraId="120CB258" w14:textId="77777777" w:rsidR="00A45D61" w:rsidRPr="00A45D61" w:rsidRDefault="00A45D61" w:rsidP="00A45D61">
      <w:pPr>
        <w:rPr>
          <w:lang w:val="nl-NL"/>
        </w:rPr>
      </w:pPr>
      <w:r w:rsidRPr="00A45D61">
        <w:rPr>
          <w:lang w:val="nl-NL"/>
        </w:rPr>
        <w:t xml:space="preserve">De formele ruggengraat is de </w:t>
      </w:r>
      <w:r w:rsidRPr="00A45D61">
        <w:rPr>
          <w:b/>
          <w:bCs/>
          <w:lang w:val="nl-NL"/>
        </w:rPr>
        <w:t>Law on Higher Education and Research</w:t>
      </w:r>
      <w:r w:rsidRPr="00A45D61">
        <w:rPr>
          <w:lang w:val="nl-NL"/>
        </w:rPr>
        <w:t xml:space="preserve">. Via de Engelstalige legal-acts pagina van </w:t>
      </w:r>
      <w:r w:rsidRPr="00A45D61">
        <w:rPr>
          <w:b/>
          <w:bCs/>
          <w:lang w:val="nl-NL"/>
        </w:rPr>
        <w:t>SKVC</w:t>
      </w:r>
      <w:r w:rsidRPr="00A45D61">
        <w:rPr>
          <w:lang w:val="nl-NL"/>
        </w:rPr>
        <w:t xml:space="preserve"> zijn zowel de 2018- als de 2009-versie van die wet beschikbaar als unofficial English translation. In de zoekresultaten op de wet zie je bovendien meteen waarom deze bron zo belangrijk is voor jouw project: </w:t>
      </w:r>
      <w:r w:rsidRPr="00A45D61">
        <w:rPr>
          <w:b/>
          <w:bCs/>
          <w:lang w:val="nl-NL"/>
        </w:rPr>
        <w:t>Article 17</w:t>
      </w:r>
      <w:r w:rsidRPr="00A45D61">
        <w:rPr>
          <w:lang w:val="nl-NL"/>
        </w:rPr>
        <w:t xml:space="preserve"> gaat expliciet over de </w:t>
      </w:r>
      <w:r w:rsidRPr="00A45D61">
        <w:rPr>
          <w:b/>
          <w:bCs/>
          <w:lang w:val="nl-NL"/>
        </w:rPr>
        <w:t>Controller / Ombudsperson of Academic Ethics and Procedures</w:t>
      </w:r>
      <w:r w:rsidRPr="00A45D61">
        <w:rPr>
          <w:lang w:val="nl-NL"/>
        </w:rPr>
        <w:t xml:space="preserve">, en de wet zegt ook dat de werking van de ombudsperson wordt verzekerd door een aparte </w:t>
      </w:r>
      <w:r w:rsidRPr="00A45D61">
        <w:rPr>
          <w:b/>
          <w:bCs/>
          <w:lang w:val="nl-NL"/>
        </w:rPr>
        <w:t>Office</w:t>
      </w:r>
      <w:r w:rsidRPr="00A45D61">
        <w:rPr>
          <w:lang w:val="nl-NL"/>
        </w:rPr>
        <w:t xml:space="preserve">, die een </w:t>
      </w:r>
      <w:r w:rsidRPr="00A45D61">
        <w:rPr>
          <w:b/>
          <w:bCs/>
          <w:lang w:val="nl-NL"/>
        </w:rPr>
        <w:t>budgetary institution</w:t>
      </w:r>
      <w:r w:rsidRPr="00A45D61">
        <w:rPr>
          <w:lang w:val="nl-NL"/>
        </w:rPr>
        <w:t xml:space="preserve"> is. (</w:t>
      </w:r>
      <w:hyperlink r:id="rId5" w:tooltip="https://skvc.lrv.lt/en/legislation/legal-acts/" w:history="1">
        <w:r w:rsidRPr="00A45D61">
          <w:rPr>
            <w:rStyle w:val="Hyperlink"/>
            <w:lang w:val="nl-NL"/>
          </w:rPr>
          <w:t>skvc.lrv.lt</w:t>
        </w:r>
      </w:hyperlink>
      <w:r w:rsidRPr="00A45D61">
        <w:rPr>
          <w:lang w:val="nl-NL"/>
        </w:rPr>
        <w:t>)</w:t>
      </w:r>
    </w:p>
    <w:p w14:paraId="0C229F95" w14:textId="77777777" w:rsidR="00A45D61" w:rsidRPr="00A45D61" w:rsidRDefault="00A45D61" w:rsidP="00A45D61">
      <w:pPr>
        <w:rPr>
          <w:lang w:val="nl-NL"/>
        </w:rPr>
      </w:pPr>
      <w:r w:rsidRPr="00A45D61">
        <w:rPr>
          <w:lang w:val="nl-NL"/>
        </w:rPr>
        <w:t xml:space="preserve">Voor de governance van die nationale actor zijn drie bronnen meteen cruciaal. Ten eerste: de </w:t>
      </w:r>
      <w:r w:rsidRPr="00A45D61">
        <w:rPr>
          <w:b/>
          <w:bCs/>
          <w:lang w:val="nl-NL"/>
        </w:rPr>
        <w:t>Office</w:t>
      </w:r>
      <w:r w:rsidRPr="00A45D61">
        <w:rPr>
          <w:lang w:val="nl-NL"/>
        </w:rPr>
        <w:t xml:space="preserve"> is volgens de statuten/search-resultaten een </w:t>
      </w:r>
      <w:r w:rsidRPr="00A45D61">
        <w:rPr>
          <w:b/>
          <w:bCs/>
          <w:lang w:val="nl-NL"/>
        </w:rPr>
        <w:t>state institution</w:t>
      </w:r>
      <w:r w:rsidRPr="00A45D61">
        <w:rPr>
          <w:lang w:val="nl-NL"/>
        </w:rPr>
        <w:t xml:space="preserve">. Ten tweede: de instelling die de eigenaarsrechten uitoefent is de </w:t>
      </w:r>
      <w:r w:rsidRPr="00A45D61">
        <w:rPr>
          <w:b/>
          <w:bCs/>
          <w:lang w:val="nl-NL"/>
        </w:rPr>
        <w:t>Seimas</w:t>
      </w:r>
      <w:r w:rsidRPr="00A45D61">
        <w:rPr>
          <w:lang w:val="nl-NL"/>
        </w:rPr>
        <w:t xml:space="preserve">. Ten derde: de </w:t>
      </w:r>
      <w:r w:rsidRPr="00A45D61">
        <w:rPr>
          <w:b/>
          <w:bCs/>
          <w:lang w:val="nl-NL"/>
        </w:rPr>
        <w:t>ombudsperson</w:t>
      </w:r>
      <w:r w:rsidRPr="00A45D61">
        <w:rPr>
          <w:lang w:val="nl-NL"/>
        </w:rPr>
        <w:t xml:space="preserve"> wordt volgens de officiële Office-informatie </w:t>
      </w:r>
      <w:r w:rsidRPr="00A45D61">
        <w:rPr>
          <w:b/>
          <w:bCs/>
          <w:lang w:val="nl-NL"/>
        </w:rPr>
        <w:t>door de Seimas benoemd voor vijf jaar</w:t>
      </w:r>
      <w:r w:rsidRPr="00A45D61">
        <w:rPr>
          <w:lang w:val="nl-NL"/>
        </w:rPr>
        <w:t xml:space="preserve">. De huidige ombudsperson is volgens de Office-site </w:t>
      </w:r>
      <w:r w:rsidRPr="00A45D61">
        <w:rPr>
          <w:b/>
          <w:bCs/>
          <w:lang w:val="nl-NL"/>
        </w:rPr>
        <w:t>Dr. Reda Cimmperman</w:t>
      </w:r>
      <w:r w:rsidRPr="00A45D61">
        <w:rPr>
          <w:lang w:val="nl-NL"/>
        </w:rPr>
        <w:t>. Dat maakt Litouwen op nationaal niveau al meteen heel anders georganiseerd dan landen waar integriteit alleen via universiteiten of funders loopt. (</w:t>
      </w:r>
      <w:hyperlink r:id="rId6" w:tooltip="https://etikostarnyba.lt/wp-content/uploads/2019/12/Statutes-3.pdf" w:history="1">
        <w:r w:rsidRPr="00A45D61">
          <w:rPr>
            <w:rStyle w:val="Hyperlink"/>
            <w:lang w:val="nl-NL"/>
          </w:rPr>
          <w:t>etikostarnyba.lt</w:t>
        </w:r>
      </w:hyperlink>
      <w:r w:rsidRPr="00A45D61">
        <w:rPr>
          <w:lang w:val="nl-NL"/>
        </w:rPr>
        <w:t>)</w:t>
      </w:r>
    </w:p>
    <w:p w14:paraId="2750C0CA" w14:textId="77777777" w:rsidR="00A45D61" w:rsidRPr="00A45D61" w:rsidRDefault="00A45D61" w:rsidP="00A45D61">
      <w:pPr>
        <w:rPr>
          <w:lang w:val="nl-NL"/>
        </w:rPr>
      </w:pPr>
      <w:r w:rsidRPr="00A45D61">
        <w:rPr>
          <w:lang w:val="nl-NL"/>
        </w:rPr>
        <w:t xml:space="preserve">Historisch is ook duidelijk te zien dat deze actor niet toevallig is ontstaan. De Office-site en ENRIO-achtige beschrijvingen wijzen erop dat de politieke beslissing om de Office/ombudsperson te creëren in samenhang met de herziene hogere-onderwijswet werd genomen, terwijl de Office pas vanaf </w:t>
      </w:r>
      <w:r w:rsidRPr="00A45D61">
        <w:rPr>
          <w:b/>
          <w:bCs/>
          <w:lang w:val="nl-NL"/>
        </w:rPr>
        <w:t>2013</w:t>
      </w:r>
      <w:r w:rsidRPr="00A45D61">
        <w:rPr>
          <w:lang w:val="nl-NL"/>
        </w:rPr>
        <w:t xml:space="preserve"> echt volledig begon te functioneren toen de eerste ombudsperson werd benoemd. Voor jouw bronkaart is dat nuttig als </w:t>
      </w:r>
      <w:r w:rsidRPr="00A45D61">
        <w:rPr>
          <w:b/>
          <w:bCs/>
          <w:lang w:val="nl-NL"/>
        </w:rPr>
        <w:t>vormend moment</w:t>
      </w:r>
      <w:r w:rsidRPr="00A45D61">
        <w:rPr>
          <w:lang w:val="nl-NL"/>
        </w:rPr>
        <w:t xml:space="preserve">: in Litouwen is niet één schandaal het duidelijke anker, maar eerder de </w:t>
      </w:r>
      <w:r w:rsidRPr="00A45D61">
        <w:rPr>
          <w:b/>
          <w:bCs/>
          <w:lang w:val="nl-NL"/>
        </w:rPr>
        <w:t>institutionele creatie van een nationale ethics-and-procedures ombudsperson</w:t>
      </w:r>
      <w:r w:rsidRPr="00A45D61">
        <w:rPr>
          <w:lang w:val="nl-NL"/>
        </w:rPr>
        <w:t>. (</w:t>
      </w:r>
      <w:hyperlink r:id="rId7" w:tooltip="https://etikostarnyba.lt/en/the-office-celebrates-its-seven-year-anniversary/" w:history="1">
        <w:r w:rsidRPr="00A45D61">
          <w:rPr>
            <w:rStyle w:val="Hyperlink"/>
            <w:lang w:val="nl-NL"/>
          </w:rPr>
          <w:t>etikostarnyba.lt</w:t>
        </w:r>
      </w:hyperlink>
      <w:r w:rsidRPr="00A45D61">
        <w:rPr>
          <w:lang w:val="nl-NL"/>
        </w:rPr>
        <w:t>)</w:t>
      </w:r>
    </w:p>
    <w:p w14:paraId="6000DEEC" w14:textId="77777777" w:rsidR="00A45D61" w:rsidRPr="00A45D61" w:rsidRDefault="00A45D61" w:rsidP="00A45D61">
      <w:pPr>
        <w:rPr>
          <w:b/>
          <w:bCs/>
          <w:lang w:val="nl-NL"/>
        </w:rPr>
      </w:pPr>
      <w:r w:rsidRPr="00A45D61">
        <w:rPr>
          <w:b/>
          <w:bCs/>
          <w:lang w:val="nl-NL"/>
        </w:rPr>
        <w:t>2. De nationale Ombudsperson-architectuur</w:t>
      </w:r>
    </w:p>
    <w:p w14:paraId="1C74DFE6" w14:textId="77777777" w:rsidR="00A45D61" w:rsidRPr="00A45D61" w:rsidRDefault="00A45D61" w:rsidP="00A45D61">
      <w:pPr>
        <w:rPr>
          <w:lang w:val="nl-NL"/>
        </w:rPr>
      </w:pPr>
      <w:r w:rsidRPr="00A45D61">
        <w:rPr>
          <w:lang w:val="nl-NL"/>
        </w:rPr>
        <w:t xml:space="preserve">De Office is in Litouwen niet alleen een klachtloket. De officiële Office-bronnen laten een veel bredere taakopvatting zien: de ombudsperson/Office behandelt </w:t>
      </w:r>
      <w:r w:rsidRPr="00A45D61">
        <w:rPr>
          <w:b/>
          <w:bCs/>
          <w:lang w:val="nl-NL"/>
        </w:rPr>
        <w:t>klachten</w:t>
      </w:r>
      <w:r w:rsidRPr="00A45D61">
        <w:rPr>
          <w:lang w:val="nl-NL"/>
        </w:rPr>
        <w:t xml:space="preserve">, kan ook </w:t>
      </w:r>
      <w:r w:rsidRPr="00A45D61">
        <w:rPr>
          <w:b/>
          <w:bCs/>
          <w:lang w:val="nl-NL"/>
        </w:rPr>
        <w:t>eigen onderzoeken</w:t>
      </w:r>
      <w:r w:rsidRPr="00A45D61">
        <w:rPr>
          <w:lang w:val="nl-NL"/>
        </w:rPr>
        <w:t xml:space="preserve"> initiëren, geeft </w:t>
      </w:r>
      <w:r w:rsidRPr="00A45D61">
        <w:rPr>
          <w:b/>
          <w:bCs/>
          <w:lang w:val="nl-NL"/>
        </w:rPr>
        <w:t>consultancy</w:t>
      </w:r>
      <w:r w:rsidRPr="00A45D61">
        <w:rPr>
          <w:lang w:val="nl-NL"/>
        </w:rPr>
        <w:t xml:space="preserve"> aan research and higher education institutions en leden van de academische gemeenschap, en verzamelt en analyseert </w:t>
      </w:r>
      <w:r w:rsidRPr="00A45D61">
        <w:rPr>
          <w:lang w:val="nl-NL"/>
        </w:rPr>
        <w:lastRenderedPageBreak/>
        <w:t xml:space="preserve">gegevens over overtredingen van academic ethics and procedures en aanpalende wettelijke vereisten. Daarnaast zijn er formele documenten voor de </w:t>
      </w:r>
      <w:r w:rsidRPr="00A45D61">
        <w:rPr>
          <w:b/>
          <w:bCs/>
          <w:lang w:val="nl-NL"/>
        </w:rPr>
        <w:t>procedure van complaint handling en ombudsperson-initiated investigations</w:t>
      </w:r>
      <w:r w:rsidRPr="00A45D61">
        <w:rPr>
          <w:lang w:val="nl-NL"/>
        </w:rPr>
        <w:t xml:space="preserve">, en er is ook een publieke </w:t>
      </w:r>
      <w:r w:rsidRPr="00A45D61">
        <w:rPr>
          <w:b/>
          <w:bCs/>
          <w:lang w:val="nl-NL"/>
        </w:rPr>
        <w:t>decisions</w:t>
      </w:r>
      <w:r w:rsidRPr="00A45D61">
        <w:rPr>
          <w:lang w:val="nl-NL"/>
        </w:rPr>
        <w:t>-laag. (</w:t>
      </w:r>
      <w:hyperlink r:id="rId8" w:tooltip="https://etikostarnyba.lt/en/about-office/" w:history="1">
        <w:r w:rsidRPr="00A45D61">
          <w:rPr>
            <w:rStyle w:val="Hyperlink"/>
            <w:lang w:val="nl-NL"/>
          </w:rPr>
          <w:t>etikostarnyba.lt</w:t>
        </w:r>
      </w:hyperlink>
      <w:r w:rsidRPr="00A45D61">
        <w:rPr>
          <w:lang w:val="nl-NL"/>
        </w:rPr>
        <w:t>)</w:t>
      </w:r>
    </w:p>
    <w:p w14:paraId="4ABE3E11" w14:textId="77777777" w:rsidR="00A45D61" w:rsidRPr="00A45D61" w:rsidRDefault="00A45D61" w:rsidP="00A45D61">
      <w:pPr>
        <w:rPr>
          <w:lang w:val="nl-NL"/>
        </w:rPr>
      </w:pPr>
      <w:r w:rsidRPr="00A45D61">
        <w:rPr>
          <w:lang w:val="nl-NL"/>
        </w:rPr>
        <w:t xml:space="preserve">Dat is een van de interessantste Litouwse kenmerken: de nationale actor produceert zelf al een heel pakket aan </w:t>
      </w:r>
      <w:r w:rsidRPr="00A45D61">
        <w:rPr>
          <w:b/>
          <w:bCs/>
          <w:lang w:val="nl-NL"/>
        </w:rPr>
        <w:t>governance-documenten</w:t>
      </w:r>
      <w:r w:rsidRPr="00A45D61">
        <w:rPr>
          <w:lang w:val="nl-NL"/>
        </w:rPr>
        <w:t xml:space="preserve">. Voor Litouwen zou ik daarom meteen de volgende Office-documenttypes willen onderscheiden: </w:t>
      </w:r>
      <w:r w:rsidRPr="00A45D61">
        <w:rPr>
          <w:b/>
          <w:bCs/>
          <w:lang w:val="nl-NL"/>
        </w:rPr>
        <w:t>statutes</w:t>
      </w:r>
      <w:r w:rsidRPr="00A45D61">
        <w:rPr>
          <w:lang w:val="nl-NL"/>
        </w:rPr>
        <w:t xml:space="preserve">, </w:t>
      </w:r>
      <w:r w:rsidRPr="00A45D61">
        <w:rPr>
          <w:b/>
          <w:bCs/>
          <w:lang w:val="nl-NL"/>
        </w:rPr>
        <w:t>procedure rules</w:t>
      </w:r>
      <w:r w:rsidRPr="00A45D61">
        <w:rPr>
          <w:lang w:val="nl-NL"/>
        </w:rPr>
        <w:t xml:space="preserve">, </w:t>
      </w:r>
      <w:r w:rsidRPr="00A45D61">
        <w:rPr>
          <w:b/>
          <w:bCs/>
          <w:lang w:val="nl-NL"/>
        </w:rPr>
        <w:t>recommendations/guidelines</w:t>
      </w:r>
      <w:r w:rsidRPr="00A45D61">
        <w:rPr>
          <w:lang w:val="nl-NL"/>
        </w:rPr>
        <w:t xml:space="preserve">, </w:t>
      </w:r>
      <w:r w:rsidRPr="00A45D61">
        <w:rPr>
          <w:b/>
          <w:bCs/>
          <w:lang w:val="nl-NL"/>
        </w:rPr>
        <w:t>decisions</w:t>
      </w:r>
      <w:r w:rsidRPr="00A45D61">
        <w:rPr>
          <w:lang w:val="nl-NL"/>
        </w:rPr>
        <w:t xml:space="preserve">, </w:t>
      </w:r>
      <w:r w:rsidRPr="00A45D61">
        <w:rPr>
          <w:b/>
          <w:bCs/>
          <w:lang w:val="nl-NL"/>
        </w:rPr>
        <w:t>annual activity reports</w:t>
      </w:r>
      <w:r w:rsidRPr="00A45D61">
        <w:rPr>
          <w:lang w:val="nl-NL"/>
        </w:rPr>
        <w:t xml:space="preserve"> en </w:t>
      </w:r>
      <w:r w:rsidRPr="00A45D61">
        <w:rPr>
          <w:b/>
          <w:bCs/>
          <w:lang w:val="nl-NL"/>
        </w:rPr>
        <w:t>analytical reviews</w:t>
      </w:r>
      <w:r w:rsidRPr="00A45D61">
        <w:rPr>
          <w:lang w:val="nl-NL"/>
        </w:rPr>
        <w:t xml:space="preserve">. De Activity Reports lopen in elk geval door tot en met </w:t>
      </w:r>
      <w:r w:rsidRPr="00A45D61">
        <w:rPr>
          <w:b/>
          <w:bCs/>
          <w:lang w:val="nl-NL"/>
        </w:rPr>
        <w:t>2025</w:t>
      </w:r>
      <w:r w:rsidRPr="00A45D61">
        <w:rPr>
          <w:lang w:val="nl-NL"/>
        </w:rPr>
        <w:t>, en de Office-site presenteert die rapporten ook echt als kerndocumenten van de werking van het stelsel. (</w:t>
      </w:r>
      <w:hyperlink r:id="rId9" w:tooltip="https://etikostarnyba.lt/wp-content/uploads/2026/03/ACTIVITY-REPORT-FOR-2025.pdf" w:history="1">
        <w:r w:rsidRPr="00A45D61">
          <w:rPr>
            <w:rStyle w:val="Hyperlink"/>
            <w:lang w:val="nl-NL"/>
          </w:rPr>
          <w:t>etikostarnyba.lt</w:t>
        </w:r>
      </w:hyperlink>
      <w:r w:rsidRPr="00A45D61">
        <w:rPr>
          <w:lang w:val="nl-NL"/>
        </w:rPr>
        <w:t>)</w:t>
      </w:r>
    </w:p>
    <w:p w14:paraId="7F5FDEE6" w14:textId="77777777" w:rsidR="00A45D61" w:rsidRPr="00A45D61" w:rsidRDefault="00A45D61" w:rsidP="00A45D61">
      <w:pPr>
        <w:rPr>
          <w:b/>
          <w:bCs/>
          <w:lang w:val="nl-NL"/>
        </w:rPr>
      </w:pPr>
      <w:r w:rsidRPr="00A45D61">
        <w:rPr>
          <w:b/>
          <w:bCs/>
          <w:lang w:val="nl-NL"/>
        </w:rPr>
        <w:t>3. Litouwen heeft een opvallend rijke nationale soft-law laag</w:t>
      </w:r>
    </w:p>
    <w:p w14:paraId="1BF71DC2" w14:textId="77777777" w:rsidR="00A45D61" w:rsidRPr="00A45D61" w:rsidRDefault="00A45D61" w:rsidP="00A45D61">
      <w:pPr>
        <w:rPr>
          <w:lang w:val="nl-NL"/>
        </w:rPr>
      </w:pPr>
      <w:r w:rsidRPr="00A45D61">
        <w:rPr>
          <w:lang w:val="nl-NL"/>
        </w:rPr>
        <w:t xml:space="preserve">Waar Nederland sterk op één gedragscode steunt en Denemarken op wet plus code, lijkt Litouwen juist sterk in </w:t>
      </w:r>
      <w:r w:rsidRPr="00A45D61">
        <w:rPr>
          <w:b/>
          <w:bCs/>
          <w:lang w:val="nl-NL"/>
        </w:rPr>
        <w:t>nationale richtsnoeren en aanbevelingen</w:t>
      </w:r>
      <w:r w:rsidRPr="00A45D61">
        <w:rPr>
          <w:lang w:val="nl-NL"/>
        </w:rPr>
        <w:t xml:space="preserve">. De Office heeft officiële documenten voor onder meer de </w:t>
      </w:r>
      <w:r w:rsidRPr="00A45D61">
        <w:rPr>
          <w:b/>
          <w:bCs/>
          <w:lang w:val="nl-NL"/>
        </w:rPr>
        <w:t>Recommendations on the Preparation, Adaptation and Implementation of Academic Ethics Codes</w:t>
      </w:r>
      <w:r w:rsidRPr="00A45D61">
        <w:rPr>
          <w:lang w:val="nl-NL"/>
        </w:rPr>
        <w:t xml:space="preserve">, de </w:t>
      </w:r>
      <w:r w:rsidRPr="00A45D61">
        <w:rPr>
          <w:b/>
          <w:bCs/>
          <w:lang w:val="nl-NL"/>
        </w:rPr>
        <w:t>Guidelines for Ethical Review</w:t>
      </w:r>
      <w:r w:rsidRPr="00A45D61">
        <w:rPr>
          <w:lang w:val="nl-NL"/>
        </w:rPr>
        <w:t xml:space="preserve">, de </w:t>
      </w:r>
      <w:r w:rsidRPr="00A45D61">
        <w:rPr>
          <w:b/>
          <w:bCs/>
          <w:lang w:val="nl-NL"/>
        </w:rPr>
        <w:t>Guidelines on the Ethical Use of Artificial Intelligence in Education and Research</w:t>
      </w:r>
      <w:r w:rsidRPr="00A45D61">
        <w:rPr>
          <w:lang w:val="nl-NL"/>
        </w:rPr>
        <w:t xml:space="preserve">, en de </w:t>
      </w:r>
      <w:r w:rsidRPr="00A45D61">
        <w:rPr>
          <w:b/>
          <w:bCs/>
          <w:lang w:val="nl-NL"/>
        </w:rPr>
        <w:t>Guidelines for Science Communication, in Line with Academic Ethics</w:t>
      </w:r>
      <w:r w:rsidRPr="00A45D61">
        <w:rPr>
          <w:lang w:val="nl-NL"/>
        </w:rPr>
        <w:t xml:space="preserve">. Daarnaast verwijst de Office-omgeving ook naar </w:t>
      </w:r>
      <w:r w:rsidRPr="00A45D61">
        <w:rPr>
          <w:b/>
          <w:bCs/>
          <w:lang w:val="nl-NL"/>
        </w:rPr>
        <w:t>Guidelines on Publication Ethics</w:t>
      </w:r>
      <w:r w:rsidRPr="00A45D61">
        <w:rPr>
          <w:lang w:val="nl-NL"/>
        </w:rPr>
        <w:t xml:space="preserve">. Dit betekent dat je in Litouwen niet alleen naar klachten- en sanctiedocumenten moet zoeken, maar expliciet ook naar een nationale laag van </w:t>
      </w:r>
      <w:r w:rsidRPr="00A45D61">
        <w:rPr>
          <w:b/>
          <w:bCs/>
          <w:lang w:val="nl-NL"/>
        </w:rPr>
        <w:t>procedural and pedagogical guidance</w:t>
      </w:r>
      <w:r w:rsidRPr="00A45D61">
        <w:rPr>
          <w:lang w:val="nl-NL"/>
        </w:rPr>
        <w:t>. (</w:t>
      </w:r>
      <w:hyperlink r:id="rId10" w:tooltip="https://etikostarnyba.lt/wp-content/uploads/2021/05/V-38-Recommendations-related-to-Academic-Ethics-Codes.pdf" w:history="1">
        <w:r w:rsidRPr="00A45D61">
          <w:rPr>
            <w:rStyle w:val="Hyperlink"/>
            <w:lang w:val="nl-NL"/>
          </w:rPr>
          <w:t>etikostarnyba.lt</w:t>
        </w:r>
      </w:hyperlink>
      <w:r w:rsidRPr="00A45D61">
        <w:rPr>
          <w:lang w:val="nl-NL"/>
        </w:rPr>
        <w:t>)</w:t>
      </w:r>
    </w:p>
    <w:p w14:paraId="723D6D38" w14:textId="77777777" w:rsidR="00A45D61" w:rsidRPr="00A45D61" w:rsidRDefault="00A45D61" w:rsidP="00A45D61">
      <w:pPr>
        <w:rPr>
          <w:lang w:val="nl-NL"/>
        </w:rPr>
      </w:pPr>
      <w:r w:rsidRPr="00A45D61">
        <w:rPr>
          <w:lang w:val="nl-NL"/>
        </w:rPr>
        <w:t xml:space="preserve">Die zachte nationale laag is niet bijkomstig, maar systemisch. De Recommendations on institutional codes zijn expliciet gericht op </w:t>
      </w:r>
      <w:r w:rsidRPr="00A45D61">
        <w:rPr>
          <w:b/>
          <w:bCs/>
          <w:lang w:val="nl-NL"/>
        </w:rPr>
        <w:t>research and higher education institutions</w:t>
      </w:r>
      <w:r w:rsidRPr="00A45D61">
        <w:rPr>
          <w:lang w:val="nl-NL"/>
        </w:rPr>
        <w:t xml:space="preserve">; de Guidelines for Ethical Review zijn bedoeld om de Litouwse academische gemeenschap te helpen bij het beoordelen van compliance with research ethics; en de AI- en science-communication-richtlijnen laten zien dat de Office het integriteitsbegrip actief uitbreidt naar nieuwe onderzoekspraktijken. Voor jouw Europese project is dat belangrijk, omdat Litouwen daarmee een land lijkt waar een nationale ethics authority niet alleen </w:t>
      </w:r>
      <w:r w:rsidRPr="00A45D61">
        <w:rPr>
          <w:b/>
          <w:bCs/>
          <w:lang w:val="nl-NL"/>
        </w:rPr>
        <w:t>achteraf</w:t>
      </w:r>
      <w:r w:rsidRPr="00A45D61">
        <w:rPr>
          <w:lang w:val="nl-NL"/>
        </w:rPr>
        <w:t xml:space="preserve"> oordeelt, maar ook </w:t>
      </w:r>
      <w:r w:rsidRPr="00A45D61">
        <w:rPr>
          <w:b/>
          <w:bCs/>
          <w:lang w:val="nl-NL"/>
        </w:rPr>
        <w:t>vooraf structureert</w:t>
      </w:r>
      <w:r w:rsidRPr="00A45D61">
        <w:rPr>
          <w:lang w:val="nl-NL"/>
        </w:rPr>
        <w:t xml:space="preserve"> hoe instellingen hun eigen stelsel moeten inrichten. (</w:t>
      </w:r>
      <w:hyperlink r:id="rId11" w:tooltip="https://etikostarnyba.lt/wp-content/uploads/2021/05/V-38-Recommendations-related-to-Academic-Ethics-Codes.pdf" w:history="1">
        <w:r w:rsidRPr="00A45D61">
          <w:rPr>
            <w:rStyle w:val="Hyperlink"/>
            <w:lang w:val="nl-NL"/>
          </w:rPr>
          <w:t>etikostarnyba.lt</w:t>
        </w:r>
      </w:hyperlink>
      <w:r w:rsidRPr="00A45D61">
        <w:rPr>
          <w:lang w:val="nl-NL"/>
        </w:rPr>
        <w:t>)</w:t>
      </w:r>
    </w:p>
    <w:p w14:paraId="39940411" w14:textId="77777777" w:rsidR="00A45D61" w:rsidRPr="00A45D61" w:rsidRDefault="00A45D61" w:rsidP="00A45D61">
      <w:pPr>
        <w:rPr>
          <w:b/>
          <w:bCs/>
          <w:lang w:val="nl-NL"/>
        </w:rPr>
      </w:pPr>
      <w:r w:rsidRPr="00A45D61">
        <w:rPr>
          <w:b/>
          <w:bCs/>
          <w:lang w:val="nl-NL"/>
        </w:rPr>
        <w:t>4. De analytische en preventieve laag</w:t>
      </w:r>
    </w:p>
    <w:p w14:paraId="7E6CCA6D" w14:textId="77777777" w:rsidR="00A45D61" w:rsidRPr="00A45D61" w:rsidRDefault="00A45D61" w:rsidP="00A45D61">
      <w:pPr>
        <w:rPr>
          <w:lang w:val="nl-NL"/>
        </w:rPr>
      </w:pPr>
      <w:r w:rsidRPr="00A45D61">
        <w:rPr>
          <w:lang w:val="nl-NL"/>
        </w:rPr>
        <w:t xml:space="preserve">De Office maakt ook geen zuiver “case-based” systeem. Zij publiceert </w:t>
      </w:r>
      <w:r w:rsidRPr="00A45D61">
        <w:rPr>
          <w:b/>
          <w:bCs/>
          <w:lang w:val="nl-NL"/>
        </w:rPr>
        <w:t>analytical reviews</w:t>
      </w:r>
      <w:r w:rsidRPr="00A45D61">
        <w:rPr>
          <w:lang w:val="nl-NL"/>
        </w:rPr>
        <w:t xml:space="preserve"> en organiseert de reeks </w:t>
      </w:r>
      <w:r w:rsidRPr="00A45D61">
        <w:rPr>
          <w:b/>
          <w:bCs/>
          <w:lang w:val="nl-NL"/>
        </w:rPr>
        <w:t>Responsible Research Barometer</w:t>
      </w:r>
      <w:r w:rsidRPr="00A45D61">
        <w:rPr>
          <w:lang w:val="nl-NL"/>
        </w:rPr>
        <w:t xml:space="preserve">-onderzoeken. Er zijn officiële publicaties en oproepen voor de barometer van </w:t>
      </w:r>
      <w:r w:rsidRPr="00A45D61">
        <w:rPr>
          <w:b/>
          <w:bCs/>
          <w:lang w:val="nl-NL"/>
        </w:rPr>
        <w:t>2020</w:t>
      </w:r>
      <w:r w:rsidRPr="00A45D61">
        <w:rPr>
          <w:lang w:val="nl-NL"/>
        </w:rPr>
        <w:t xml:space="preserve">, </w:t>
      </w:r>
      <w:r w:rsidRPr="00A45D61">
        <w:rPr>
          <w:b/>
          <w:bCs/>
          <w:lang w:val="nl-NL"/>
        </w:rPr>
        <w:t>2022</w:t>
      </w:r>
      <w:r w:rsidRPr="00A45D61">
        <w:rPr>
          <w:lang w:val="nl-NL"/>
        </w:rPr>
        <w:t xml:space="preserve">, </w:t>
      </w:r>
      <w:r w:rsidRPr="00A45D61">
        <w:rPr>
          <w:b/>
          <w:bCs/>
          <w:lang w:val="nl-NL"/>
        </w:rPr>
        <w:t>2024</w:t>
      </w:r>
      <w:r w:rsidRPr="00A45D61">
        <w:rPr>
          <w:lang w:val="nl-NL"/>
        </w:rPr>
        <w:t xml:space="preserve"> en </w:t>
      </w:r>
      <w:r w:rsidRPr="00A45D61">
        <w:rPr>
          <w:b/>
          <w:bCs/>
          <w:lang w:val="nl-NL"/>
        </w:rPr>
        <w:t>2026</w:t>
      </w:r>
      <w:r w:rsidRPr="00A45D61">
        <w:rPr>
          <w:lang w:val="nl-NL"/>
        </w:rPr>
        <w:t xml:space="preserve">, en de Office beschrijft analytical reviews expliciet als studies waarmee systematisch wordt nagegaan in welke mate instellingen voldoen aan academic-ethics provisions. </w:t>
      </w:r>
      <w:r w:rsidRPr="00A45D61">
        <w:rPr>
          <w:lang w:val="nl-NL"/>
        </w:rPr>
        <w:lastRenderedPageBreak/>
        <w:t xml:space="preserve">Daarmee krijg je in Litouwen een nationaal systeem dat niet alleen normeert en onderzoekt, maar ook </w:t>
      </w:r>
      <w:r w:rsidRPr="00A45D61">
        <w:rPr>
          <w:b/>
          <w:bCs/>
          <w:lang w:val="nl-NL"/>
        </w:rPr>
        <w:t>monitort</w:t>
      </w:r>
      <w:r w:rsidRPr="00A45D61">
        <w:rPr>
          <w:lang w:val="nl-NL"/>
        </w:rPr>
        <w:t xml:space="preserve"> en </w:t>
      </w:r>
      <w:r w:rsidRPr="00A45D61">
        <w:rPr>
          <w:b/>
          <w:bCs/>
          <w:lang w:val="nl-NL"/>
        </w:rPr>
        <w:t>meet</w:t>
      </w:r>
      <w:r w:rsidRPr="00A45D61">
        <w:rPr>
          <w:lang w:val="nl-NL"/>
        </w:rPr>
        <w:t>. (</w:t>
      </w:r>
      <w:hyperlink r:id="rId12" w:tooltip="https://etikostarnyba.lt/en/the-report-of-the-survey-responsible-research-barometer-2020-has-been-published/" w:history="1">
        <w:r w:rsidRPr="00A45D61">
          <w:rPr>
            <w:rStyle w:val="Hyperlink"/>
            <w:lang w:val="nl-NL"/>
          </w:rPr>
          <w:t>etikostarnyba.lt</w:t>
        </w:r>
      </w:hyperlink>
      <w:r w:rsidRPr="00A45D61">
        <w:rPr>
          <w:lang w:val="nl-NL"/>
        </w:rPr>
        <w:t>)</w:t>
      </w:r>
    </w:p>
    <w:p w14:paraId="2E9EB807" w14:textId="77777777" w:rsidR="00A45D61" w:rsidRPr="00A45D61" w:rsidRDefault="00A45D61" w:rsidP="00A45D61">
      <w:pPr>
        <w:rPr>
          <w:lang w:val="nl-NL"/>
        </w:rPr>
      </w:pPr>
      <w:r w:rsidRPr="00A45D61">
        <w:rPr>
          <w:lang w:val="nl-NL"/>
        </w:rPr>
        <w:t xml:space="preserve">Voor jouw bronverzameling betekent dit dat Litouwen waarschijnlijk een bijzonder rijke map krijgt met </w:t>
      </w:r>
      <w:r w:rsidRPr="00A45D61">
        <w:rPr>
          <w:b/>
          <w:bCs/>
          <w:lang w:val="nl-NL"/>
        </w:rPr>
        <w:t>meta-bronnen</w:t>
      </w:r>
      <w:r w:rsidRPr="00A45D61">
        <w:rPr>
          <w:lang w:val="nl-NL"/>
        </w:rPr>
        <w:t xml:space="preserve">: niet alleen regels en cases, maar ook barometers, surveys, compliance-monitoring en sectoranalyses. Dat maakt Litouwen heel geschikt als casus om te laten zien hoe een land een research-integrity systeem ook kan bouwen via </w:t>
      </w:r>
      <w:r w:rsidRPr="00A45D61">
        <w:rPr>
          <w:b/>
          <w:bCs/>
          <w:lang w:val="nl-NL"/>
        </w:rPr>
        <w:t>knowledge production about the system itself</w:t>
      </w:r>
      <w:r w:rsidRPr="00A45D61">
        <w:rPr>
          <w:lang w:val="nl-NL"/>
        </w:rPr>
        <w:t>. (</w:t>
      </w:r>
      <w:hyperlink r:id="rId13" w:tooltip="https://etikostarnyba.lt/en/analytical-reviews/" w:history="1">
        <w:r w:rsidRPr="00A45D61">
          <w:rPr>
            <w:rStyle w:val="Hyperlink"/>
            <w:lang w:val="nl-NL"/>
          </w:rPr>
          <w:t>etikostarnyba.lt</w:t>
        </w:r>
      </w:hyperlink>
      <w:r w:rsidRPr="00A45D61">
        <w:rPr>
          <w:lang w:val="nl-NL"/>
        </w:rPr>
        <w:t>)</w:t>
      </w:r>
    </w:p>
    <w:p w14:paraId="1A06A4E9" w14:textId="77777777" w:rsidR="00A45D61" w:rsidRPr="00A45D61" w:rsidRDefault="00A45D61" w:rsidP="00A45D61">
      <w:pPr>
        <w:rPr>
          <w:b/>
          <w:bCs/>
          <w:lang w:val="nl-NL"/>
        </w:rPr>
      </w:pPr>
      <w:r w:rsidRPr="00A45D61">
        <w:rPr>
          <w:b/>
          <w:bCs/>
          <w:lang w:val="nl-NL"/>
        </w:rPr>
        <w:t>5. De Research Council of Lithuania als funder- en ethics-laag</w:t>
      </w:r>
    </w:p>
    <w:p w14:paraId="0BF1333F" w14:textId="77777777" w:rsidR="00A45D61" w:rsidRPr="00A45D61" w:rsidRDefault="00A45D61" w:rsidP="00A45D61">
      <w:pPr>
        <w:rPr>
          <w:lang w:val="nl-NL"/>
        </w:rPr>
      </w:pPr>
      <w:r w:rsidRPr="00A45D61">
        <w:rPr>
          <w:lang w:val="nl-NL"/>
        </w:rPr>
        <w:t xml:space="preserve">Naast de Office staat de </w:t>
      </w:r>
      <w:r w:rsidRPr="00A45D61">
        <w:rPr>
          <w:b/>
          <w:bCs/>
          <w:lang w:val="nl-NL"/>
        </w:rPr>
        <w:t>Research Council of Lithuania (RCL/LMT)</w:t>
      </w:r>
      <w:r w:rsidRPr="00A45D61">
        <w:rPr>
          <w:lang w:val="nl-NL"/>
        </w:rPr>
        <w:t xml:space="preserve"> als tweede duidelijke nationale actor. Op de officiële Engelstalige RCL-pagina staat dat de </w:t>
      </w:r>
      <w:r w:rsidRPr="00A45D61">
        <w:rPr>
          <w:b/>
          <w:bCs/>
          <w:lang w:val="nl-NL"/>
        </w:rPr>
        <w:t>Research Ethics Committee</w:t>
      </w:r>
      <w:r w:rsidRPr="00A45D61">
        <w:rPr>
          <w:lang w:val="nl-NL"/>
        </w:rPr>
        <w:t xml:space="preserve"> een </w:t>
      </w:r>
      <w:r w:rsidRPr="00A45D61">
        <w:rPr>
          <w:b/>
          <w:bCs/>
          <w:lang w:val="nl-NL"/>
        </w:rPr>
        <w:t>permanent committee</w:t>
      </w:r>
      <w:r w:rsidRPr="00A45D61">
        <w:rPr>
          <w:lang w:val="nl-NL"/>
        </w:rPr>
        <w:t xml:space="preserve"> is van de Council. Die commissie beoordeelt wetgevingsinitiatieven en andere documenten over research ethics, adviseert de RCL-chair, en bekijkt meldingen over mogelijke ethische overtredingen in </w:t>
      </w:r>
      <w:r w:rsidRPr="00A45D61">
        <w:rPr>
          <w:b/>
          <w:bCs/>
          <w:lang w:val="nl-NL"/>
        </w:rPr>
        <w:t>funding applications</w:t>
      </w:r>
      <w:r w:rsidRPr="00A45D61">
        <w:rPr>
          <w:lang w:val="nl-NL"/>
        </w:rPr>
        <w:t xml:space="preserve">, </w:t>
      </w:r>
      <w:r w:rsidRPr="00A45D61">
        <w:rPr>
          <w:b/>
          <w:bCs/>
          <w:lang w:val="nl-NL"/>
        </w:rPr>
        <w:t>project reports</w:t>
      </w:r>
      <w:r w:rsidRPr="00A45D61">
        <w:rPr>
          <w:lang w:val="nl-NL"/>
        </w:rPr>
        <w:t xml:space="preserve">, en zelfs materialen voor de </w:t>
      </w:r>
      <w:r w:rsidRPr="00A45D61">
        <w:rPr>
          <w:b/>
          <w:bCs/>
          <w:lang w:val="nl-NL"/>
        </w:rPr>
        <w:t>annual and/or comparative evaluation of research and higher education institutions</w:t>
      </w:r>
      <w:r w:rsidRPr="00A45D61">
        <w:rPr>
          <w:lang w:val="nl-NL"/>
        </w:rPr>
        <w:t xml:space="preserve">. De commissie telt </w:t>
      </w:r>
      <w:r w:rsidRPr="00A45D61">
        <w:rPr>
          <w:b/>
          <w:bCs/>
          <w:lang w:val="nl-NL"/>
        </w:rPr>
        <w:t>negen leden</w:t>
      </w:r>
      <w:r w:rsidRPr="00A45D61">
        <w:rPr>
          <w:lang w:val="nl-NL"/>
        </w:rPr>
        <w:t xml:space="preserve"> en haar samenstelling wordt door de chairman goedgekeurd. (</w:t>
      </w:r>
      <w:hyperlink r:id="rId14" w:tooltip="https://lmt.lrv.lt/en/science-quality/the-scientific-research-ethics-committee-of-the-research-council-of-lithuania/" w:history="1">
        <w:r w:rsidRPr="00A45D61">
          <w:rPr>
            <w:rStyle w:val="Hyperlink"/>
            <w:lang w:val="nl-NL"/>
          </w:rPr>
          <w:t>lmt.lrv.lt</w:t>
        </w:r>
      </w:hyperlink>
      <w:r w:rsidRPr="00A45D61">
        <w:rPr>
          <w:lang w:val="nl-NL"/>
        </w:rPr>
        <w:t>)</w:t>
      </w:r>
    </w:p>
    <w:p w14:paraId="3F47BEFE" w14:textId="77777777" w:rsidR="00A45D61" w:rsidRPr="00A45D61" w:rsidRDefault="00A45D61" w:rsidP="00A45D61">
      <w:pPr>
        <w:rPr>
          <w:lang w:val="nl-NL"/>
        </w:rPr>
      </w:pPr>
      <w:r w:rsidRPr="00A45D61">
        <w:rPr>
          <w:lang w:val="nl-NL"/>
        </w:rPr>
        <w:t xml:space="preserve">Dat is voor jouw kaart heel belangrijk, want dit is geen algemene nationale ombudsperson, maar een </w:t>
      </w:r>
      <w:r w:rsidRPr="00A45D61">
        <w:rPr>
          <w:b/>
          <w:bCs/>
          <w:lang w:val="nl-NL"/>
        </w:rPr>
        <w:t>funder-embedded ethics mechanism</w:t>
      </w:r>
      <w:r w:rsidRPr="00A45D61">
        <w:rPr>
          <w:lang w:val="nl-NL"/>
        </w:rPr>
        <w:t xml:space="preserve">. Nog belangrijker: de RCL-funding rules bevatten ook een echte compliance/sanction-laag. In de General Rules for Competitive Funding staat dat wanneer door een definitieve beslissing wordt vastgesteld dat iemand een ernstige schending van academic ethics heeft begaan, voorstellen waarin die persoon principal investigator of andere key implementer is, gedurende </w:t>
      </w:r>
      <w:r w:rsidRPr="00A45D61">
        <w:rPr>
          <w:b/>
          <w:bCs/>
          <w:lang w:val="nl-NL"/>
        </w:rPr>
        <w:t>vijf jaar</w:t>
      </w:r>
      <w:r w:rsidRPr="00A45D61">
        <w:rPr>
          <w:lang w:val="nl-NL"/>
        </w:rPr>
        <w:t xml:space="preserve"> niet in aanmerking komen voor programma’s of instrumenten die door de Council worden beheerd. Litouwen heeft dus niet alleen een ombudsperson, maar ook een </w:t>
      </w:r>
      <w:r w:rsidRPr="00A45D61">
        <w:rPr>
          <w:b/>
          <w:bCs/>
          <w:lang w:val="nl-NL"/>
        </w:rPr>
        <w:t>funder-enforcement layer</w:t>
      </w:r>
      <w:r w:rsidRPr="00A45D61">
        <w:rPr>
          <w:lang w:val="nl-NL"/>
        </w:rPr>
        <w:t>. (</w:t>
      </w:r>
      <w:hyperlink r:id="rId15" w:tooltip="https://lmt.lrv.lt/public/canonical/1724934441/3308/The%20General%20Rules%20of%20the%20Research%20Council%20of%20Lithuania%20for%20the%20Competitive%20Funding%20of%20Research%20and%20Dissemination%20Projects.pdf" w:history="1">
        <w:r w:rsidRPr="00A45D61">
          <w:rPr>
            <w:rStyle w:val="Hyperlink"/>
            <w:lang w:val="nl-NL"/>
          </w:rPr>
          <w:t>lmt.lrv.lt</w:t>
        </w:r>
      </w:hyperlink>
      <w:r w:rsidRPr="00A45D61">
        <w:rPr>
          <w:lang w:val="nl-NL"/>
        </w:rPr>
        <w:t>)</w:t>
      </w:r>
    </w:p>
    <w:p w14:paraId="3E76FE93" w14:textId="77777777" w:rsidR="00A45D61" w:rsidRPr="00A45D61" w:rsidRDefault="00A45D61" w:rsidP="00A45D61">
      <w:pPr>
        <w:rPr>
          <w:b/>
          <w:bCs/>
          <w:lang w:val="nl-NL"/>
        </w:rPr>
      </w:pPr>
      <w:r w:rsidRPr="00A45D61">
        <w:rPr>
          <w:b/>
          <w:bCs/>
          <w:lang w:val="nl-NL"/>
        </w:rPr>
        <w:t>6. De institutionele laag: codes, commissies en review boards</w:t>
      </w:r>
    </w:p>
    <w:p w14:paraId="7611213E" w14:textId="77777777" w:rsidR="00A45D61" w:rsidRPr="00A45D61" w:rsidRDefault="00A45D61" w:rsidP="00A45D61">
      <w:pPr>
        <w:rPr>
          <w:lang w:val="nl-NL"/>
        </w:rPr>
      </w:pPr>
      <w:r w:rsidRPr="00A45D61">
        <w:rPr>
          <w:lang w:val="nl-NL"/>
        </w:rPr>
        <w:t xml:space="preserve">Op instellingsniveau lijkt Litouwen sterk op een stelsel van </w:t>
      </w:r>
      <w:r w:rsidRPr="00A45D61">
        <w:rPr>
          <w:b/>
          <w:bCs/>
          <w:lang w:val="nl-NL"/>
        </w:rPr>
        <w:t>eigen codes en commissies</w:t>
      </w:r>
      <w:r w:rsidRPr="00A45D61">
        <w:rPr>
          <w:lang w:val="nl-NL"/>
        </w:rPr>
        <w:t xml:space="preserve">, maar dan veel zichtbaarder gekoppeld aan nationale Office-richtlijnen. De officiële SKVC-klachtenpagina laat dat goed zien: voor academic ethics issues zoals </w:t>
      </w:r>
      <w:r w:rsidRPr="00A45D61">
        <w:rPr>
          <w:b/>
          <w:bCs/>
          <w:lang w:val="nl-NL"/>
        </w:rPr>
        <w:t>academic dishonesty, plagiarism, unfair assessment</w:t>
      </w:r>
      <w:r w:rsidRPr="00A45D61">
        <w:rPr>
          <w:lang w:val="nl-NL"/>
        </w:rPr>
        <w:t xml:space="preserve"> moet je eerst naar de </w:t>
      </w:r>
      <w:r w:rsidRPr="00A45D61">
        <w:rPr>
          <w:b/>
          <w:bCs/>
          <w:lang w:val="nl-NL"/>
        </w:rPr>
        <w:t>higher education institution’s Dispute Resolutions and Academic Ethics commission</w:t>
      </w:r>
      <w:r w:rsidRPr="00A45D61">
        <w:rPr>
          <w:lang w:val="nl-NL"/>
        </w:rPr>
        <w:t xml:space="preserve">; als je het met die beslissing niet eens bent, wijst SKVC vervolgens door naar de </w:t>
      </w:r>
      <w:r w:rsidRPr="00A45D61">
        <w:rPr>
          <w:b/>
          <w:bCs/>
          <w:lang w:val="nl-NL"/>
        </w:rPr>
        <w:t>Office of the Ombudsperson</w:t>
      </w:r>
      <w:r w:rsidRPr="00A45D61">
        <w:rPr>
          <w:lang w:val="nl-NL"/>
        </w:rPr>
        <w:t xml:space="preserve"> of de rechter. Dat ene document is voor jouw project heel waardevol, omdat het de </w:t>
      </w:r>
      <w:r w:rsidRPr="00A45D61">
        <w:rPr>
          <w:b/>
          <w:bCs/>
          <w:lang w:val="nl-NL"/>
        </w:rPr>
        <w:t>procedurele hiërarchie</w:t>
      </w:r>
      <w:r w:rsidRPr="00A45D61">
        <w:rPr>
          <w:lang w:val="nl-NL"/>
        </w:rPr>
        <w:t xml:space="preserve"> laat zien tussen instelling, ombudsperson en rechter. (</w:t>
      </w:r>
      <w:hyperlink r:id="rId16" w:tooltip="https://skvc.lrv.lt/en/quality-assurance/complaints-on-the-quality-of-studies/" w:history="1">
        <w:r w:rsidRPr="00A45D61">
          <w:rPr>
            <w:rStyle w:val="Hyperlink"/>
            <w:lang w:val="nl-NL"/>
          </w:rPr>
          <w:t>skvc.lrv.lt</w:t>
        </w:r>
      </w:hyperlink>
      <w:r w:rsidRPr="00A45D61">
        <w:rPr>
          <w:lang w:val="nl-NL"/>
        </w:rPr>
        <w:t>)</w:t>
      </w:r>
    </w:p>
    <w:p w14:paraId="0A35518C" w14:textId="77777777" w:rsidR="00A45D61" w:rsidRPr="00A45D61" w:rsidRDefault="00A45D61" w:rsidP="00A45D61">
      <w:pPr>
        <w:rPr>
          <w:lang w:val="nl-NL"/>
        </w:rPr>
      </w:pPr>
      <w:r w:rsidRPr="00A45D61">
        <w:rPr>
          <w:lang w:val="nl-NL"/>
        </w:rPr>
        <w:lastRenderedPageBreak/>
        <w:t xml:space="preserve">De universiteitsbronnen bevestigen dat patroon. </w:t>
      </w:r>
      <w:r w:rsidRPr="00A45D61">
        <w:rPr>
          <w:b/>
          <w:bCs/>
          <w:lang w:val="nl-NL"/>
        </w:rPr>
        <w:t>Vilnius University</w:t>
      </w:r>
      <w:r w:rsidRPr="00A45D61">
        <w:rPr>
          <w:lang w:val="nl-NL"/>
        </w:rPr>
        <w:t xml:space="preserve"> heeft een pagina “Research Ethics and Integrity” die niet alleen naar nationale wetgeving verwijst, maar ook naar de </w:t>
      </w:r>
      <w:r w:rsidRPr="00A45D61">
        <w:rPr>
          <w:b/>
          <w:bCs/>
          <w:lang w:val="nl-NL"/>
        </w:rPr>
        <w:t>Code of Academic Ethics of Vilnius University</w:t>
      </w:r>
      <w:r w:rsidRPr="00A45D61">
        <w:rPr>
          <w:lang w:val="nl-NL"/>
        </w:rPr>
        <w:t xml:space="preserve">, de </w:t>
      </w:r>
      <w:r w:rsidRPr="00A45D61">
        <w:rPr>
          <w:b/>
          <w:bCs/>
          <w:lang w:val="nl-NL"/>
        </w:rPr>
        <w:t>Regulations of the Academic Ethics Commission of Core Academic Units</w:t>
      </w:r>
      <w:r w:rsidRPr="00A45D61">
        <w:rPr>
          <w:lang w:val="nl-NL"/>
        </w:rPr>
        <w:t xml:space="preserve">, een eigen </w:t>
      </w:r>
      <w:r w:rsidRPr="00A45D61">
        <w:rPr>
          <w:b/>
          <w:bCs/>
          <w:lang w:val="nl-NL"/>
        </w:rPr>
        <w:t>Committee on Academic Ethics</w:t>
      </w:r>
      <w:r w:rsidRPr="00A45D61">
        <w:rPr>
          <w:lang w:val="nl-NL"/>
        </w:rPr>
        <w:t xml:space="preserve">, de </w:t>
      </w:r>
      <w:r w:rsidRPr="00A45D61">
        <w:rPr>
          <w:b/>
          <w:bCs/>
          <w:lang w:val="nl-NL"/>
        </w:rPr>
        <w:t>Vilnius Regional Bioethics Committee</w:t>
      </w:r>
      <w:r w:rsidRPr="00A45D61">
        <w:rPr>
          <w:lang w:val="nl-NL"/>
        </w:rPr>
        <w:t xml:space="preserve"> en de </w:t>
      </w:r>
      <w:r w:rsidRPr="00A45D61">
        <w:rPr>
          <w:b/>
          <w:bCs/>
          <w:lang w:val="nl-NL"/>
        </w:rPr>
        <w:t>Lithuanian Bioethics Committee</w:t>
      </w:r>
      <w:r w:rsidRPr="00A45D61">
        <w:rPr>
          <w:lang w:val="nl-NL"/>
        </w:rPr>
        <w:t xml:space="preserve">. Alleen al die ene VU-pagina laat zien dat je in Litouwen per instelling een bundel van </w:t>
      </w:r>
      <w:r w:rsidRPr="00A45D61">
        <w:rPr>
          <w:b/>
          <w:bCs/>
          <w:lang w:val="nl-NL"/>
        </w:rPr>
        <w:t>interne en externe ethics-actoren</w:t>
      </w:r>
      <w:r w:rsidRPr="00A45D61">
        <w:rPr>
          <w:lang w:val="nl-NL"/>
        </w:rPr>
        <w:t xml:space="preserve"> moet documenteren. (</w:t>
      </w:r>
      <w:hyperlink r:id="rId17" w:tooltip="https://www.gmc.vu.lt/en/research/research-ethics-and-integrity" w:history="1">
        <w:r w:rsidRPr="00A45D61">
          <w:rPr>
            <w:rStyle w:val="Hyperlink"/>
            <w:lang w:val="nl-NL"/>
          </w:rPr>
          <w:t>Gyvybės mokslų centras</w:t>
        </w:r>
      </w:hyperlink>
      <w:r w:rsidRPr="00A45D61">
        <w:rPr>
          <w:lang w:val="nl-NL"/>
        </w:rPr>
        <w:t>)</w:t>
      </w:r>
    </w:p>
    <w:p w14:paraId="3A860B73" w14:textId="77777777" w:rsidR="00A45D61" w:rsidRPr="00A45D61" w:rsidRDefault="00A45D61" w:rsidP="00A45D61">
      <w:pPr>
        <w:rPr>
          <w:lang w:val="nl-NL"/>
        </w:rPr>
      </w:pPr>
      <w:r w:rsidRPr="00A45D61">
        <w:rPr>
          <w:b/>
          <w:bCs/>
          <w:lang w:val="nl-NL"/>
        </w:rPr>
        <w:t>Kaunas University of Technology</w:t>
      </w:r>
      <w:r w:rsidRPr="00A45D61">
        <w:rPr>
          <w:lang w:val="nl-NL"/>
        </w:rPr>
        <w:t xml:space="preserve"> laat nog scherper zien hoe de institutionele laag wordt opgebouwd. KTU heeft een </w:t>
      </w:r>
      <w:r w:rsidRPr="00A45D61">
        <w:rPr>
          <w:b/>
          <w:bCs/>
          <w:lang w:val="nl-NL"/>
        </w:rPr>
        <w:t>Code of Academic Ethics</w:t>
      </w:r>
      <w:r w:rsidRPr="00A45D61">
        <w:rPr>
          <w:lang w:val="nl-NL"/>
        </w:rPr>
        <w:t xml:space="preserve">, gemonitord door een </w:t>
      </w:r>
      <w:r w:rsidRPr="00A45D61">
        <w:rPr>
          <w:b/>
          <w:bCs/>
          <w:lang w:val="nl-NL"/>
        </w:rPr>
        <w:t>Board of Academic Ethics</w:t>
      </w:r>
      <w:r w:rsidRPr="00A45D61">
        <w:rPr>
          <w:lang w:val="nl-NL"/>
        </w:rPr>
        <w:t xml:space="preserve">; die Board onderzoekt klachten binnen zijn competentie, beslist in besloten zitting en moet ook een </w:t>
      </w:r>
      <w:r w:rsidRPr="00A45D61">
        <w:rPr>
          <w:b/>
          <w:bCs/>
          <w:lang w:val="nl-NL"/>
        </w:rPr>
        <w:t>annual report</w:t>
      </w:r>
      <w:r w:rsidRPr="00A45D61">
        <w:rPr>
          <w:lang w:val="nl-NL"/>
        </w:rPr>
        <w:t xml:space="preserve"> publiceren. Daarnaast heeft KTU een aparte </w:t>
      </w:r>
      <w:r w:rsidRPr="00A45D61">
        <w:rPr>
          <w:b/>
          <w:bCs/>
          <w:lang w:val="nl-NL"/>
        </w:rPr>
        <w:t>Research Ethics Commission</w:t>
      </w:r>
      <w:r w:rsidRPr="00A45D61">
        <w:rPr>
          <w:lang w:val="nl-NL"/>
        </w:rPr>
        <w:t xml:space="preserve"> voor planned research involving human participants or personal data, terwijl biomedical research juist naar de </w:t>
      </w:r>
      <w:r w:rsidRPr="00A45D61">
        <w:rPr>
          <w:b/>
          <w:bCs/>
          <w:lang w:val="nl-NL"/>
        </w:rPr>
        <w:t>Lithuanian Bioethics Committee</w:t>
      </w:r>
      <w:r w:rsidRPr="00A45D61">
        <w:rPr>
          <w:lang w:val="nl-NL"/>
        </w:rPr>
        <w:t xml:space="preserve"> of de regionale biomedical committees moet. De KTU-pagina zegt bovendien expliciet dat de activiteiten van die Commission zijn ingericht met inachtneming van de </w:t>
      </w:r>
      <w:r w:rsidRPr="00A45D61">
        <w:rPr>
          <w:b/>
          <w:bCs/>
          <w:lang w:val="nl-NL"/>
        </w:rPr>
        <w:t>Guidelines for Ethical Review</w:t>
      </w:r>
      <w:r w:rsidRPr="00A45D61">
        <w:rPr>
          <w:lang w:val="nl-NL"/>
        </w:rPr>
        <w:t xml:space="preserve"> van de nationale Ombudsperson. (</w:t>
      </w:r>
      <w:hyperlink r:id="rId18" w:tooltip="https://en.ktu.edu/documents/code-of-academic-ethics/" w:history="1">
        <w:r w:rsidRPr="00A45D61">
          <w:rPr>
            <w:rStyle w:val="Hyperlink"/>
            <w:lang w:val="nl-NL"/>
          </w:rPr>
          <w:t>Kaunas University of Technology</w:t>
        </w:r>
      </w:hyperlink>
      <w:r w:rsidRPr="00A45D61">
        <w:rPr>
          <w:lang w:val="nl-NL"/>
        </w:rPr>
        <w:t>)</w:t>
      </w:r>
    </w:p>
    <w:p w14:paraId="43721F55" w14:textId="77777777" w:rsidR="00A45D61" w:rsidRPr="00A45D61" w:rsidRDefault="00A45D61" w:rsidP="00A45D61">
      <w:pPr>
        <w:rPr>
          <w:lang w:val="nl-NL"/>
        </w:rPr>
      </w:pPr>
      <w:r w:rsidRPr="00A45D61">
        <w:rPr>
          <w:b/>
          <w:bCs/>
          <w:lang w:val="nl-NL"/>
        </w:rPr>
        <w:t>LSMU</w:t>
      </w:r>
      <w:r w:rsidRPr="00A45D61">
        <w:rPr>
          <w:lang w:val="nl-NL"/>
        </w:rPr>
        <w:t xml:space="preserve"> voegt daar nog een medisch en biowetenschappelijk profiel aan toe. Op de LSMU-pagina “Important documents” staan onder “Academic ethics” in elk geval de </w:t>
      </w:r>
      <w:r w:rsidRPr="00A45D61">
        <w:rPr>
          <w:b/>
          <w:bCs/>
          <w:lang w:val="nl-NL"/>
        </w:rPr>
        <w:t>Code of Ethics</w:t>
      </w:r>
      <w:r w:rsidRPr="00A45D61">
        <w:rPr>
          <w:lang w:val="nl-NL"/>
        </w:rPr>
        <w:t xml:space="preserve"> en de </w:t>
      </w:r>
      <w:r w:rsidRPr="00A45D61">
        <w:rPr>
          <w:b/>
          <w:bCs/>
          <w:lang w:val="nl-NL"/>
        </w:rPr>
        <w:t>Procedure for the Analysis of Disputes</w:t>
      </w:r>
      <w:r w:rsidRPr="00A45D61">
        <w:rPr>
          <w:lang w:val="nl-NL"/>
        </w:rPr>
        <w:t xml:space="preserve">. Tegelijk draait binnen het </w:t>
      </w:r>
      <w:r w:rsidRPr="00A45D61">
        <w:rPr>
          <w:b/>
          <w:bCs/>
          <w:lang w:val="nl-NL"/>
        </w:rPr>
        <w:t>Bioethics Centre</w:t>
      </w:r>
      <w:r w:rsidRPr="00A45D61">
        <w:rPr>
          <w:lang w:val="nl-NL"/>
        </w:rPr>
        <w:t xml:space="preserve"> een systeem van </w:t>
      </w:r>
      <w:r w:rsidRPr="00A45D61">
        <w:rPr>
          <w:b/>
          <w:bCs/>
          <w:lang w:val="nl-NL"/>
        </w:rPr>
        <w:t>drie Research Ethics Compliance Committees</w:t>
      </w:r>
      <w:r w:rsidRPr="00A45D61">
        <w:rPr>
          <w:lang w:val="nl-NL"/>
        </w:rPr>
        <w:t xml:space="preserve"> onder één geharmoniseerd kader: één voor Medicine/Health/Natural/Technology Sciences, één voor Veterinary/Animal/Agricultural Sciences, en één voor Social Sciences and Humanities. Dat is precies het soort interne differentiatie dat je later in andere landen wilt kunnen herkennen. (</w:t>
      </w:r>
      <w:hyperlink r:id="rId19" w:tooltip="https://lsmu.lt/en/important-documents/" w:history="1">
        <w:r w:rsidRPr="00A45D61">
          <w:rPr>
            <w:rStyle w:val="Hyperlink"/>
            <w:lang w:val="nl-NL"/>
          </w:rPr>
          <w:t>LSMU</w:t>
        </w:r>
      </w:hyperlink>
      <w:r w:rsidRPr="00A45D61">
        <w:rPr>
          <w:lang w:val="nl-NL"/>
        </w:rPr>
        <w:t>)</w:t>
      </w:r>
    </w:p>
    <w:p w14:paraId="0C28D095" w14:textId="77777777" w:rsidR="00A45D61" w:rsidRPr="00A45D61" w:rsidRDefault="00A45D61" w:rsidP="00A45D61">
      <w:pPr>
        <w:rPr>
          <w:b/>
          <w:bCs/>
          <w:lang w:val="nl-NL"/>
        </w:rPr>
      </w:pPr>
      <w:r w:rsidRPr="00A45D61">
        <w:rPr>
          <w:b/>
          <w:bCs/>
          <w:lang w:val="nl-NL"/>
        </w:rPr>
        <w:t>7. De regionale laag zit in Litouwen vooral in biomedical ethics</w:t>
      </w:r>
    </w:p>
    <w:p w14:paraId="14D6894C" w14:textId="77777777" w:rsidR="00A45D61" w:rsidRPr="00A45D61" w:rsidRDefault="00A45D61" w:rsidP="00A45D61">
      <w:pPr>
        <w:rPr>
          <w:lang w:val="nl-NL"/>
        </w:rPr>
      </w:pPr>
      <w:r w:rsidRPr="00A45D61">
        <w:rPr>
          <w:lang w:val="nl-NL"/>
        </w:rPr>
        <w:t xml:space="preserve">De duidelijkste </w:t>
      </w:r>
      <w:r w:rsidRPr="00A45D61">
        <w:rPr>
          <w:b/>
          <w:bCs/>
          <w:lang w:val="nl-NL"/>
        </w:rPr>
        <w:t>regionale</w:t>
      </w:r>
      <w:r w:rsidRPr="00A45D61">
        <w:rPr>
          <w:lang w:val="nl-NL"/>
        </w:rPr>
        <w:t xml:space="preserve"> laag in Litouwen zit niet in de algemene academic-ethics route, maar in </w:t>
      </w:r>
      <w:r w:rsidRPr="00A45D61">
        <w:rPr>
          <w:b/>
          <w:bCs/>
          <w:lang w:val="nl-NL"/>
        </w:rPr>
        <w:t>biomedical research ethics</w:t>
      </w:r>
      <w:r w:rsidRPr="00A45D61">
        <w:rPr>
          <w:lang w:val="nl-NL"/>
        </w:rPr>
        <w:t xml:space="preserve">. De </w:t>
      </w:r>
      <w:r w:rsidRPr="00A45D61">
        <w:rPr>
          <w:b/>
          <w:bCs/>
          <w:lang w:val="nl-NL"/>
        </w:rPr>
        <w:t>Lithuanian Bioethics Committee</w:t>
      </w:r>
      <w:r w:rsidRPr="00A45D61">
        <w:rPr>
          <w:lang w:val="nl-NL"/>
        </w:rPr>
        <w:t xml:space="preserve"> is een governmental institution, opgericht in </w:t>
      </w:r>
      <w:r w:rsidRPr="00A45D61">
        <w:rPr>
          <w:b/>
          <w:bCs/>
          <w:lang w:val="nl-NL"/>
        </w:rPr>
        <w:t>1995</w:t>
      </w:r>
      <w:r w:rsidRPr="00A45D61">
        <w:rPr>
          <w:lang w:val="nl-NL"/>
        </w:rPr>
        <w:t xml:space="preserve">, met als doel de bescherming van human rights and dignity in healthcare; zij is opgericht en statutair geregeld door het </w:t>
      </w:r>
      <w:r w:rsidRPr="00A45D61">
        <w:rPr>
          <w:b/>
          <w:bCs/>
          <w:lang w:val="nl-NL"/>
        </w:rPr>
        <w:t>Ministry of Health</w:t>
      </w:r>
      <w:r w:rsidRPr="00A45D61">
        <w:rPr>
          <w:lang w:val="nl-NL"/>
        </w:rPr>
        <w:t xml:space="preserve">. Daarnaast geeft de officiële bioethics-site aan dat de Lithuanian Bioethics Committee </w:t>
      </w:r>
      <w:r w:rsidRPr="00A45D61">
        <w:rPr>
          <w:b/>
          <w:bCs/>
          <w:lang w:val="nl-NL"/>
        </w:rPr>
        <w:t>methodological support</w:t>
      </w:r>
      <w:r w:rsidRPr="00A45D61">
        <w:rPr>
          <w:lang w:val="nl-NL"/>
        </w:rPr>
        <w:t xml:space="preserve"> biedt aan de regionale research ethics committees en dat regionaal georganiseerde projects hun approval juist bij de </w:t>
      </w:r>
      <w:r w:rsidRPr="00A45D61">
        <w:rPr>
          <w:b/>
          <w:bCs/>
          <w:lang w:val="nl-NL"/>
        </w:rPr>
        <w:t>regional committees</w:t>
      </w:r>
      <w:r w:rsidRPr="00A45D61">
        <w:rPr>
          <w:lang w:val="nl-NL"/>
        </w:rPr>
        <w:t xml:space="preserve"> krijgen. (</w:t>
      </w:r>
      <w:hyperlink r:id="rId20" w:tooltip="https://bioetika.lrv.lt/en/about-us/" w:history="1">
        <w:r w:rsidRPr="00A45D61">
          <w:rPr>
            <w:rStyle w:val="Hyperlink"/>
            <w:lang w:val="nl-NL"/>
          </w:rPr>
          <w:t>Lietuvos Bioetikos Komitetas</w:t>
        </w:r>
      </w:hyperlink>
      <w:r w:rsidRPr="00A45D61">
        <w:rPr>
          <w:lang w:val="nl-NL"/>
        </w:rPr>
        <w:t>)</w:t>
      </w:r>
    </w:p>
    <w:p w14:paraId="055DDFB0" w14:textId="77777777" w:rsidR="00A45D61" w:rsidRPr="00A45D61" w:rsidRDefault="00A45D61" w:rsidP="00A45D61">
      <w:pPr>
        <w:rPr>
          <w:lang w:val="nl-NL"/>
        </w:rPr>
      </w:pPr>
      <w:r w:rsidRPr="00A45D61">
        <w:rPr>
          <w:lang w:val="nl-NL"/>
        </w:rPr>
        <w:t xml:space="preserve">Ook historisch is deze laag goed gedocumenteerd. De officiële historical-overview pagina zegt dat de </w:t>
      </w:r>
      <w:r w:rsidRPr="00A45D61">
        <w:rPr>
          <w:b/>
          <w:bCs/>
          <w:lang w:val="nl-NL"/>
        </w:rPr>
        <w:t>Law on Ethics of Biomedical Research</w:t>
      </w:r>
      <w:r w:rsidRPr="00A45D61">
        <w:rPr>
          <w:lang w:val="nl-NL"/>
        </w:rPr>
        <w:t xml:space="preserve"> in </w:t>
      </w:r>
      <w:r w:rsidRPr="00A45D61">
        <w:rPr>
          <w:b/>
          <w:bCs/>
          <w:lang w:val="nl-NL"/>
        </w:rPr>
        <w:t>2001</w:t>
      </w:r>
      <w:r w:rsidRPr="00A45D61">
        <w:rPr>
          <w:lang w:val="nl-NL"/>
        </w:rPr>
        <w:t xml:space="preserve"> in werking trad en een </w:t>
      </w:r>
      <w:r w:rsidRPr="00A45D61">
        <w:rPr>
          <w:b/>
          <w:bCs/>
          <w:lang w:val="nl-NL"/>
        </w:rPr>
        <w:t>two-tier system of research ethics committees</w:t>
      </w:r>
      <w:r w:rsidRPr="00A45D61">
        <w:rPr>
          <w:lang w:val="nl-NL"/>
        </w:rPr>
        <w:t xml:space="preserve"> introduceerde. De bioethics-site </w:t>
      </w:r>
      <w:r w:rsidRPr="00A45D61">
        <w:rPr>
          <w:lang w:val="nl-NL"/>
        </w:rPr>
        <w:lastRenderedPageBreak/>
        <w:t xml:space="preserve">heeft bovendien aparte wetgevingspagina’s voor de activiteiten van de Lithuanian Bioethics Committee zelf, voor regional committees, voor other biomedical research, voor medical devices en voor medicinal-product trials. Voor jouw project is dit ideaal, omdat Litouwen hier een heel duidelijke set documenttypes heeft: </w:t>
      </w:r>
      <w:r w:rsidRPr="00A45D61">
        <w:rPr>
          <w:b/>
          <w:bCs/>
          <w:lang w:val="nl-NL"/>
        </w:rPr>
        <w:t>law</w:t>
      </w:r>
      <w:r w:rsidRPr="00A45D61">
        <w:rPr>
          <w:lang w:val="nl-NL"/>
        </w:rPr>
        <w:t xml:space="preserve">, </w:t>
      </w:r>
      <w:r w:rsidRPr="00A45D61">
        <w:rPr>
          <w:b/>
          <w:bCs/>
          <w:lang w:val="nl-NL"/>
        </w:rPr>
        <w:t>ministry decrees</w:t>
      </w:r>
      <w:r w:rsidRPr="00A45D61">
        <w:rPr>
          <w:lang w:val="nl-NL"/>
        </w:rPr>
        <w:t xml:space="preserve">, </w:t>
      </w:r>
      <w:r w:rsidRPr="00A45D61">
        <w:rPr>
          <w:b/>
          <w:bCs/>
          <w:lang w:val="nl-NL"/>
        </w:rPr>
        <w:t>approval procedures</w:t>
      </w:r>
      <w:r w:rsidRPr="00A45D61">
        <w:rPr>
          <w:lang w:val="nl-NL"/>
        </w:rPr>
        <w:t xml:space="preserve">, </w:t>
      </w:r>
      <w:r w:rsidRPr="00A45D61">
        <w:rPr>
          <w:b/>
          <w:bCs/>
          <w:lang w:val="nl-NL"/>
        </w:rPr>
        <w:t>committee statutes</w:t>
      </w:r>
      <w:r w:rsidRPr="00A45D61">
        <w:rPr>
          <w:lang w:val="nl-NL"/>
        </w:rPr>
        <w:t xml:space="preserve">, </w:t>
      </w:r>
      <w:r w:rsidRPr="00A45D61">
        <w:rPr>
          <w:b/>
          <w:bCs/>
          <w:lang w:val="nl-NL"/>
        </w:rPr>
        <w:t>jurisdiction rules</w:t>
      </w:r>
      <w:r w:rsidRPr="00A45D61">
        <w:rPr>
          <w:lang w:val="nl-NL"/>
        </w:rPr>
        <w:t xml:space="preserve"> en </w:t>
      </w:r>
      <w:r w:rsidRPr="00A45D61">
        <w:rPr>
          <w:b/>
          <w:bCs/>
          <w:lang w:val="nl-NL"/>
        </w:rPr>
        <w:t>expert-group composition</w:t>
      </w:r>
      <w:r w:rsidRPr="00A45D61">
        <w:rPr>
          <w:lang w:val="nl-NL"/>
        </w:rPr>
        <w:t>. (</w:t>
      </w:r>
      <w:hyperlink r:id="rId21" w:tooltip="https://bioetika.lrv.lt/en/biomedical-research/historical-overview/" w:history="1">
        <w:r w:rsidRPr="00A45D61">
          <w:rPr>
            <w:rStyle w:val="Hyperlink"/>
            <w:lang w:val="nl-NL"/>
          </w:rPr>
          <w:t>Lietuvos Bioetikos Komitetas</w:t>
        </w:r>
      </w:hyperlink>
      <w:r w:rsidRPr="00A45D61">
        <w:rPr>
          <w:lang w:val="nl-NL"/>
        </w:rPr>
        <w:t>)</w:t>
      </w:r>
    </w:p>
    <w:p w14:paraId="7D5B0374" w14:textId="77777777" w:rsidR="00A45D61" w:rsidRPr="00A45D61" w:rsidRDefault="00A45D61" w:rsidP="00A45D61">
      <w:pPr>
        <w:rPr>
          <w:lang w:val="nl-NL"/>
        </w:rPr>
      </w:pPr>
      <w:r w:rsidRPr="00A45D61">
        <w:rPr>
          <w:lang w:val="nl-NL"/>
        </w:rPr>
        <w:t xml:space="preserve">De rolverdeling binnen die biomedical laag is ook vrij precies. Volgens de bioethics-site worden approvals voor regionaal afgebakend biomedical research door de regional committees afgegeven; voor medicinal-product clinical trials ligt de scientific assessment en authorization bij de </w:t>
      </w:r>
      <w:r w:rsidRPr="00A45D61">
        <w:rPr>
          <w:b/>
          <w:bCs/>
          <w:lang w:val="nl-NL"/>
        </w:rPr>
        <w:t>State Medicines Control Agency</w:t>
      </w:r>
      <w:r w:rsidRPr="00A45D61">
        <w:rPr>
          <w:lang w:val="nl-NL"/>
        </w:rPr>
        <w:t xml:space="preserve">; en voor medical-device trials bij de </w:t>
      </w:r>
      <w:r w:rsidRPr="00A45D61">
        <w:rPr>
          <w:b/>
          <w:bCs/>
          <w:lang w:val="nl-NL"/>
        </w:rPr>
        <w:t>State Health Accreditation Agency</w:t>
      </w:r>
      <w:r w:rsidRPr="00A45D61">
        <w:rPr>
          <w:lang w:val="nl-NL"/>
        </w:rPr>
        <w:t xml:space="preserve">. Dat maakt de Litouwse biomedical ethics-laag veel meer dan “een ethics committee”: het is een </w:t>
      </w:r>
      <w:r w:rsidRPr="00A45D61">
        <w:rPr>
          <w:b/>
          <w:bCs/>
          <w:lang w:val="nl-NL"/>
        </w:rPr>
        <w:t>gespecialiseerd governance-regime</w:t>
      </w:r>
      <w:r w:rsidRPr="00A45D61">
        <w:rPr>
          <w:lang w:val="nl-NL"/>
        </w:rPr>
        <w:t xml:space="preserve"> met meerdere publieke autoriteiten. (</w:t>
      </w:r>
      <w:hyperlink r:id="rId22" w:tooltip="https://bioetika.lrv.lt/en/biomedical-research/issuing-approval-to-conduct-biomedical-research/" w:history="1">
        <w:r w:rsidRPr="00A45D61">
          <w:rPr>
            <w:rStyle w:val="Hyperlink"/>
            <w:lang w:val="nl-NL"/>
          </w:rPr>
          <w:t>Lietuvos Bioetikos Komitetas</w:t>
        </w:r>
      </w:hyperlink>
      <w:r w:rsidRPr="00A45D61">
        <w:rPr>
          <w:lang w:val="nl-NL"/>
        </w:rPr>
        <w:t>)</w:t>
      </w:r>
    </w:p>
    <w:p w14:paraId="27A072E7" w14:textId="77777777" w:rsidR="00A45D61" w:rsidRPr="00A45D61" w:rsidRDefault="00A45D61" w:rsidP="00A45D61">
      <w:pPr>
        <w:rPr>
          <w:lang w:val="nl-NL"/>
        </w:rPr>
      </w:pPr>
      <w:r w:rsidRPr="00A45D61">
        <w:rPr>
          <w:lang w:val="nl-NL"/>
        </w:rPr>
        <w:t xml:space="preserve">Een concreet regionaal voorbeeld is de </w:t>
      </w:r>
      <w:r w:rsidRPr="00A45D61">
        <w:rPr>
          <w:b/>
          <w:bCs/>
          <w:lang w:val="nl-NL"/>
        </w:rPr>
        <w:t>Kaunas Regional Biomedical Research Ethics Committee</w:t>
      </w:r>
      <w:r w:rsidRPr="00A45D61">
        <w:rPr>
          <w:lang w:val="nl-NL"/>
        </w:rPr>
        <w:t>. De officiële LSMU-pagina beschrijft die commissie als een unit van de Lithuanian Bioethics Committee under the Ministry of Health, met territoriale bevoegdheid voor meerdere counties. Ook de samenstelling is hybridisch: leden worden deels door de universiteit, deels door het ministerie en deels door patiëntenorganisaties benoemd. Voor jouw vergelijkende project is dit een mooi voorbeeld van hoe nationale, regionale en institutionele actoren in één commissie samenkomen. (</w:t>
      </w:r>
      <w:hyperlink r:id="rId23" w:tooltip="https://lsmu.lt/en/about-lsmu/structure/general-departments-of-the-university/other-departments/kaunas-regional-biomedical-research-ethics-committee/" w:history="1">
        <w:r w:rsidRPr="00A45D61">
          <w:rPr>
            <w:rStyle w:val="Hyperlink"/>
            <w:lang w:val="nl-NL"/>
          </w:rPr>
          <w:t>LSMU</w:t>
        </w:r>
      </w:hyperlink>
      <w:r w:rsidRPr="00A45D61">
        <w:rPr>
          <w:lang w:val="nl-NL"/>
        </w:rPr>
        <w:t>)</w:t>
      </w:r>
    </w:p>
    <w:p w14:paraId="5164C1D6" w14:textId="77777777" w:rsidR="00A45D61" w:rsidRPr="00A45D61" w:rsidRDefault="00A45D61" w:rsidP="00A45D61">
      <w:pPr>
        <w:rPr>
          <w:b/>
          <w:bCs/>
          <w:lang w:val="nl-NL"/>
        </w:rPr>
      </w:pPr>
      <w:r w:rsidRPr="00A45D61">
        <w:rPr>
          <w:b/>
          <w:bCs/>
          <w:lang w:val="nl-NL"/>
        </w:rPr>
        <w:t>8. De rand van het systeem: study quality en andere nationale bronnen</w:t>
      </w:r>
    </w:p>
    <w:p w14:paraId="216D183E" w14:textId="77777777" w:rsidR="00A45D61" w:rsidRPr="00A45D61" w:rsidRDefault="00A45D61" w:rsidP="00A45D61">
      <w:pPr>
        <w:rPr>
          <w:lang w:val="nl-NL"/>
        </w:rPr>
      </w:pPr>
      <w:r w:rsidRPr="00A45D61">
        <w:rPr>
          <w:lang w:val="nl-NL"/>
        </w:rPr>
        <w:t xml:space="preserve">Een belangrijke grens voor jouw kaart is de scheiding tussen </w:t>
      </w:r>
      <w:r w:rsidRPr="00A45D61">
        <w:rPr>
          <w:b/>
          <w:bCs/>
          <w:lang w:val="nl-NL"/>
        </w:rPr>
        <w:t>academic ethics/procedures</w:t>
      </w:r>
      <w:r w:rsidRPr="00A45D61">
        <w:rPr>
          <w:lang w:val="nl-NL"/>
        </w:rPr>
        <w:t xml:space="preserve"> en </w:t>
      </w:r>
      <w:r w:rsidRPr="00A45D61">
        <w:rPr>
          <w:b/>
          <w:bCs/>
          <w:lang w:val="nl-NL"/>
        </w:rPr>
        <w:t>study quality</w:t>
      </w:r>
      <w:r w:rsidRPr="00A45D61">
        <w:rPr>
          <w:lang w:val="nl-NL"/>
        </w:rPr>
        <w:t xml:space="preserve">. Die scheiding is in Litouwen zichtbaar via </w:t>
      </w:r>
      <w:r w:rsidRPr="00A45D61">
        <w:rPr>
          <w:b/>
          <w:bCs/>
          <w:lang w:val="nl-NL"/>
        </w:rPr>
        <w:t>SKVC</w:t>
      </w:r>
      <w:r w:rsidRPr="00A45D61">
        <w:rPr>
          <w:lang w:val="nl-NL"/>
        </w:rPr>
        <w:t xml:space="preserve">, het Centre for Quality Assessment in Higher Education. SKVC behandelt klachten over de </w:t>
      </w:r>
      <w:r w:rsidRPr="00A45D61">
        <w:rPr>
          <w:b/>
          <w:bCs/>
          <w:lang w:val="nl-NL"/>
        </w:rPr>
        <w:t>kwaliteit van studies</w:t>
      </w:r>
      <w:r w:rsidRPr="00A45D61">
        <w:rPr>
          <w:lang w:val="nl-NL"/>
        </w:rPr>
        <w:t xml:space="preserve">; voor academic-ethics-kwesties verwijst SKVC juist naar institutionele dispute-resolution and academic ethics commissions en daarna naar de Office of the Ombudsperson. Daardoor hoort SKVC zeker op je Litouwse kaart, maar als </w:t>
      </w:r>
      <w:r w:rsidRPr="00A45D61">
        <w:rPr>
          <w:b/>
          <w:bCs/>
          <w:lang w:val="nl-NL"/>
        </w:rPr>
        <w:t>adjacent QA body</w:t>
      </w:r>
      <w:r w:rsidRPr="00A45D61">
        <w:rPr>
          <w:lang w:val="nl-NL"/>
        </w:rPr>
        <w:t>, niet als kern-ethics actor. (</w:t>
      </w:r>
      <w:hyperlink r:id="rId24" w:tooltip="https://skvc.lrv.lt/en/quality-assurance/complaints-on-the-quality-of-studies/" w:history="1">
        <w:r w:rsidRPr="00A45D61">
          <w:rPr>
            <w:rStyle w:val="Hyperlink"/>
            <w:lang w:val="nl-NL"/>
          </w:rPr>
          <w:t>skvc.lrv.lt</w:t>
        </w:r>
      </w:hyperlink>
      <w:r w:rsidRPr="00A45D61">
        <w:rPr>
          <w:lang w:val="nl-NL"/>
        </w:rPr>
        <w:t>)</w:t>
      </w:r>
    </w:p>
    <w:p w14:paraId="7147D2C5" w14:textId="77777777" w:rsidR="00A45D61" w:rsidRPr="00A45D61" w:rsidRDefault="00A45D61" w:rsidP="00A45D61">
      <w:pPr>
        <w:rPr>
          <w:lang w:val="nl-NL"/>
        </w:rPr>
      </w:pPr>
      <w:r w:rsidRPr="00A45D61">
        <w:rPr>
          <w:lang w:val="nl-NL"/>
        </w:rPr>
        <w:t xml:space="preserve">Daarnaast zie ik voor Litouwen ook nog een tweede ring van </w:t>
      </w:r>
      <w:r w:rsidRPr="00A45D61">
        <w:rPr>
          <w:b/>
          <w:bCs/>
          <w:lang w:val="nl-NL"/>
        </w:rPr>
        <w:t>sectorale of achtergrondbronnen</w:t>
      </w:r>
      <w:r w:rsidRPr="00A45D61">
        <w:rPr>
          <w:lang w:val="nl-NL"/>
        </w:rPr>
        <w:t xml:space="preserve">. Twee daarvan springen eruit. De eerste is de </w:t>
      </w:r>
      <w:r w:rsidRPr="00A45D61">
        <w:rPr>
          <w:b/>
          <w:bCs/>
          <w:lang w:val="nl-NL"/>
        </w:rPr>
        <w:t>Guidelines for Publication Ethics</w:t>
      </w:r>
      <w:r w:rsidRPr="00A45D61">
        <w:rPr>
          <w:lang w:val="nl-NL"/>
        </w:rPr>
        <w:t xml:space="preserve"> van de </w:t>
      </w:r>
      <w:r w:rsidRPr="00A45D61">
        <w:rPr>
          <w:b/>
          <w:bCs/>
          <w:lang w:val="nl-NL"/>
        </w:rPr>
        <w:t>Conference of Rectors of Lithuanian Universities</w:t>
      </w:r>
      <w:r w:rsidRPr="00A45D61">
        <w:rPr>
          <w:lang w:val="nl-NL"/>
        </w:rPr>
        <w:t xml:space="preserve">, die in 2019 werden goedgekeurd en ook weer terugkomen in Office- en instellingsdocumenten. De tweede is de </w:t>
      </w:r>
      <w:r w:rsidRPr="00A45D61">
        <w:rPr>
          <w:b/>
          <w:bCs/>
          <w:lang w:val="nl-NL"/>
        </w:rPr>
        <w:t>Scientist’s Code of Ethics</w:t>
      </w:r>
      <w:r w:rsidRPr="00A45D61">
        <w:rPr>
          <w:lang w:val="nl-NL"/>
        </w:rPr>
        <w:t xml:space="preserve"> van de </w:t>
      </w:r>
      <w:r w:rsidRPr="00A45D61">
        <w:rPr>
          <w:b/>
          <w:bCs/>
          <w:lang w:val="nl-NL"/>
        </w:rPr>
        <w:t>Lithuanian Academy of Sciences</w:t>
      </w:r>
      <w:r w:rsidRPr="00A45D61">
        <w:rPr>
          <w:lang w:val="nl-NL"/>
        </w:rPr>
        <w:t xml:space="preserve">, een oudere maar nog steeds relevante normatieve achtergrondbron. Dit zijn waarschijnlijk geen eerste-lijns klachtendocumenten, maar </w:t>
      </w:r>
      <w:r w:rsidRPr="00A45D61">
        <w:rPr>
          <w:lang w:val="nl-NL"/>
        </w:rPr>
        <w:lastRenderedPageBreak/>
        <w:t>wel belangrijke bronnen voor de culturele en normatieve context van het Litouwse stelsel. (</w:t>
      </w:r>
      <w:hyperlink r:id="rId25" w:tooltip="https://etikostarnyba.lt/en/the-lithuanian-university-rectors-conference-approved-the-guidelines-for-publication-ethics/" w:history="1">
        <w:r w:rsidRPr="00A45D61">
          <w:rPr>
            <w:rStyle w:val="Hyperlink"/>
            <w:lang w:val="nl-NL"/>
          </w:rPr>
          <w:t>etikostarnyba.lt</w:t>
        </w:r>
      </w:hyperlink>
      <w:r w:rsidRPr="00A45D61">
        <w:rPr>
          <w:lang w:val="nl-NL"/>
        </w:rPr>
        <w:t>)</w:t>
      </w:r>
    </w:p>
    <w:p w14:paraId="6B6DBE02" w14:textId="77777777" w:rsidR="00A45D61" w:rsidRPr="00A45D61" w:rsidRDefault="00A45D61" w:rsidP="00A45D61">
      <w:pPr>
        <w:rPr>
          <w:b/>
          <w:bCs/>
          <w:lang w:val="nl-NL"/>
        </w:rPr>
      </w:pPr>
      <w:r w:rsidRPr="00A45D61">
        <w:rPr>
          <w:b/>
          <w:bCs/>
          <w:lang w:val="nl-NL"/>
        </w:rPr>
        <w:t>9. Wat dit alles samen zegt over Litouwen</w:t>
      </w:r>
    </w:p>
    <w:p w14:paraId="6C1F4909" w14:textId="77777777" w:rsidR="00A45D61" w:rsidRPr="00A45D61" w:rsidRDefault="00A45D61" w:rsidP="00A45D61">
      <w:pPr>
        <w:rPr>
          <w:lang w:val="nl-NL"/>
        </w:rPr>
      </w:pPr>
      <w:r w:rsidRPr="00A45D61">
        <w:rPr>
          <w:lang w:val="nl-NL"/>
        </w:rPr>
        <w:t xml:space="preserve">Mijn voorlopige totaalbeeld is daarom dit: </w:t>
      </w:r>
      <w:r w:rsidRPr="00A45D61">
        <w:rPr>
          <w:b/>
          <w:bCs/>
          <w:lang w:val="nl-NL"/>
        </w:rPr>
        <w:t>Litouwen is geen “misconduct-board model”, maar een nationaal ombudsperson-model met sterke guidance-productie, institutionele ethics commissions, funder-based ethics oversight en een aparte biomedical ethics infrastructuur</w:t>
      </w:r>
      <w:r w:rsidRPr="00A45D61">
        <w:rPr>
          <w:lang w:val="nl-NL"/>
        </w:rPr>
        <w:t>. De Office is hier de centrale publieke actor, maar niet de enige; de Research Council voegt een sanctionerende funderlaag toe, instellingen voeren hun eigen interne ethics- en dispute-structuren, en de zwaarste regionale differentiatie zit in biomedical ethics. (</w:t>
      </w:r>
      <w:hyperlink r:id="rId26" w:tooltip="https://etikostarnyba.lt/wp-content/uploads/2025/10/GUIDELINES-FOR-SCIENCE-COMMUNICATION-in-Line-with-Academic-Ethics.pdf" w:history="1">
        <w:r w:rsidRPr="00A45D61">
          <w:rPr>
            <w:rStyle w:val="Hyperlink"/>
            <w:lang w:val="nl-NL"/>
          </w:rPr>
          <w:t>etikostarnyba.lt</w:t>
        </w:r>
      </w:hyperlink>
      <w:r w:rsidRPr="00A45D61">
        <w:rPr>
          <w:lang w:val="nl-NL"/>
        </w:rPr>
        <w:t>)</w:t>
      </w:r>
    </w:p>
    <w:p w14:paraId="0741D748" w14:textId="77777777" w:rsidR="00A45D61" w:rsidRPr="00A45D61" w:rsidRDefault="00A45D61" w:rsidP="00A45D61">
      <w:pPr>
        <w:rPr>
          <w:lang w:val="nl-NL"/>
        </w:rPr>
      </w:pPr>
      <w:r w:rsidRPr="00A45D61">
        <w:rPr>
          <w:lang w:val="nl-NL"/>
        </w:rPr>
        <w:t xml:space="preserve">Voor jouw bronstrategie betekent dit dat Litouwen waarschijnlijk een heel rijk land wordt om te harvesten. Ik zou als </w:t>
      </w:r>
      <w:r w:rsidRPr="00A45D61">
        <w:rPr>
          <w:b/>
          <w:bCs/>
          <w:lang w:val="nl-NL"/>
        </w:rPr>
        <w:t>kerncorpus</w:t>
      </w:r>
      <w:r w:rsidRPr="00A45D61">
        <w:rPr>
          <w:lang w:val="nl-NL"/>
        </w:rPr>
        <w:t xml:space="preserve"> nu al willen verzamelen: de </w:t>
      </w:r>
      <w:r w:rsidRPr="00A45D61">
        <w:rPr>
          <w:b/>
          <w:bCs/>
          <w:lang w:val="nl-NL"/>
        </w:rPr>
        <w:t>Law on Higher Education and Research</w:t>
      </w:r>
      <w:r w:rsidRPr="00A45D61">
        <w:rPr>
          <w:lang w:val="nl-NL"/>
        </w:rPr>
        <w:t xml:space="preserve">; de </w:t>
      </w:r>
      <w:r w:rsidRPr="00A45D61">
        <w:rPr>
          <w:b/>
          <w:bCs/>
          <w:lang w:val="nl-NL"/>
        </w:rPr>
        <w:t>statutes van de Office</w:t>
      </w:r>
      <w:r w:rsidRPr="00A45D61">
        <w:rPr>
          <w:lang w:val="nl-NL"/>
        </w:rPr>
        <w:t xml:space="preserve">; de </w:t>
      </w:r>
      <w:r w:rsidRPr="00A45D61">
        <w:rPr>
          <w:b/>
          <w:bCs/>
          <w:lang w:val="nl-NL"/>
        </w:rPr>
        <w:t>complaints/investigations procedure</w:t>
      </w:r>
      <w:r w:rsidRPr="00A45D61">
        <w:rPr>
          <w:lang w:val="nl-NL"/>
        </w:rPr>
        <w:t xml:space="preserve">; de </w:t>
      </w:r>
      <w:r w:rsidRPr="00A45D61">
        <w:rPr>
          <w:b/>
          <w:bCs/>
          <w:lang w:val="nl-NL"/>
        </w:rPr>
        <w:t>Office decisions</w:t>
      </w:r>
      <w:r w:rsidRPr="00A45D61">
        <w:rPr>
          <w:lang w:val="nl-NL"/>
        </w:rPr>
        <w:t xml:space="preserve">; de </w:t>
      </w:r>
      <w:r w:rsidRPr="00A45D61">
        <w:rPr>
          <w:b/>
          <w:bCs/>
          <w:lang w:val="nl-NL"/>
        </w:rPr>
        <w:t>annual activity reports</w:t>
      </w:r>
      <w:r w:rsidRPr="00A45D61">
        <w:rPr>
          <w:lang w:val="nl-NL"/>
        </w:rPr>
        <w:t xml:space="preserve">; de </w:t>
      </w:r>
      <w:r w:rsidRPr="00A45D61">
        <w:rPr>
          <w:b/>
          <w:bCs/>
          <w:lang w:val="nl-NL"/>
        </w:rPr>
        <w:t>Recommendations on institutional codes</w:t>
      </w:r>
      <w:r w:rsidRPr="00A45D61">
        <w:rPr>
          <w:lang w:val="nl-NL"/>
        </w:rPr>
        <w:t xml:space="preserve">; de </w:t>
      </w:r>
      <w:r w:rsidRPr="00A45D61">
        <w:rPr>
          <w:b/>
          <w:bCs/>
          <w:lang w:val="nl-NL"/>
        </w:rPr>
        <w:t>Guidelines for Ethical Review</w:t>
      </w:r>
      <w:r w:rsidRPr="00A45D61">
        <w:rPr>
          <w:lang w:val="nl-NL"/>
        </w:rPr>
        <w:t xml:space="preserve">; de </w:t>
      </w:r>
      <w:r w:rsidRPr="00A45D61">
        <w:rPr>
          <w:b/>
          <w:bCs/>
          <w:lang w:val="nl-NL"/>
        </w:rPr>
        <w:t>AI- en science-communication guidelines</w:t>
      </w:r>
      <w:r w:rsidRPr="00A45D61">
        <w:rPr>
          <w:lang w:val="nl-NL"/>
        </w:rPr>
        <w:t xml:space="preserve">; de </w:t>
      </w:r>
      <w:r w:rsidRPr="00A45D61">
        <w:rPr>
          <w:b/>
          <w:bCs/>
          <w:lang w:val="nl-NL"/>
        </w:rPr>
        <w:t>Research Council ethics committee page plus rules</w:t>
      </w:r>
      <w:r w:rsidRPr="00A45D61">
        <w:rPr>
          <w:lang w:val="nl-NL"/>
        </w:rPr>
        <w:t xml:space="preserve">; de </w:t>
      </w:r>
      <w:r w:rsidRPr="00A45D61">
        <w:rPr>
          <w:b/>
          <w:bCs/>
          <w:lang w:val="nl-NL"/>
        </w:rPr>
        <w:t>RCL competitive-funding rules</w:t>
      </w:r>
      <w:r w:rsidRPr="00A45D61">
        <w:rPr>
          <w:lang w:val="nl-NL"/>
        </w:rPr>
        <w:t xml:space="preserve">; een set </w:t>
      </w:r>
      <w:r w:rsidRPr="00A45D61">
        <w:rPr>
          <w:b/>
          <w:bCs/>
          <w:lang w:val="nl-NL"/>
        </w:rPr>
        <w:t>institutionele codes en commissie-regelingen</w:t>
      </w:r>
      <w:r w:rsidRPr="00A45D61">
        <w:rPr>
          <w:lang w:val="nl-NL"/>
        </w:rPr>
        <w:t xml:space="preserve"> van VU, KTU en LSMU; en daarnaast een aparte biomedical map met de </w:t>
      </w:r>
      <w:r w:rsidRPr="00A45D61">
        <w:rPr>
          <w:b/>
          <w:bCs/>
          <w:lang w:val="nl-NL"/>
        </w:rPr>
        <w:t>Law on Ethics of Biomedical Research</w:t>
      </w:r>
      <w:r w:rsidRPr="00A45D61">
        <w:rPr>
          <w:lang w:val="nl-NL"/>
        </w:rPr>
        <w:t xml:space="preserve">, de </w:t>
      </w:r>
      <w:r w:rsidRPr="00A45D61">
        <w:rPr>
          <w:b/>
          <w:bCs/>
          <w:lang w:val="nl-NL"/>
        </w:rPr>
        <w:t>Lithuanian Bioethics Committee</w:t>
      </w:r>
      <w:r w:rsidRPr="00A45D61">
        <w:rPr>
          <w:lang w:val="nl-NL"/>
        </w:rPr>
        <w:t xml:space="preserve">-pagina’s en de </w:t>
      </w:r>
      <w:r w:rsidRPr="00A45D61">
        <w:rPr>
          <w:b/>
          <w:bCs/>
          <w:lang w:val="nl-NL"/>
        </w:rPr>
        <w:t>regional committee</w:t>
      </w:r>
      <w:r w:rsidRPr="00A45D61">
        <w:rPr>
          <w:lang w:val="nl-NL"/>
        </w:rPr>
        <w:t>-documenten. (</w:t>
      </w:r>
      <w:hyperlink r:id="rId27" w:tooltip="https://etikostarnyba.lt/wp-content/uploads/2022/04/Procedure-of-Complaints-Handling-and-Investigations-at-the-Initiative-of-the-Ombudsperson-revised.pdf" w:history="1">
        <w:r w:rsidRPr="00A45D61">
          <w:rPr>
            <w:rStyle w:val="Hyperlink"/>
            <w:lang w:val="nl-NL"/>
          </w:rPr>
          <w:t>etikostarnyba.lt</w:t>
        </w:r>
      </w:hyperlink>
      <w:r w:rsidRPr="00A45D61">
        <w:rPr>
          <w:lang w:val="nl-NL"/>
        </w:rPr>
        <w:t>)</w:t>
      </w:r>
    </w:p>
    <w:p w14:paraId="03ECA620" w14:textId="77777777" w:rsidR="00A45D61" w:rsidRPr="00A45D61" w:rsidRDefault="00A45D61" w:rsidP="00A45D61">
      <w:pPr>
        <w:rPr>
          <w:lang w:val="nl-NL"/>
        </w:rPr>
      </w:pPr>
      <w:r w:rsidRPr="00A45D61">
        <w:rPr>
          <w:lang w:val="nl-NL"/>
        </w:rPr>
        <w:t xml:space="preserve">De logische vervolgstap is nu om voor Litouwen dezelfde exercitie te doen als bij Nederland: niet meteen alles uitlezen, maar per actor een </w:t>
      </w:r>
      <w:r w:rsidRPr="00A45D61">
        <w:rPr>
          <w:b/>
          <w:bCs/>
          <w:lang w:val="nl-NL"/>
        </w:rPr>
        <w:t>downloadmatrix</w:t>
      </w:r>
      <w:r w:rsidRPr="00A45D61">
        <w:rPr>
          <w:lang w:val="nl-NL"/>
        </w:rPr>
        <w:t xml:space="preserve"> maken met kolommen als </w:t>
      </w:r>
      <w:r w:rsidRPr="00A45D61">
        <w:rPr>
          <w:i/>
          <w:iCs/>
          <w:lang w:val="nl-NL"/>
        </w:rPr>
        <w:t>actor</w:t>
      </w:r>
      <w:r w:rsidRPr="00A45D61">
        <w:rPr>
          <w:lang w:val="nl-NL"/>
        </w:rPr>
        <w:t xml:space="preserve">, </w:t>
      </w:r>
      <w:r w:rsidRPr="00A45D61">
        <w:rPr>
          <w:i/>
          <w:iCs/>
          <w:lang w:val="nl-NL"/>
        </w:rPr>
        <w:t>rol</w:t>
      </w:r>
      <w:r w:rsidRPr="00A45D61">
        <w:rPr>
          <w:lang w:val="nl-NL"/>
        </w:rPr>
        <w:t xml:space="preserve">, </w:t>
      </w:r>
      <w:r w:rsidRPr="00A45D61">
        <w:rPr>
          <w:i/>
          <w:iCs/>
          <w:lang w:val="nl-NL"/>
        </w:rPr>
        <w:t>documenttype</w:t>
      </w:r>
      <w:r w:rsidRPr="00A45D61">
        <w:rPr>
          <w:lang w:val="nl-NL"/>
        </w:rPr>
        <w:t xml:space="preserve">, </w:t>
      </w:r>
      <w:r w:rsidRPr="00A45D61">
        <w:rPr>
          <w:i/>
          <w:iCs/>
          <w:lang w:val="nl-NL"/>
        </w:rPr>
        <w:t>bewijsfunctie</w:t>
      </w:r>
      <w:r w:rsidRPr="00A45D61">
        <w:rPr>
          <w:lang w:val="nl-NL"/>
        </w:rPr>
        <w:t xml:space="preserve">, </w:t>
      </w:r>
      <w:r w:rsidRPr="00A45D61">
        <w:rPr>
          <w:i/>
          <w:iCs/>
          <w:lang w:val="nl-NL"/>
        </w:rPr>
        <w:t>verwachte tegenhanger in andere landen</w:t>
      </w:r>
      <w:r w:rsidRPr="00A45D61">
        <w:rPr>
          <w:lang w:val="nl-NL"/>
        </w:rPr>
        <w:t>.</w:t>
      </w:r>
    </w:p>
    <w:p w14:paraId="69A757A2"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91"/>
    <w:rsid w:val="001E528E"/>
    <w:rsid w:val="0023427A"/>
    <w:rsid w:val="002551AA"/>
    <w:rsid w:val="00273D29"/>
    <w:rsid w:val="002E5AD9"/>
    <w:rsid w:val="0036154D"/>
    <w:rsid w:val="00392002"/>
    <w:rsid w:val="00394BCE"/>
    <w:rsid w:val="00407C7C"/>
    <w:rsid w:val="00462103"/>
    <w:rsid w:val="004E2765"/>
    <w:rsid w:val="006846CA"/>
    <w:rsid w:val="00703CEF"/>
    <w:rsid w:val="007A24AA"/>
    <w:rsid w:val="008B444C"/>
    <w:rsid w:val="008B67AA"/>
    <w:rsid w:val="009A628C"/>
    <w:rsid w:val="009F306F"/>
    <w:rsid w:val="00A45D61"/>
    <w:rsid w:val="00A96AF6"/>
    <w:rsid w:val="00C51E99"/>
    <w:rsid w:val="00C85560"/>
    <w:rsid w:val="00D96491"/>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B17E"/>
  <w15:chartTrackingRefBased/>
  <w15:docId w15:val="{5B02DA33-ABB6-4CB5-9F9C-DF868554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91"/>
    <w:rPr>
      <w:rFonts w:eastAsiaTheme="majorEastAsia" w:cstheme="majorBidi"/>
      <w:color w:val="272727" w:themeColor="text1" w:themeTint="D8"/>
    </w:rPr>
  </w:style>
  <w:style w:type="paragraph" w:styleId="Title">
    <w:name w:val="Title"/>
    <w:basedOn w:val="Normal"/>
    <w:next w:val="Normal"/>
    <w:link w:val="TitleChar"/>
    <w:uiPriority w:val="10"/>
    <w:qFormat/>
    <w:rsid w:val="00D9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91"/>
    <w:pPr>
      <w:spacing w:before="160"/>
      <w:jc w:val="center"/>
    </w:pPr>
    <w:rPr>
      <w:i/>
      <w:iCs/>
      <w:color w:val="404040" w:themeColor="text1" w:themeTint="BF"/>
    </w:rPr>
  </w:style>
  <w:style w:type="character" w:customStyle="1" w:styleId="QuoteChar">
    <w:name w:val="Quote Char"/>
    <w:basedOn w:val="DefaultParagraphFont"/>
    <w:link w:val="Quote"/>
    <w:uiPriority w:val="29"/>
    <w:rsid w:val="00D96491"/>
    <w:rPr>
      <w:i/>
      <w:iCs/>
      <w:color w:val="404040" w:themeColor="text1" w:themeTint="BF"/>
    </w:rPr>
  </w:style>
  <w:style w:type="paragraph" w:styleId="ListParagraph">
    <w:name w:val="List Paragraph"/>
    <w:basedOn w:val="Normal"/>
    <w:uiPriority w:val="34"/>
    <w:qFormat/>
    <w:rsid w:val="00D96491"/>
    <w:pPr>
      <w:ind w:left="720"/>
      <w:contextualSpacing/>
    </w:pPr>
  </w:style>
  <w:style w:type="character" w:styleId="IntenseEmphasis">
    <w:name w:val="Intense Emphasis"/>
    <w:basedOn w:val="DefaultParagraphFont"/>
    <w:uiPriority w:val="21"/>
    <w:qFormat/>
    <w:rsid w:val="00D96491"/>
    <w:rPr>
      <w:i/>
      <w:iCs/>
      <w:color w:val="0F4761" w:themeColor="accent1" w:themeShade="BF"/>
    </w:rPr>
  </w:style>
  <w:style w:type="paragraph" w:styleId="IntenseQuote">
    <w:name w:val="Intense Quote"/>
    <w:basedOn w:val="Normal"/>
    <w:next w:val="Normal"/>
    <w:link w:val="IntenseQuoteChar"/>
    <w:uiPriority w:val="30"/>
    <w:qFormat/>
    <w:rsid w:val="00D96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491"/>
    <w:rPr>
      <w:i/>
      <w:iCs/>
      <w:color w:val="0F4761" w:themeColor="accent1" w:themeShade="BF"/>
    </w:rPr>
  </w:style>
  <w:style w:type="character" w:styleId="IntenseReference">
    <w:name w:val="Intense Reference"/>
    <w:basedOn w:val="DefaultParagraphFont"/>
    <w:uiPriority w:val="32"/>
    <w:qFormat/>
    <w:rsid w:val="00D96491"/>
    <w:rPr>
      <w:b/>
      <w:bCs/>
      <w:smallCaps/>
      <w:color w:val="0F4761" w:themeColor="accent1" w:themeShade="BF"/>
      <w:spacing w:val="5"/>
    </w:rPr>
  </w:style>
  <w:style w:type="character" w:styleId="Hyperlink">
    <w:name w:val="Hyperlink"/>
    <w:basedOn w:val="DefaultParagraphFont"/>
    <w:uiPriority w:val="99"/>
    <w:unhideWhenUsed/>
    <w:rsid w:val="00A45D61"/>
    <w:rPr>
      <w:color w:val="467886" w:themeColor="hyperlink"/>
      <w:u w:val="single"/>
    </w:rPr>
  </w:style>
  <w:style w:type="character" w:styleId="UnresolvedMention">
    <w:name w:val="Unresolved Mention"/>
    <w:basedOn w:val="DefaultParagraphFont"/>
    <w:uiPriority w:val="99"/>
    <w:semiHidden/>
    <w:unhideWhenUsed/>
    <w:rsid w:val="00A45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879496">
      <w:bodyDiv w:val="1"/>
      <w:marLeft w:val="0"/>
      <w:marRight w:val="0"/>
      <w:marTop w:val="0"/>
      <w:marBottom w:val="0"/>
      <w:divBdr>
        <w:top w:val="none" w:sz="0" w:space="0" w:color="auto"/>
        <w:left w:val="none" w:sz="0" w:space="0" w:color="auto"/>
        <w:bottom w:val="none" w:sz="0" w:space="0" w:color="auto"/>
        <w:right w:val="none" w:sz="0" w:space="0" w:color="auto"/>
      </w:divBdr>
    </w:div>
    <w:div w:id="142253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ikostarnyba.lt/en/about-office/" TargetMode="External"/><Relationship Id="rId13" Type="http://schemas.openxmlformats.org/officeDocument/2006/relationships/hyperlink" Target="https://etikostarnyba.lt/en/analytical-reviews/" TargetMode="External"/><Relationship Id="rId18" Type="http://schemas.openxmlformats.org/officeDocument/2006/relationships/hyperlink" Target="https://en.ktu.edu/documents/code-of-academic-ethics/" TargetMode="External"/><Relationship Id="rId26" Type="http://schemas.openxmlformats.org/officeDocument/2006/relationships/hyperlink" Target="https://etikostarnyba.lt/wp-content/uploads/2025/10/GUIDELINES-FOR-SCIENCE-COMMUNICATION-in-Line-with-Academic-Ethics.pdf" TargetMode="External"/><Relationship Id="rId3" Type="http://schemas.openxmlformats.org/officeDocument/2006/relationships/webSettings" Target="webSettings.xml"/><Relationship Id="rId21" Type="http://schemas.openxmlformats.org/officeDocument/2006/relationships/hyperlink" Target="https://bioetika.lrv.lt/en/biomedical-research/historical-overview/" TargetMode="External"/><Relationship Id="rId7" Type="http://schemas.openxmlformats.org/officeDocument/2006/relationships/hyperlink" Target="https://etikostarnyba.lt/en/the-office-celebrates-its-seven-year-anniversary/" TargetMode="External"/><Relationship Id="rId12" Type="http://schemas.openxmlformats.org/officeDocument/2006/relationships/hyperlink" Target="https://etikostarnyba.lt/en/the-report-of-the-survey-responsible-research-barometer-2020-has-been-published/" TargetMode="External"/><Relationship Id="rId17" Type="http://schemas.openxmlformats.org/officeDocument/2006/relationships/hyperlink" Target="https://www.gmc.vu.lt/en/research/research-ethics-and-integrity" TargetMode="External"/><Relationship Id="rId25" Type="http://schemas.openxmlformats.org/officeDocument/2006/relationships/hyperlink" Target="https://etikostarnyba.lt/en/the-lithuanian-university-rectors-conference-approved-the-guidelines-for-publication-ethics/" TargetMode="External"/><Relationship Id="rId2" Type="http://schemas.openxmlformats.org/officeDocument/2006/relationships/settings" Target="settings.xml"/><Relationship Id="rId16" Type="http://schemas.openxmlformats.org/officeDocument/2006/relationships/hyperlink" Target="https://skvc.lrv.lt/en/quality-assurance/complaints-on-the-quality-of-studies/" TargetMode="External"/><Relationship Id="rId20" Type="http://schemas.openxmlformats.org/officeDocument/2006/relationships/hyperlink" Target="https://bioetika.lrv.lt/en/about-us/"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tikostarnyba.lt/wp-content/uploads/2019/12/Statutes-3.pdf" TargetMode="External"/><Relationship Id="rId11" Type="http://schemas.openxmlformats.org/officeDocument/2006/relationships/hyperlink" Target="https://etikostarnyba.lt/wp-content/uploads/2021/05/V-38-Recommendations-related-to-Academic-Ethics-Codes.pdf" TargetMode="External"/><Relationship Id="rId24" Type="http://schemas.openxmlformats.org/officeDocument/2006/relationships/hyperlink" Target="https://skvc.lrv.lt/en/quality-assurance/complaints-on-the-quality-of-studies/" TargetMode="External"/><Relationship Id="rId5" Type="http://schemas.openxmlformats.org/officeDocument/2006/relationships/hyperlink" Target="https://skvc.lrv.lt/en/legislation/legal-acts/" TargetMode="External"/><Relationship Id="rId15" Type="http://schemas.openxmlformats.org/officeDocument/2006/relationships/hyperlink" Target="https://lmt.lrv.lt/public/canonical/1724934441/3308/The%20General%20Rules%20of%20the%20Research%20Council%20of%20Lithuania%20for%20the%20Competitive%20Funding%20of%20Research%20and%20Dissemination%20Projects.pdf" TargetMode="External"/><Relationship Id="rId23" Type="http://schemas.openxmlformats.org/officeDocument/2006/relationships/hyperlink" Target="https://lsmu.lt/en/about-lsmu/structure/general-departments-of-the-university/other-departments/kaunas-regional-biomedical-research-ethics-committee/" TargetMode="External"/><Relationship Id="rId28" Type="http://schemas.openxmlformats.org/officeDocument/2006/relationships/fontTable" Target="fontTable.xml"/><Relationship Id="rId10" Type="http://schemas.openxmlformats.org/officeDocument/2006/relationships/hyperlink" Target="https://etikostarnyba.lt/wp-content/uploads/2021/05/V-38-Recommendations-related-to-Academic-Ethics-Codes.pdf" TargetMode="External"/><Relationship Id="rId19" Type="http://schemas.openxmlformats.org/officeDocument/2006/relationships/hyperlink" Target="https://lsmu.lt/en/important-documents/" TargetMode="External"/><Relationship Id="rId4" Type="http://schemas.openxmlformats.org/officeDocument/2006/relationships/hyperlink" Target="https://etikostarnyba.lt/wp-content/uploads/2025/10/GUIDELINES-FOR-SCIENCE-COMMUNICATION-in-Line-with-Academic-Ethics.pdf" TargetMode="External"/><Relationship Id="rId9" Type="http://schemas.openxmlformats.org/officeDocument/2006/relationships/hyperlink" Target="https://etikostarnyba.lt/wp-content/uploads/2026/03/ACTIVITY-REPORT-FOR-2025.pdf" TargetMode="External"/><Relationship Id="rId14" Type="http://schemas.openxmlformats.org/officeDocument/2006/relationships/hyperlink" Target="https://lmt.lrv.lt/en/science-quality/the-scientific-research-ethics-committee-of-the-research-council-of-lithuania/" TargetMode="External"/><Relationship Id="rId22" Type="http://schemas.openxmlformats.org/officeDocument/2006/relationships/hyperlink" Target="https://bioetika.lrv.lt/en/biomedical-research/issuing-approval-to-conduct-biomedical-research/" TargetMode="External"/><Relationship Id="rId27" Type="http://schemas.openxmlformats.org/officeDocument/2006/relationships/hyperlink" Target="https://etikostarnyba.lt/wp-content/uploads/2022/04/Procedure-of-Complaints-Handling-and-Investigations-at-the-Initiative-of-the-Ombudsperson-revis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3177</Words>
  <Characters>17479</Characters>
  <Application>Microsoft Office Word</Application>
  <DocSecurity>0</DocSecurity>
  <Lines>145</Lines>
  <Paragraphs>41</Paragraphs>
  <ScaleCrop>false</ScaleCrop>
  <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2026-04-17T05:54:00Z</dcterms:created>
  <dcterms:modified xsi:type="dcterms:W3CDTF">2026-04-17T05:54:00Z</dcterms:modified>
</cp:coreProperties>
</file>