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49654" w14:textId="77777777" w:rsidR="006D3F3A" w:rsidRPr="006D3F3A" w:rsidRDefault="006D3F3A" w:rsidP="006D3F3A">
      <w:pPr>
        <w:rPr>
          <w:lang w:val="nl-NL"/>
        </w:rPr>
      </w:pPr>
      <w:r w:rsidRPr="006D3F3A">
        <w:rPr>
          <w:lang w:val="nl-NL"/>
        </w:rPr>
        <w:t xml:space="preserve">Ja — en Luxemburg geeft weer een heel ander beeld. Mijn eerste sweep suggereert een </w:t>
      </w:r>
      <w:r w:rsidRPr="006D3F3A">
        <w:rPr>
          <w:b/>
          <w:bCs/>
          <w:lang w:val="nl-NL"/>
        </w:rPr>
        <w:t>veel compacter en centraler georganiseerd research-integrity landschap</w:t>
      </w:r>
      <w:r w:rsidRPr="006D3F3A">
        <w:rPr>
          <w:lang w:val="nl-NL"/>
        </w:rPr>
        <w:t xml:space="preserve"> dan Nederland of Denemarken. In de zichtbare bronbasis draait het stelsel om een kleine kern van publieke onderzoeksactoren — het ministerie, de </w:t>
      </w:r>
      <w:r w:rsidRPr="006D3F3A">
        <w:rPr>
          <w:b/>
          <w:bCs/>
          <w:lang w:val="nl-NL"/>
        </w:rPr>
        <w:t>University of Luxembourg</w:t>
      </w:r>
      <w:r w:rsidRPr="006D3F3A">
        <w:rPr>
          <w:lang w:val="nl-NL"/>
        </w:rPr>
        <w:t xml:space="preserve">, de drie publieke onderzoeksinstituten </w:t>
      </w:r>
      <w:r w:rsidRPr="006D3F3A">
        <w:rPr>
          <w:b/>
          <w:bCs/>
          <w:lang w:val="nl-NL"/>
        </w:rPr>
        <w:t>LIST, LIH en LISER</w:t>
      </w:r>
      <w:r w:rsidRPr="006D3F3A">
        <w:rPr>
          <w:lang w:val="nl-NL"/>
        </w:rPr>
        <w:t xml:space="preserve">, en de nationale funder </w:t>
      </w:r>
      <w:r w:rsidRPr="006D3F3A">
        <w:rPr>
          <w:b/>
          <w:bCs/>
          <w:lang w:val="nl-NL"/>
        </w:rPr>
        <w:t>FNR</w:t>
      </w:r>
      <w:r w:rsidRPr="006D3F3A">
        <w:rPr>
          <w:lang w:val="nl-NL"/>
        </w:rPr>
        <w:t xml:space="preserve"> — met </w:t>
      </w:r>
      <w:r w:rsidRPr="006D3F3A">
        <w:rPr>
          <w:b/>
          <w:bCs/>
          <w:lang w:val="nl-NL"/>
        </w:rPr>
        <w:t>LARI</w:t>
      </w:r>
      <w:r w:rsidRPr="006D3F3A">
        <w:rPr>
          <w:lang w:val="nl-NL"/>
        </w:rPr>
        <w:t xml:space="preserve"> als centrale research-integrity infrastructuur. In deze eerste ronde zie ik dus niet een breed uitgewaaierd netwerk van veel sectororganisaties, maar eerder een </w:t>
      </w:r>
      <w:r w:rsidRPr="006D3F3A">
        <w:rPr>
          <w:b/>
          <w:bCs/>
          <w:lang w:val="nl-NL"/>
        </w:rPr>
        <w:t>klein nationaal ecosysteem met één gezamenlijke integriteitshub</w:t>
      </w:r>
      <w:r w:rsidRPr="006D3F3A">
        <w:rPr>
          <w:lang w:val="nl-NL"/>
        </w:rPr>
        <w:t>. (</w:t>
      </w:r>
      <w:hyperlink r:id="rId4" w:tooltip="https://mesr.gouvernement.lu/en/le-ministere.html" w:history="1">
        <w:r w:rsidRPr="006D3F3A">
          <w:rPr>
            <w:rStyle w:val="Hyperlink"/>
            <w:lang w:val="nl-NL"/>
          </w:rPr>
          <w:t>mesr.gouvernement.lu</w:t>
        </w:r>
      </w:hyperlink>
      <w:r w:rsidRPr="006D3F3A">
        <w:rPr>
          <w:lang w:val="nl-NL"/>
        </w:rPr>
        <w:t>)</w:t>
      </w:r>
    </w:p>
    <w:p w14:paraId="15D7EF68" w14:textId="77777777" w:rsidR="006D3F3A" w:rsidRPr="006D3F3A" w:rsidRDefault="006D3F3A" w:rsidP="006D3F3A">
      <w:pPr>
        <w:rPr>
          <w:b/>
          <w:bCs/>
          <w:lang w:val="nl-NL"/>
        </w:rPr>
      </w:pPr>
      <w:r w:rsidRPr="006D3F3A">
        <w:rPr>
          <w:b/>
          <w:bCs/>
          <w:lang w:val="nl-NL"/>
        </w:rPr>
        <w:t>1. Wat Luxemburg in wezen lijkt te zijn</w:t>
      </w:r>
    </w:p>
    <w:p w14:paraId="180828EC" w14:textId="77777777" w:rsidR="006D3F3A" w:rsidRPr="006D3F3A" w:rsidRDefault="006D3F3A" w:rsidP="006D3F3A">
      <w:pPr>
        <w:rPr>
          <w:lang w:val="nl-NL"/>
        </w:rPr>
      </w:pPr>
      <w:r w:rsidRPr="006D3F3A">
        <w:rPr>
          <w:lang w:val="nl-NL"/>
        </w:rPr>
        <w:t xml:space="preserve">Mijn voorlopige lezing is dat Luxemburg een </w:t>
      </w:r>
      <w:r w:rsidRPr="006D3F3A">
        <w:rPr>
          <w:b/>
          <w:bCs/>
          <w:lang w:val="nl-NL"/>
        </w:rPr>
        <w:t>nationaal-institutioneel hybride model</w:t>
      </w:r>
      <w:r w:rsidRPr="006D3F3A">
        <w:rPr>
          <w:lang w:val="nl-NL"/>
        </w:rPr>
        <w:t xml:space="preserve"> heeft. Het ministerie van Research and Higher Education definieert en coördineert het nationale beleid voor hoger onderwijs en publiek onderzoek en is tegelijk toezichthoudend ministerie voor de University of Luxembourg, LIST, LIH, LISER en FNR. Tegelijk is de feitelijke research-integrity infrastructuur niet rechtstreeks een staatscommissie zoals in Denemarken, maar vooral georganiseerd via </w:t>
      </w:r>
      <w:r w:rsidRPr="006D3F3A">
        <w:rPr>
          <w:b/>
          <w:bCs/>
          <w:lang w:val="nl-NL"/>
        </w:rPr>
        <w:t>LARI</w:t>
      </w:r>
      <w:r w:rsidRPr="006D3F3A">
        <w:rPr>
          <w:lang w:val="nl-NL"/>
        </w:rPr>
        <w:t>, een gezamenlijke structuur van de vijf kernactoren. (</w:t>
      </w:r>
      <w:hyperlink r:id="rId5" w:tooltip="https://mesr.gouvernement.lu/en/le-ministere.html" w:history="1">
        <w:r w:rsidRPr="006D3F3A">
          <w:rPr>
            <w:rStyle w:val="Hyperlink"/>
            <w:lang w:val="nl-NL"/>
          </w:rPr>
          <w:t>mesr.gouvernement.lu</w:t>
        </w:r>
      </w:hyperlink>
      <w:r w:rsidRPr="006D3F3A">
        <w:rPr>
          <w:lang w:val="nl-NL"/>
        </w:rPr>
        <w:t>)</w:t>
      </w:r>
    </w:p>
    <w:p w14:paraId="0C16ABCC" w14:textId="77777777" w:rsidR="006D3F3A" w:rsidRPr="006D3F3A" w:rsidRDefault="006D3F3A" w:rsidP="006D3F3A">
      <w:pPr>
        <w:rPr>
          <w:lang w:val="nl-NL"/>
        </w:rPr>
      </w:pPr>
      <w:r w:rsidRPr="006D3F3A">
        <w:rPr>
          <w:lang w:val="nl-NL"/>
        </w:rPr>
        <w:t xml:space="preserve">Ook het bredere onderzoekslandschap bevestigt dat compacte model. </w:t>
      </w:r>
      <w:r w:rsidRPr="006D3F3A">
        <w:rPr>
          <w:b/>
          <w:bCs/>
          <w:lang w:val="nl-NL"/>
        </w:rPr>
        <w:t>Research Luxembourg</w:t>
      </w:r>
      <w:r w:rsidRPr="006D3F3A">
        <w:rPr>
          <w:lang w:val="nl-NL"/>
        </w:rPr>
        <w:t xml:space="preserve"> presenteert zichzelf als een gezamenlijke initiatiefstructuur van de University of Luxembourg, LIST, LIH, LISER, FNR en Luxinnovation, ondersteund door het ministerie. Voor jouw project is dat belangrijk, omdat het betekent dat je Luxemburg waarschijnlijk niet als “veel losse subsystemen” moet benaderen, maar als een </w:t>
      </w:r>
      <w:r w:rsidRPr="006D3F3A">
        <w:rPr>
          <w:b/>
          <w:bCs/>
          <w:lang w:val="nl-NL"/>
        </w:rPr>
        <w:t>klein, sterk geclusterd nationaal netwerk</w:t>
      </w:r>
      <w:r w:rsidRPr="006D3F3A">
        <w:rPr>
          <w:lang w:val="nl-NL"/>
        </w:rPr>
        <w:t xml:space="preserve">. In deze eerste sweep zie ik bovendien geen betekenisvolle regionale research-integrity laag; de zichtbare architectuur is vooral </w:t>
      </w:r>
      <w:r w:rsidRPr="006D3F3A">
        <w:rPr>
          <w:b/>
          <w:bCs/>
          <w:lang w:val="nl-NL"/>
        </w:rPr>
        <w:t>nationaal + institutioneel</w:t>
      </w:r>
      <w:r w:rsidRPr="006D3F3A">
        <w:rPr>
          <w:lang w:val="nl-NL"/>
        </w:rPr>
        <w:t>. (</w:t>
      </w:r>
      <w:hyperlink r:id="rId6" w:tooltip="https://www.researchluxembourg.org/en/about-us/" w:history="1">
        <w:r w:rsidRPr="006D3F3A">
          <w:rPr>
            <w:rStyle w:val="Hyperlink"/>
            <w:lang w:val="nl-NL"/>
          </w:rPr>
          <w:t>researchluxembourg</w:t>
        </w:r>
      </w:hyperlink>
      <w:r w:rsidRPr="006D3F3A">
        <w:rPr>
          <w:lang w:val="nl-NL"/>
        </w:rPr>
        <w:t>)</w:t>
      </w:r>
    </w:p>
    <w:p w14:paraId="5CC95E37" w14:textId="77777777" w:rsidR="006D3F3A" w:rsidRPr="006D3F3A" w:rsidRDefault="006D3F3A" w:rsidP="006D3F3A">
      <w:pPr>
        <w:rPr>
          <w:b/>
          <w:bCs/>
          <w:lang w:val="nl-NL"/>
        </w:rPr>
      </w:pPr>
      <w:r w:rsidRPr="006D3F3A">
        <w:rPr>
          <w:b/>
          <w:bCs/>
          <w:lang w:val="nl-NL"/>
        </w:rPr>
        <w:t>2. LARI als kern van het Luxemburgse integriteitssysteem</w:t>
      </w:r>
    </w:p>
    <w:p w14:paraId="34304B28" w14:textId="77777777" w:rsidR="006D3F3A" w:rsidRPr="006D3F3A" w:rsidRDefault="006D3F3A" w:rsidP="006D3F3A">
      <w:pPr>
        <w:rPr>
          <w:lang w:val="nl-NL"/>
        </w:rPr>
      </w:pPr>
      <w:r w:rsidRPr="006D3F3A">
        <w:rPr>
          <w:lang w:val="nl-NL"/>
        </w:rPr>
        <w:t xml:space="preserve">De centrale bron voor Luxemburg is </w:t>
      </w:r>
      <w:r w:rsidRPr="006D3F3A">
        <w:rPr>
          <w:b/>
          <w:bCs/>
          <w:lang w:val="nl-NL"/>
        </w:rPr>
        <w:t>LARI — Luxembourg Agency for Research Integrity</w:t>
      </w:r>
      <w:r w:rsidRPr="006D3F3A">
        <w:rPr>
          <w:lang w:val="nl-NL"/>
        </w:rPr>
        <w:t xml:space="preserve">. Volgens de statuten is LARI een </w:t>
      </w:r>
      <w:r w:rsidRPr="006D3F3A">
        <w:rPr>
          <w:b/>
          <w:bCs/>
          <w:lang w:val="nl-NL"/>
        </w:rPr>
        <w:t>association sans but lucratif (ASBL)</w:t>
      </w:r>
      <w:r w:rsidRPr="006D3F3A">
        <w:rPr>
          <w:lang w:val="nl-NL"/>
        </w:rPr>
        <w:t xml:space="preserve">, opgericht door vijf founding members: </w:t>
      </w:r>
      <w:r w:rsidRPr="006D3F3A">
        <w:rPr>
          <w:b/>
          <w:bCs/>
          <w:lang w:val="nl-NL"/>
        </w:rPr>
        <w:t>FNR, University of Luxembourg, LIST, LIH en LISER</w:t>
      </w:r>
      <w:r w:rsidRPr="006D3F3A">
        <w:rPr>
          <w:lang w:val="nl-NL"/>
        </w:rPr>
        <w:t xml:space="preserve">. De statuten formuleren twee hoofddoelen: het </w:t>
      </w:r>
      <w:r w:rsidRPr="006D3F3A">
        <w:rPr>
          <w:b/>
          <w:bCs/>
          <w:lang w:val="nl-NL"/>
        </w:rPr>
        <w:t>bevorderen van goede onderzoekspraktijken</w:t>
      </w:r>
      <w:r w:rsidRPr="006D3F3A">
        <w:rPr>
          <w:lang w:val="nl-NL"/>
        </w:rPr>
        <w:t xml:space="preserve"> en het in stand houden van een </w:t>
      </w:r>
      <w:r w:rsidRPr="006D3F3A">
        <w:rPr>
          <w:b/>
          <w:bCs/>
          <w:lang w:val="nl-NL"/>
        </w:rPr>
        <w:t>commissie van internationale experts</w:t>
      </w:r>
      <w:r w:rsidRPr="006D3F3A">
        <w:rPr>
          <w:lang w:val="nl-NL"/>
        </w:rPr>
        <w:t xml:space="preserve"> om aanwijzingen of beschuldigingen van schendingen van wetenschappelijke integriteit te behandelen. Dat maakt LARI tegelijk een </w:t>
      </w:r>
      <w:r w:rsidRPr="006D3F3A">
        <w:rPr>
          <w:b/>
          <w:bCs/>
          <w:lang w:val="nl-NL"/>
        </w:rPr>
        <w:t>preventie-, advies- en onderzoeksorgaan</w:t>
      </w:r>
      <w:r w:rsidRPr="006D3F3A">
        <w:rPr>
          <w:lang w:val="nl-NL"/>
        </w:rPr>
        <w:t>. (</w:t>
      </w:r>
      <w:hyperlink r:id="rId7" w:tooltip="https://lari.lu/wp-content/uploads/2025/10/LARI-Statute-amended-17-September-2025.pdf" w:history="1">
        <w:r w:rsidRPr="006D3F3A">
          <w:rPr>
            <w:rStyle w:val="Hyperlink"/>
            <w:lang w:val="nl-NL"/>
          </w:rPr>
          <w:t>lari.lu</w:t>
        </w:r>
      </w:hyperlink>
      <w:r w:rsidRPr="006D3F3A">
        <w:rPr>
          <w:lang w:val="nl-NL"/>
        </w:rPr>
        <w:t>)</w:t>
      </w:r>
    </w:p>
    <w:p w14:paraId="3BC01BF1" w14:textId="77777777" w:rsidR="006D3F3A" w:rsidRPr="006D3F3A" w:rsidRDefault="006D3F3A" w:rsidP="006D3F3A">
      <w:pPr>
        <w:rPr>
          <w:lang w:val="nl-NL"/>
        </w:rPr>
      </w:pPr>
      <w:r w:rsidRPr="006D3F3A">
        <w:rPr>
          <w:lang w:val="nl-NL"/>
        </w:rPr>
        <w:t xml:space="preserve">De statuten en Rules of Procedure maken LARI methodologisch bijzonder interessant. De member organisations verbinden zich aan de </w:t>
      </w:r>
      <w:r w:rsidRPr="006D3F3A">
        <w:rPr>
          <w:b/>
          <w:bCs/>
          <w:lang w:val="nl-NL"/>
        </w:rPr>
        <w:t>laatste versie van de European Code of Conduct for Research Integrity</w:t>
      </w:r>
      <w:r w:rsidRPr="006D3F3A">
        <w:rPr>
          <w:lang w:val="nl-NL"/>
        </w:rPr>
        <w:t xml:space="preserve">; LARI ondersteunt hen bij het ontwikkelen van beleid en procedures; en de </w:t>
      </w:r>
      <w:r w:rsidRPr="006D3F3A">
        <w:rPr>
          <w:b/>
          <w:bCs/>
          <w:lang w:val="nl-NL"/>
        </w:rPr>
        <w:t>Commission for Research Integrity (CRI)</w:t>
      </w:r>
      <w:r w:rsidRPr="006D3F3A">
        <w:rPr>
          <w:lang w:val="nl-NL"/>
        </w:rPr>
        <w:t xml:space="preserve"> wordt ingericht </w:t>
      </w:r>
      <w:r w:rsidRPr="006D3F3A">
        <w:rPr>
          <w:lang w:val="nl-NL"/>
        </w:rPr>
        <w:lastRenderedPageBreak/>
        <w:t xml:space="preserve">als de onafhankelijke onderzoekende kern. De missie van LARI is dus expliciet dubbel: </w:t>
      </w:r>
      <w:r w:rsidRPr="006D3F3A">
        <w:rPr>
          <w:b/>
          <w:bCs/>
          <w:lang w:val="nl-NL"/>
        </w:rPr>
        <w:t>research integrity culture opbouwen</w:t>
      </w:r>
      <w:r w:rsidRPr="006D3F3A">
        <w:rPr>
          <w:lang w:val="nl-NL"/>
        </w:rPr>
        <w:t xml:space="preserve"> én </w:t>
      </w:r>
      <w:r w:rsidRPr="006D3F3A">
        <w:rPr>
          <w:b/>
          <w:bCs/>
          <w:lang w:val="nl-NL"/>
        </w:rPr>
        <w:t>onderzoeken wanneer het misgaat</w:t>
      </w:r>
      <w:r w:rsidRPr="006D3F3A">
        <w:rPr>
          <w:lang w:val="nl-NL"/>
        </w:rPr>
        <w:t>. (</w:t>
      </w:r>
      <w:hyperlink r:id="rId8" w:tooltip="https://lari.lu/wp-content/uploads/2024/08/LARI-CRI-ROP-12-June-2024.pdf" w:history="1">
        <w:r w:rsidRPr="006D3F3A">
          <w:rPr>
            <w:rStyle w:val="Hyperlink"/>
            <w:lang w:val="nl-NL"/>
          </w:rPr>
          <w:t>lari.lu</w:t>
        </w:r>
      </w:hyperlink>
      <w:r w:rsidRPr="006D3F3A">
        <w:rPr>
          <w:lang w:val="nl-NL"/>
        </w:rPr>
        <w:t>)</w:t>
      </w:r>
    </w:p>
    <w:p w14:paraId="53FCC14B" w14:textId="77777777" w:rsidR="006D3F3A" w:rsidRPr="006D3F3A" w:rsidRDefault="006D3F3A" w:rsidP="006D3F3A">
      <w:pPr>
        <w:rPr>
          <w:lang w:val="nl-NL"/>
        </w:rPr>
      </w:pPr>
      <w:r w:rsidRPr="006D3F3A">
        <w:rPr>
          <w:lang w:val="nl-NL"/>
        </w:rPr>
        <w:t xml:space="preserve">Luxemburg heeft hier ook meteen een rijke governance-bronnenlaag. Op de LARI-site staan niet alleen de </w:t>
      </w:r>
      <w:r w:rsidRPr="006D3F3A">
        <w:rPr>
          <w:b/>
          <w:bCs/>
          <w:lang w:val="nl-NL"/>
        </w:rPr>
        <w:t>Statute</w:t>
      </w:r>
      <w:r w:rsidRPr="006D3F3A">
        <w:rPr>
          <w:lang w:val="nl-NL"/>
        </w:rPr>
        <w:t xml:space="preserve"> en de </w:t>
      </w:r>
      <w:r w:rsidRPr="006D3F3A">
        <w:rPr>
          <w:b/>
          <w:bCs/>
          <w:lang w:val="nl-NL"/>
        </w:rPr>
        <w:t>Rules of Procedure</w:t>
      </w:r>
      <w:r w:rsidRPr="006D3F3A">
        <w:rPr>
          <w:lang w:val="nl-NL"/>
        </w:rPr>
        <w:t xml:space="preserve">, maar ook een </w:t>
      </w:r>
      <w:r w:rsidRPr="006D3F3A">
        <w:rPr>
          <w:b/>
          <w:bCs/>
          <w:lang w:val="nl-NL"/>
        </w:rPr>
        <w:t>Data Sharing Agreement</w:t>
      </w:r>
      <w:r w:rsidRPr="006D3F3A">
        <w:rPr>
          <w:lang w:val="nl-NL"/>
        </w:rPr>
        <w:t xml:space="preserve">, een </w:t>
      </w:r>
      <w:r w:rsidRPr="006D3F3A">
        <w:rPr>
          <w:b/>
          <w:bCs/>
          <w:lang w:val="nl-NL"/>
        </w:rPr>
        <w:t>MoU with FNR</w:t>
      </w:r>
      <w:r w:rsidRPr="006D3F3A">
        <w:rPr>
          <w:lang w:val="nl-NL"/>
        </w:rPr>
        <w:t xml:space="preserve"> en meerdere </w:t>
      </w:r>
      <w:r w:rsidRPr="006D3F3A">
        <w:rPr>
          <w:b/>
          <w:bCs/>
          <w:lang w:val="nl-NL"/>
        </w:rPr>
        <w:t>annual reports</w:t>
      </w:r>
      <w:r w:rsidRPr="006D3F3A">
        <w:rPr>
          <w:lang w:val="nl-NL"/>
        </w:rPr>
        <w:t xml:space="preserve">. Op de huidige site zijn de jaarverslagen </w:t>
      </w:r>
      <w:r w:rsidRPr="006D3F3A">
        <w:rPr>
          <w:b/>
          <w:bCs/>
          <w:lang w:val="nl-NL"/>
        </w:rPr>
        <w:t>2018</w:t>
      </w:r>
      <w:r w:rsidRPr="006D3F3A">
        <w:rPr>
          <w:lang w:val="nl-NL"/>
        </w:rPr>
        <w:t xml:space="preserve">, </w:t>
      </w:r>
      <w:r w:rsidRPr="006D3F3A">
        <w:rPr>
          <w:b/>
          <w:bCs/>
          <w:lang w:val="nl-NL"/>
        </w:rPr>
        <w:t>2019</w:t>
      </w:r>
      <w:r w:rsidRPr="006D3F3A">
        <w:rPr>
          <w:lang w:val="nl-NL"/>
        </w:rPr>
        <w:t xml:space="preserve"> en </w:t>
      </w:r>
      <w:r w:rsidRPr="006D3F3A">
        <w:rPr>
          <w:b/>
          <w:bCs/>
          <w:lang w:val="nl-NL"/>
        </w:rPr>
        <w:t>2020–2022</w:t>
      </w:r>
      <w:r w:rsidRPr="006D3F3A">
        <w:rPr>
          <w:lang w:val="nl-NL"/>
        </w:rPr>
        <w:t xml:space="preserve"> beschikbaar; </w:t>
      </w:r>
      <w:r w:rsidRPr="006D3F3A">
        <w:rPr>
          <w:b/>
          <w:bCs/>
          <w:lang w:val="nl-NL"/>
        </w:rPr>
        <w:t>2023</w:t>
      </w:r>
      <w:r w:rsidRPr="006D3F3A">
        <w:rPr>
          <w:lang w:val="nl-NL"/>
        </w:rPr>
        <w:t xml:space="preserve"> en </w:t>
      </w:r>
      <w:r w:rsidRPr="006D3F3A">
        <w:rPr>
          <w:b/>
          <w:bCs/>
          <w:lang w:val="nl-NL"/>
        </w:rPr>
        <w:t>2024</w:t>
      </w:r>
      <w:r w:rsidRPr="006D3F3A">
        <w:rPr>
          <w:lang w:val="nl-NL"/>
        </w:rPr>
        <w:t xml:space="preserve"> staan er momenteel als “coming soon”. Voor jouw project is dat nuttig, omdat LARI daarmee niet alleen een actor is, maar ook een </w:t>
      </w:r>
      <w:r w:rsidRPr="006D3F3A">
        <w:rPr>
          <w:b/>
          <w:bCs/>
          <w:lang w:val="nl-NL"/>
        </w:rPr>
        <w:t>documenthub</w:t>
      </w:r>
      <w:r w:rsidRPr="006D3F3A">
        <w:rPr>
          <w:lang w:val="nl-NL"/>
        </w:rPr>
        <w:t>. (</w:t>
      </w:r>
      <w:hyperlink r:id="rId9" w:tooltip="https://lari.lu/about/" w:history="1">
        <w:r w:rsidRPr="006D3F3A">
          <w:rPr>
            <w:rStyle w:val="Hyperlink"/>
            <w:lang w:val="nl-NL"/>
          </w:rPr>
          <w:t>lari.lu</w:t>
        </w:r>
      </w:hyperlink>
      <w:r w:rsidRPr="006D3F3A">
        <w:rPr>
          <w:lang w:val="nl-NL"/>
        </w:rPr>
        <w:t>)</w:t>
      </w:r>
    </w:p>
    <w:p w14:paraId="229044CC" w14:textId="77777777" w:rsidR="006D3F3A" w:rsidRPr="006D3F3A" w:rsidRDefault="006D3F3A" w:rsidP="006D3F3A">
      <w:pPr>
        <w:rPr>
          <w:b/>
          <w:bCs/>
          <w:lang w:val="nl-NL"/>
        </w:rPr>
      </w:pPr>
      <w:r w:rsidRPr="006D3F3A">
        <w:rPr>
          <w:b/>
          <w:bCs/>
          <w:lang w:val="nl-NL"/>
        </w:rPr>
        <w:t>3. Hoe LARI werkt en wat dat bewijst</w:t>
      </w:r>
    </w:p>
    <w:p w14:paraId="13AC04D4" w14:textId="77777777" w:rsidR="006D3F3A" w:rsidRPr="006D3F3A" w:rsidRDefault="006D3F3A" w:rsidP="006D3F3A">
      <w:pPr>
        <w:rPr>
          <w:lang w:val="nl-NL"/>
        </w:rPr>
      </w:pPr>
      <w:r w:rsidRPr="006D3F3A">
        <w:rPr>
          <w:lang w:val="nl-NL"/>
        </w:rPr>
        <w:t xml:space="preserve">De onderzoeksroute is op de LARI-site vrij helder beschreven. LARI zegt dat het een </w:t>
      </w:r>
      <w:r w:rsidRPr="006D3F3A">
        <w:rPr>
          <w:b/>
          <w:bCs/>
          <w:lang w:val="nl-NL"/>
        </w:rPr>
        <w:t>onafhankelijke inquiry/investigation</w:t>
      </w:r>
      <w:r w:rsidRPr="006D3F3A">
        <w:rPr>
          <w:lang w:val="nl-NL"/>
        </w:rPr>
        <w:t xml:space="preserve"> organiseert voor alle vermeende gevallen van onderzoeksmisdraging bij member organisations en voor onderzoek dat door </w:t>
      </w:r>
      <w:r w:rsidRPr="006D3F3A">
        <w:rPr>
          <w:b/>
          <w:bCs/>
          <w:lang w:val="nl-NL"/>
        </w:rPr>
        <w:t>FNR</w:t>
      </w:r>
      <w:r w:rsidRPr="006D3F3A">
        <w:rPr>
          <w:lang w:val="nl-NL"/>
        </w:rPr>
        <w:t xml:space="preserve"> wordt gefinancierd. Iedereen kan een melding doen; dat kan met naam, maar ook </w:t>
      </w:r>
      <w:r w:rsidRPr="006D3F3A">
        <w:rPr>
          <w:b/>
          <w:bCs/>
          <w:lang w:val="nl-NL"/>
        </w:rPr>
        <w:t>anoniem</w:t>
      </w:r>
      <w:r w:rsidRPr="006D3F3A">
        <w:rPr>
          <w:lang w:val="nl-NL"/>
        </w:rPr>
        <w:t xml:space="preserve"> via een beveiligd platform. De CRI bestaat uit experts </w:t>
      </w:r>
      <w:r w:rsidRPr="006D3F3A">
        <w:rPr>
          <w:b/>
          <w:bCs/>
          <w:lang w:val="nl-NL"/>
        </w:rPr>
        <w:t>van buiten Luxemburg</w:t>
      </w:r>
      <w:r w:rsidRPr="006D3F3A">
        <w:rPr>
          <w:lang w:val="nl-NL"/>
        </w:rPr>
        <w:t>, zonder affiliatie met Luxemburgse instellingen, met conflictregels om onafhankelijkheid te bewaken. (</w:t>
      </w:r>
      <w:hyperlink r:id="rId10" w:tooltip="https://lari.lu/investigation/" w:history="1">
        <w:r w:rsidRPr="006D3F3A">
          <w:rPr>
            <w:rStyle w:val="Hyperlink"/>
            <w:lang w:val="nl-NL"/>
          </w:rPr>
          <w:t>lari.lu</w:t>
        </w:r>
      </w:hyperlink>
      <w:r w:rsidRPr="006D3F3A">
        <w:rPr>
          <w:lang w:val="nl-NL"/>
        </w:rPr>
        <w:t>)</w:t>
      </w:r>
    </w:p>
    <w:p w14:paraId="4941EDC4" w14:textId="77777777" w:rsidR="006D3F3A" w:rsidRPr="006D3F3A" w:rsidRDefault="006D3F3A" w:rsidP="006D3F3A">
      <w:pPr>
        <w:rPr>
          <w:lang w:val="nl-NL"/>
        </w:rPr>
      </w:pPr>
      <w:r w:rsidRPr="006D3F3A">
        <w:rPr>
          <w:lang w:val="nl-NL"/>
        </w:rPr>
        <w:t xml:space="preserve">Een belangrijk verschil met Nederland en Denemarken is de </w:t>
      </w:r>
      <w:r w:rsidRPr="006D3F3A">
        <w:rPr>
          <w:b/>
          <w:bCs/>
          <w:lang w:val="nl-NL"/>
        </w:rPr>
        <w:t>vertrouwelijkheid</w:t>
      </w:r>
      <w:r w:rsidRPr="006D3F3A">
        <w:rPr>
          <w:lang w:val="nl-NL"/>
        </w:rPr>
        <w:t xml:space="preserve"> van de uitkomst. LARI vermeldt dat eindrapporten </w:t>
      </w:r>
      <w:r w:rsidRPr="006D3F3A">
        <w:rPr>
          <w:b/>
          <w:bCs/>
          <w:lang w:val="nl-NL"/>
        </w:rPr>
        <w:t>strikt vertrouwelijk</w:t>
      </w:r>
      <w:r w:rsidRPr="006D3F3A">
        <w:rPr>
          <w:lang w:val="nl-NL"/>
        </w:rPr>
        <w:t xml:space="preserve"> zijn, naar de betrokken member organisation(s) gaan en </w:t>
      </w:r>
      <w:r w:rsidRPr="006D3F3A">
        <w:rPr>
          <w:b/>
          <w:bCs/>
          <w:lang w:val="nl-NL"/>
        </w:rPr>
        <w:t>niet publiek worden gepubliceerd</w:t>
      </w:r>
      <w:r w:rsidRPr="006D3F3A">
        <w:rPr>
          <w:lang w:val="nl-NL"/>
        </w:rPr>
        <w:t xml:space="preserve">. De site zegt ook dat de CRI meestal streeft naar afronding binnen ongeveer </w:t>
      </w:r>
      <w:r w:rsidRPr="006D3F3A">
        <w:rPr>
          <w:b/>
          <w:bCs/>
          <w:lang w:val="nl-NL"/>
        </w:rPr>
        <w:t>vijf maanden</w:t>
      </w:r>
      <w:r w:rsidRPr="006D3F3A">
        <w:rPr>
          <w:lang w:val="nl-NL"/>
        </w:rPr>
        <w:t xml:space="preserve">. Daardoor krijg je in Luxemburg minder een openbare jurisprudentie-achtige casuslaag dan in Nederland of Denemarken; de zichtbare praktijklaag zit hier eerder in </w:t>
      </w:r>
      <w:r w:rsidRPr="006D3F3A">
        <w:rPr>
          <w:b/>
          <w:bCs/>
          <w:lang w:val="nl-NL"/>
        </w:rPr>
        <w:t>jaarverslagen en procesdocumenten</w:t>
      </w:r>
      <w:r w:rsidRPr="006D3F3A">
        <w:rPr>
          <w:lang w:val="nl-NL"/>
        </w:rPr>
        <w:t xml:space="preserve"> dan in openbare besluiten. (</w:t>
      </w:r>
      <w:hyperlink r:id="rId11" w:tooltip="https://lari.lu/investigation/" w:history="1">
        <w:r w:rsidRPr="006D3F3A">
          <w:rPr>
            <w:rStyle w:val="Hyperlink"/>
            <w:lang w:val="nl-NL"/>
          </w:rPr>
          <w:t>lari.lu</w:t>
        </w:r>
      </w:hyperlink>
      <w:r w:rsidRPr="006D3F3A">
        <w:rPr>
          <w:lang w:val="nl-NL"/>
        </w:rPr>
        <w:t>)</w:t>
      </w:r>
    </w:p>
    <w:p w14:paraId="014B4D40" w14:textId="77777777" w:rsidR="006D3F3A" w:rsidRPr="006D3F3A" w:rsidRDefault="006D3F3A" w:rsidP="006D3F3A">
      <w:pPr>
        <w:rPr>
          <w:lang w:val="nl-NL"/>
        </w:rPr>
      </w:pPr>
      <w:r w:rsidRPr="006D3F3A">
        <w:rPr>
          <w:lang w:val="nl-NL"/>
        </w:rPr>
        <w:t xml:space="preserve">Nog een belangrijke afbakening: LARI zegt expliciet dat zijn onderzoeken </w:t>
      </w:r>
      <w:r w:rsidRPr="006D3F3A">
        <w:rPr>
          <w:b/>
          <w:bCs/>
          <w:lang w:val="nl-NL"/>
        </w:rPr>
        <w:t>geen gerechtelijke procedures</w:t>
      </w:r>
      <w:r w:rsidRPr="006D3F3A">
        <w:rPr>
          <w:lang w:val="nl-NL"/>
        </w:rPr>
        <w:t xml:space="preserve"> zijn, dat research integrity primair steunt op </w:t>
      </w:r>
      <w:r w:rsidRPr="006D3F3A">
        <w:rPr>
          <w:b/>
          <w:bCs/>
          <w:lang w:val="nl-NL"/>
        </w:rPr>
        <w:t>soft law</w:t>
      </w:r>
      <w:r w:rsidRPr="006D3F3A">
        <w:rPr>
          <w:lang w:val="nl-NL"/>
        </w:rPr>
        <w:t xml:space="preserve"> — codes, richtlijnen en gedeelde professionele normen — en dat LARI </w:t>
      </w:r>
      <w:r w:rsidRPr="006D3F3A">
        <w:rPr>
          <w:b/>
          <w:bCs/>
          <w:lang w:val="nl-NL"/>
        </w:rPr>
        <w:t>geen juridisch advies</w:t>
      </w:r>
      <w:r w:rsidRPr="006D3F3A">
        <w:rPr>
          <w:lang w:val="nl-NL"/>
        </w:rPr>
        <w:t xml:space="preserve"> kan geven. Ook benadrukt LARI dat het </w:t>
      </w:r>
      <w:r w:rsidRPr="006D3F3A">
        <w:rPr>
          <w:b/>
          <w:bCs/>
          <w:lang w:val="nl-NL"/>
        </w:rPr>
        <w:t>geen ethics committee / IRB</w:t>
      </w:r>
      <w:r w:rsidRPr="006D3F3A">
        <w:rPr>
          <w:lang w:val="nl-NL"/>
        </w:rPr>
        <w:t xml:space="preserve"> is en dat zaken als intimidatie, pesten, discriminatie, seksuele intimidatie, misbruik van middelen, boekhoudfraude of corruptie buiten zijn kerntaak vallen. Voor jouw bronkaart zijn dat cruciale </w:t>
      </w:r>
      <w:r w:rsidRPr="006D3F3A">
        <w:rPr>
          <w:b/>
          <w:bCs/>
          <w:lang w:val="nl-NL"/>
        </w:rPr>
        <w:t>grensdocumenten</w:t>
      </w:r>
      <w:r w:rsidRPr="006D3F3A">
        <w:rPr>
          <w:lang w:val="nl-NL"/>
        </w:rPr>
        <w:t>: ze laten zien wat Luxemburg wel en niet onder research integrity schaart. (</w:t>
      </w:r>
      <w:hyperlink r:id="rId12" w:tooltip="https://lari.lu/investigation/" w:history="1">
        <w:r w:rsidRPr="006D3F3A">
          <w:rPr>
            <w:rStyle w:val="Hyperlink"/>
            <w:lang w:val="nl-NL"/>
          </w:rPr>
          <w:t>lari.lu</w:t>
        </w:r>
      </w:hyperlink>
      <w:r w:rsidRPr="006D3F3A">
        <w:rPr>
          <w:lang w:val="nl-NL"/>
        </w:rPr>
        <w:t>)</w:t>
      </w:r>
    </w:p>
    <w:p w14:paraId="40DF49F2" w14:textId="77777777" w:rsidR="006D3F3A" w:rsidRPr="006D3F3A" w:rsidRDefault="006D3F3A" w:rsidP="006D3F3A">
      <w:pPr>
        <w:rPr>
          <w:lang w:val="nl-NL"/>
        </w:rPr>
      </w:pPr>
      <w:r w:rsidRPr="006D3F3A">
        <w:rPr>
          <w:lang w:val="nl-NL"/>
        </w:rPr>
        <w:t xml:space="preserve">De preventielaag van LARI is bovendien echt substantieel. LARI biedt training, advies en outreach aan member organisations; gebruikt daarbij niet alleen de European Code, maar ook referenties als </w:t>
      </w:r>
      <w:r w:rsidRPr="006D3F3A">
        <w:rPr>
          <w:b/>
          <w:bCs/>
          <w:lang w:val="nl-NL"/>
        </w:rPr>
        <w:t>Vancouver</w:t>
      </w:r>
      <w:r w:rsidRPr="006D3F3A">
        <w:rPr>
          <w:lang w:val="nl-NL"/>
        </w:rPr>
        <w:t xml:space="preserve">, </w:t>
      </w:r>
      <w:r w:rsidRPr="006D3F3A">
        <w:rPr>
          <w:b/>
          <w:bCs/>
          <w:lang w:val="nl-NL"/>
        </w:rPr>
        <w:t>CRediT</w:t>
      </w:r>
      <w:r w:rsidRPr="006D3F3A">
        <w:rPr>
          <w:lang w:val="nl-NL"/>
        </w:rPr>
        <w:t xml:space="preserve">, </w:t>
      </w:r>
      <w:r w:rsidRPr="006D3F3A">
        <w:rPr>
          <w:b/>
          <w:bCs/>
          <w:lang w:val="nl-NL"/>
        </w:rPr>
        <w:t>DORA</w:t>
      </w:r>
      <w:r w:rsidRPr="006D3F3A">
        <w:rPr>
          <w:lang w:val="nl-NL"/>
        </w:rPr>
        <w:t xml:space="preserve">, </w:t>
      </w:r>
      <w:r w:rsidRPr="006D3F3A">
        <w:rPr>
          <w:b/>
          <w:bCs/>
          <w:lang w:val="nl-NL"/>
        </w:rPr>
        <w:t>TRUST</w:t>
      </w:r>
      <w:r w:rsidRPr="006D3F3A">
        <w:rPr>
          <w:lang w:val="nl-NL"/>
        </w:rPr>
        <w:t xml:space="preserve"> en </w:t>
      </w:r>
      <w:r w:rsidRPr="006D3F3A">
        <w:rPr>
          <w:b/>
          <w:bCs/>
          <w:lang w:val="nl-NL"/>
        </w:rPr>
        <w:t>ROSiE</w:t>
      </w:r>
      <w:r w:rsidRPr="006D3F3A">
        <w:rPr>
          <w:lang w:val="nl-NL"/>
        </w:rPr>
        <w:t xml:space="preserve">; en levert gratis trainingen, ook voor </w:t>
      </w:r>
      <w:r w:rsidRPr="006D3F3A">
        <w:rPr>
          <w:b/>
          <w:bCs/>
          <w:lang w:val="nl-NL"/>
        </w:rPr>
        <w:t>PhD-studenten</w:t>
      </w:r>
      <w:r w:rsidRPr="006D3F3A">
        <w:rPr>
          <w:lang w:val="nl-NL"/>
        </w:rPr>
        <w:t xml:space="preserve"> in samenwerking met de University’s Transferable Skills Unit. In het interim jaarverslag </w:t>
      </w:r>
      <w:r w:rsidRPr="006D3F3A">
        <w:rPr>
          <w:b/>
          <w:bCs/>
          <w:lang w:val="nl-NL"/>
        </w:rPr>
        <w:t>2020–2022</w:t>
      </w:r>
      <w:r w:rsidRPr="006D3F3A">
        <w:rPr>
          <w:lang w:val="nl-NL"/>
        </w:rPr>
        <w:t xml:space="preserve"> meldt LARI dat het </w:t>
      </w:r>
      <w:r w:rsidRPr="006D3F3A">
        <w:rPr>
          <w:b/>
          <w:bCs/>
          <w:lang w:val="nl-NL"/>
        </w:rPr>
        <w:t>7 zaken</w:t>
      </w:r>
      <w:r w:rsidRPr="006D3F3A">
        <w:rPr>
          <w:lang w:val="nl-NL"/>
        </w:rPr>
        <w:t xml:space="preserve"> opende, </w:t>
      </w:r>
      <w:r w:rsidRPr="006D3F3A">
        <w:rPr>
          <w:b/>
          <w:bCs/>
          <w:lang w:val="nl-NL"/>
        </w:rPr>
        <w:t>6</w:t>
      </w:r>
      <w:r w:rsidRPr="006D3F3A">
        <w:rPr>
          <w:lang w:val="nl-NL"/>
        </w:rPr>
        <w:t xml:space="preserve"> sloot en </w:t>
      </w:r>
      <w:r w:rsidRPr="006D3F3A">
        <w:rPr>
          <w:b/>
          <w:bCs/>
          <w:lang w:val="nl-NL"/>
        </w:rPr>
        <w:t>90</w:t>
      </w:r>
      <w:r w:rsidRPr="006D3F3A">
        <w:rPr>
          <w:lang w:val="nl-NL"/>
        </w:rPr>
        <w:t xml:space="preserve"> verzoeken om advies of ondersteuning ontving. Dat suggereert dat LARI in de </w:t>
      </w:r>
      <w:r w:rsidRPr="006D3F3A">
        <w:rPr>
          <w:lang w:val="nl-NL"/>
        </w:rPr>
        <w:lastRenderedPageBreak/>
        <w:t xml:space="preserve">praktijk niet alleen als “onderzoekscommissie” werkt, maar ook als een </w:t>
      </w:r>
      <w:r w:rsidRPr="006D3F3A">
        <w:rPr>
          <w:b/>
          <w:bCs/>
          <w:lang w:val="nl-NL"/>
        </w:rPr>
        <w:t>doorlopende advies- en preventiestructuur</w:t>
      </w:r>
      <w:r w:rsidRPr="006D3F3A">
        <w:rPr>
          <w:lang w:val="nl-NL"/>
        </w:rPr>
        <w:t>. (</w:t>
      </w:r>
      <w:hyperlink r:id="rId13" w:tooltip="https://lari.lu/prevention/" w:history="1">
        <w:r w:rsidRPr="006D3F3A">
          <w:rPr>
            <w:rStyle w:val="Hyperlink"/>
            <w:lang w:val="nl-NL"/>
          </w:rPr>
          <w:t>lari.lu</w:t>
        </w:r>
      </w:hyperlink>
      <w:r w:rsidRPr="006D3F3A">
        <w:rPr>
          <w:lang w:val="nl-NL"/>
        </w:rPr>
        <w:t>)</w:t>
      </w:r>
    </w:p>
    <w:p w14:paraId="51249D82" w14:textId="77777777" w:rsidR="006D3F3A" w:rsidRPr="006D3F3A" w:rsidRDefault="006D3F3A" w:rsidP="006D3F3A">
      <w:pPr>
        <w:rPr>
          <w:b/>
          <w:bCs/>
          <w:lang w:val="nl-NL"/>
        </w:rPr>
      </w:pPr>
      <w:r w:rsidRPr="006D3F3A">
        <w:rPr>
          <w:b/>
          <w:bCs/>
          <w:lang w:val="nl-NL"/>
        </w:rPr>
        <w:t>4. De rol van FNR</w:t>
      </w:r>
    </w:p>
    <w:p w14:paraId="04BB6C4E" w14:textId="77777777" w:rsidR="006D3F3A" w:rsidRPr="006D3F3A" w:rsidRDefault="006D3F3A" w:rsidP="006D3F3A">
      <w:pPr>
        <w:rPr>
          <w:lang w:val="nl-NL"/>
        </w:rPr>
      </w:pPr>
      <w:r w:rsidRPr="006D3F3A">
        <w:rPr>
          <w:lang w:val="nl-NL"/>
        </w:rPr>
        <w:t xml:space="preserve">De tweede grote nationale pijler is </w:t>
      </w:r>
      <w:r w:rsidRPr="006D3F3A">
        <w:rPr>
          <w:b/>
          <w:bCs/>
          <w:lang w:val="nl-NL"/>
        </w:rPr>
        <w:t>FNR</w:t>
      </w:r>
      <w:r w:rsidRPr="006D3F3A">
        <w:rPr>
          <w:lang w:val="nl-NL"/>
        </w:rPr>
        <w:t xml:space="preserve">. FNR beschrijft zichzelf als de </w:t>
      </w:r>
      <w:r w:rsidRPr="006D3F3A">
        <w:rPr>
          <w:b/>
          <w:bCs/>
          <w:lang w:val="nl-NL"/>
        </w:rPr>
        <w:t>hoofd-financier van onderzoek in Luxemburg</w:t>
      </w:r>
      <w:r w:rsidRPr="006D3F3A">
        <w:rPr>
          <w:lang w:val="nl-NL"/>
        </w:rPr>
        <w:t xml:space="preserve"> en als adviseur van de regering over onderzoeksbeleid en strategie. In de </w:t>
      </w:r>
      <w:r w:rsidRPr="006D3F3A">
        <w:rPr>
          <w:b/>
          <w:bCs/>
          <w:lang w:val="nl-NL"/>
        </w:rPr>
        <w:t>Funding Policies</w:t>
      </w:r>
      <w:r w:rsidRPr="006D3F3A">
        <w:rPr>
          <w:lang w:val="nl-NL"/>
        </w:rPr>
        <w:t xml:space="preserve"> staat expliciet dat onderzoek moet voldoen aan toepasselijk recht en ethiek, </w:t>
      </w:r>
      <w:r w:rsidRPr="006D3F3A">
        <w:rPr>
          <w:b/>
          <w:bCs/>
          <w:lang w:val="nl-NL"/>
        </w:rPr>
        <w:t>in overeenstemming met de European Code of Conduct</w:t>
      </w:r>
      <w:r w:rsidRPr="006D3F3A">
        <w:rPr>
          <w:lang w:val="nl-NL"/>
        </w:rPr>
        <w:t xml:space="preserve"> en de FNR research-integrity richtlijnen. Bij een goed onderbouwd vermoeden van research misconduct in FNR-gefinancierd onderzoek moeten begunstigden dat aan </w:t>
      </w:r>
      <w:r w:rsidRPr="006D3F3A">
        <w:rPr>
          <w:b/>
          <w:bCs/>
          <w:lang w:val="nl-NL"/>
        </w:rPr>
        <w:t>LARI</w:t>
      </w:r>
      <w:r w:rsidRPr="006D3F3A">
        <w:rPr>
          <w:lang w:val="nl-NL"/>
        </w:rPr>
        <w:t xml:space="preserve"> melden, met kennisgeving aan FNR. (</w:t>
      </w:r>
      <w:hyperlink r:id="rId14" w:tooltip="https://www.fnr.lu/what-we-do/" w:history="1">
        <w:r w:rsidRPr="006D3F3A">
          <w:rPr>
            <w:rStyle w:val="Hyperlink"/>
            <w:lang w:val="nl-NL"/>
          </w:rPr>
          <w:t>FNR</w:t>
        </w:r>
      </w:hyperlink>
      <w:r w:rsidRPr="006D3F3A">
        <w:rPr>
          <w:lang w:val="nl-NL"/>
        </w:rPr>
        <w:t>)</w:t>
      </w:r>
    </w:p>
    <w:p w14:paraId="2536AB47" w14:textId="77777777" w:rsidR="006D3F3A" w:rsidRPr="006D3F3A" w:rsidRDefault="006D3F3A" w:rsidP="006D3F3A">
      <w:pPr>
        <w:rPr>
          <w:lang w:val="nl-NL"/>
        </w:rPr>
      </w:pPr>
      <w:r w:rsidRPr="006D3F3A">
        <w:rPr>
          <w:lang w:val="nl-NL"/>
        </w:rPr>
        <w:t xml:space="preserve">FNR is dus niet alleen een financier, maar een echte </w:t>
      </w:r>
      <w:r w:rsidRPr="006D3F3A">
        <w:rPr>
          <w:b/>
          <w:bCs/>
          <w:lang w:val="nl-NL"/>
        </w:rPr>
        <w:t>compliance actor</w:t>
      </w:r>
      <w:r w:rsidRPr="006D3F3A">
        <w:rPr>
          <w:lang w:val="nl-NL"/>
        </w:rPr>
        <w:t xml:space="preserve">. De funding policies koppelen integriteit aan verplichte ethics clearances, dataprotectie, regels voor onderzoek met mensen, dieren en gevoelige onderzoeksactiviteiten, en aan open-science/data-principes zoals een </w:t>
      </w:r>
      <w:r w:rsidRPr="006D3F3A">
        <w:rPr>
          <w:b/>
          <w:bCs/>
          <w:lang w:val="nl-NL"/>
        </w:rPr>
        <w:t>Data Management Plan</w:t>
      </w:r>
      <w:r w:rsidRPr="006D3F3A">
        <w:rPr>
          <w:lang w:val="nl-NL"/>
        </w:rPr>
        <w:t xml:space="preserve"> en </w:t>
      </w:r>
      <w:r w:rsidRPr="006D3F3A">
        <w:rPr>
          <w:b/>
          <w:bCs/>
          <w:lang w:val="nl-NL"/>
        </w:rPr>
        <w:t>FAIR</w:t>
      </w:r>
      <w:r w:rsidRPr="006D3F3A">
        <w:rPr>
          <w:lang w:val="nl-NL"/>
        </w:rPr>
        <w:t xml:space="preserve">. Dezelfde bron bevat ook richtlijnen voor het gebruik van </w:t>
      </w:r>
      <w:r w:rsidRPr="006D3F3A">
        <w:rPr>
          <w:b/>
          <w:bCs/>
          <w:lang w:val="nl-NL"/>
        </w:rPr>
        <w:t>generative AI</w:t>
      </w:r>
      <w:r w:rsidRPr="006D3F3A">
        <w:rPr>
          <w:lang w:val="nl-NL"/>
        </w:rPr>
        <w:t xml:space="preserve"> in aanvraag-, review- en besluitvormingsprocessen. Daardoor vormt FNR in Luxemburg een sterke normatieve schakel tussen integriteit, ethiek, data en financiering. (</w:t>
      </w:r>
      <w:hyperlink r:id="rId15" w:tooltip="https://www.fnr.lu/our-funding-policies/" w:history="1">
        <w:r w:rsidRPr="006D3F3A">
          <w:rPr>
            <w:rStyle w:val="Hyperlink"/>
            <w:lang w:val="nl-NL"/>
          </w:rPr>
          <w:t>FNR</w:t>
        </w:r>
      </w:hyperlink>
      <w:r w:rsidRPr="006D3F3A">
        <w:rPr>
          <w:lang w:val="nl-NL"/>
        </w:rPr>
        <w:t>)</w:t>
      </w:r>
    </w:p>
    <w:p w14:paraId="3D558C73" w14:textId="77777777" w:rsidR="006D3F3A" w:rsidRPr="006D3F3A" w:rsidRDefault="006D3F3A" w:rsidP="006D3F3A">
      <w:pPr>
        <w:rPr>
          <w:lang w:val="nl-NL"/>
        </w:rPr>
      </w:pPr>
      <w:r w:rsidRPr="006D3F3A">
        <w:rPr>
          <w:lang w:val="nl-NL"/>
        </w:rPr>
        <w:t xml:space="preserve">De relatie tussen FNR en LARI is bovendien formeel vastgelegd. In de </w:t>
      </w:r>
      <w:r w:rsidRPr="006D3F3A">
        <w:rPr>
          <w:b/>
          <w:bCs/>
          <w:lang w:val="nl-NL"/>
        </w:rPr>
        <w:t>MoU between FNR and LARI</w:t>
      </w:r>
      <w:r w:rsidRPr="006D3F3A">
        <w:rPr>
          <w:lang w:val="nl-NL"/>
        </w:rPr>
        <w:t xml:space="preserve"> staat dat FNR de verantwoordelijkheid om vermeende research misconduct en andere onaanvaardbare onderzoekspraktijken in FNR-gefinancierd onderzoek te onderzoeken, heeft gedelegeerd aan de </w:t>
      </w:r>
      <w:r w:rsidRPr="006D3F3A">
        <w:rPr>
          <w:b/>
          <w:bCs/>
          <w:lang w:val="nl-NL"/>
        </w:rPr>
        <w:t>CRI van LARI</w:t>
      </w:r>
      <w:r w:rsidRPr="006D3F3A">
        <w:rPr>
          <w:lang w:val="nl-NL"/>
        </w:rPr>
        <w:t xml:space="preserve">. Diezelfde MoU noemt aan FNR-zijde twee vaste contactpunten — de </w:t>
      </w:r>
      <w:r w:rsidRPr="006D3F3A">
        <w:rPr>
          <w:b/>
          <w:bCs/>
          <w:lang w:val="nl-NL"/>
        </w:rPr>
        <w:t>Secretary General</w:t>
      </w:r>
      <w:r w:rsidRPr="006D3F3A">
        <w:rPr>
          <w:lang w:val="nl-NL"/>
        </w:rPr>
        <w:t xml:space="preserve"> en de </w:t>
      </w:r>
      <w:r w:rsidRPr="006D3F3A">
        <w:rPr>
          <w:b/>
          <w:bCs/>
          <w:lang w:val="nl-NL"/>
        </w:rPr>
        <w:t>Research Integrity Officer</w:t>
      </w:r>
      <w:r w:rsidRPr="006D3F3A">
        <w:rPr>
          <w:lang w:val="nl-NL"/>
        </w:rPr>
        <w:t xml:space="preserve"> — en voorziet in de mogelijkheid dat FNR betalingen tijdelijk on hold zet als verdere schade moet worden voorkomen. Voor jouw project is dit een schoolvoorbeeld van een document waarmee je kunt </w:t>
      </w:r>
      <w:r w:rsidRPr="006D3F3A">
        <w:rPr>
          <w:b/>
          <w:bCs/>
          <w:lang w:val="nl-NL"/>
        </w:rPr>
        <w:t>bewijzen hoe een funder institutioneel in het integriteitssysteem is ingebouwd</w:t>
      </w:r>
      <w:r w:rsidRPr="006D3F3A">
        <w:rPr>
          <w:lang w:val="nl-NL"/>
        </w:rPr>
        <w:t>. (</w:t>
      </w:r>
      <w:hyperlink r:id="rId16" w:tooltip="https://lari.lu/wp-content/uploads/2025/02/MoU-LARI-FNR-signed.pdf" w:history="1">
        <w:r w:rsidRPr="006D3F3A">
          <w:rPr>
            <w:rStyle w:val="Hyperlink"/>
            <w:lang w:val="nl-NL"/>
          </w:rPr>
          <w:t>lari.lu</w:t>
        </w:r>
      </w:hyperlink>
      <w:r w:rsidRPr="006D3F3A">
        <w:rPr>
          <w:lang w:val="nl-NL"/>
        </w:rPr>
        <w:t>)</w:t>
      </w:r>
    </w:p>
    <w:p w14:paraId="15F9E076" w14:textId="77777777" w:rsidR="006D3F3A" w:rsidRPr="006D3F3A" w:rsidRDefault="006D3F3A" w:rsidP="006D3F3A">
      <w:pPr>
        <w:rPr>
          <w:b/>
          <w:bCs/>
          <w:lang w:val="nl-NL"/>
        </w:rPr>
      </w:pPr>
      <w:r w:rsidRPr="006D3F3A">
        <w:rPr>
          <w:b/>
          <w:bCs/>
          <w:lang w:val="nl-NL"/>
        </w:rPr>
        <w:t>5. De institutionele laag: University of Luxembourg</w:t>
      </w:r>
    </w:p>
    <w:p w14:paraId="2E24C9B0" w14:textId="77777777" w:rsidR="006D3F3A" w:rsidRPr="006D3F3A" w:rsidRDefault="006D3F3A" w:rsidP="006D3F3A">
      <w:pPr>
        <w:rPr>
          <w:lang w:val="nl-NL"/>
        </w:rPr>
      </w:pPr>
      <w:r w:rsidRPr="006D3F3A">
        <w:rPr>
          <w:lang w:val="nl-NL"/>
        </w:rPr>
        <w:t xml:space="preserve">Op instellingsniveau is de </w:t>
      </w:r>
      <w:r w:rsidRPr="006D3F3A">
        <w:rPr>
          <w:b/>
          <w:bCs/>
          <w:lang w:val="nl-NL"/>
        </w:rPr>
        <w:t>University of Luxembourg</w:t>
      </w:r>
      <w:r w:rsidRPr="006D3F3A">
        <w:rPr>
          <w:lang w:val="nl-NL"/>
        </w:rPr>
        <w:t xml:space="preserve"> de rijkste bron. </w:t>
      </w:r>
      <w:r w:rsidRPr="006D3F3A">
        <w:t xml:space="preserve">Op de centrale pagina </w:t>
      </w:r>
      <w:r w:rsidRPr="006D3F3A">
        <w:rPr>
          <w:b/>
          <w:bCs/>
        </w:rPr>
        <w:t>Ethics and Integrity</w:t>
      </w:r>
      <w:r w:rsidRPr="006D3F3A">
        <w:t xml:space="preserve"> staan naast elkaar: de </w:t>
      </w:r>
      <w:r w:rsidRPr="006D3F3A">
        <w:rPr>
          <w:b/>
          <w:bCs/>
        </w:rPr>
        <w:t>Code of Conduct</w:t>
      </w:r>
      <w:r w:rsidRPr="006D3F3A">
        <w:t xml:space="preserve">, </w:t>
      </w:r>
      <w:r w:rsidRPr="006D3F3A">
        <w:rPr>
          <w:b/>
          <w:bCs/>
        </w:rPr>
        <w:t>Research Integrity</w:t>
      </w:r>
      <w:r w:rsidRPr="006D3F3A">
        <w:t xml:space="preserve">, </w:t>
      </w:r>
      <w:r w:rsidRPr="006D3F3A">
        <w:rPr>
          <w:b/>
          <w:bCs/>
        </w:rPr>
        <w:t>Academic misconduct/fraud/plagiarism</w:t>
      </w:r>
      <w:r w:rsidRPr="006D3F3A">
        <w:t xml:space="preserve">, de </w:t>
      </w:r>
      <w:r w:rsidRPr="006D3F3A">
        <w:rPr>
          <w:b/>
          <w:bCs/>
        </w:rPr>
        <w:t>Ethics Review Panel (ERP)</w:t>
      </w:r>
      <w:r w:rsidRPr="006D3F3A">
        <w:t xml:space="preserve">, de </w:t>
      </w:r>
      <w:r w:rsidRPr="006D3F3A">
        <w:rPr>
          <w:b/>
          <w:bCs/>
        </w:rPr>
        <w:t>Animal Experimentation Ethics Committee</w:t>
      </w:r>
      <w:r w:rsidRPr="006D3F3A">
        <w:t xml:space="preserve"> en </w:t>
      </w:r>
      <w:r w:rsidRPr="006D3F3A">
        <w:rPr>
          <w:b/>
          <w:bCs/>
        </w:rPr>
        <w:t>Whistleblowing</w:t>
      </w:r>
      <w:r w:rsidRPr="006D3F3A">
        <w:t xml:space="preserve">. </w:t>
      </w:r>
      <w:r w:rsidRPr="006D3F3A">
        <w:rPr>
          <w:lang w:val="nl-NL"/>
        </w:rPr>
        <w:t xml:space="preserve">Alleen al die informatie-architectuur is analytisch relevant: de universiteit maakt dus zichtbaar onderscheid tussen </w:t>
      </w:r>
      <w:r w:rsidRPr="006D3F3A">
        <w:rPr>
          <w:b/>
          <w:bCs/>
          <w:lang w:val="nl-NL"/>
        </w:rPr>
        <w:t>research integrity</w:t>
      </w:r>
      <w:r w:rsidRPr="006D3F3A">
        <w:rPr>
          <w:lang w:val="nl-NL"/>
        </w:rPr>
        <w:t xml:space="preserve">, </w:t>
      </w:r>
      <w:r w:rsidRPr="006D3F3A">
        <w:rPr>
          <w:b/>
          <w:bCs/>
          <w:lang w:val="nl-NL"/>
        </w:rPr>
        <w:t>research ethics</w:t>
      </w:r>
      <w:r w:rsidRPr="006D3F3A">
        <w:rPr>
          <w:lang w:val="nl-NL"/>
        </w:rPr>
        <w:t xml:space="preserve">, </w:t>
      </w:r>
      <w:r w:rsidRPr="006D3F3A">
        <w:rPr>
          <w:b/>
          <w:bCs/>
          <w:lang w:val="nl-NL"/>
        </w:rPr>
        <w:t>student/academic misconduct</w:t>
      </w:r>
      <w:r w:rsidRPr="006D3F3A">
        <w:rPr>
          <w:lang w:val="nl-NL"/>
        </w:rPr>
        <w:t xml:space="preserve"> en </w:t>
      </w:r>
      <w:r w:rsidRPr="006D3F3A">
        <w:rPr>
          <w:b/>
          <w:bCs/>
          <w:lang w:val="nl-NL"/>
        </w:rPr>
        <w:t>breaches of law / whistleblowing</w:t>
      </w:r>
      <w:r w:rsidRPr="006D3F3A">
        <w:rPr>
          <w:lang w:val="nl-NL"/>
        </w:rPr>
        <w:t>. (</w:t>
      </w:r>
      <w:hyperlink r:id="rId17" w:tooltip="https://www.uni.lu/en/about/ethics-integrity/" w:history="1">
        <w:r w:rsidRPr="006D3F3A">
          <w:rPr>
            <w:rStyle w:val="Hyperlink"/>
            <w:lang w:val="nl-NL"/>
          </w:rPr>
          <w:t>UNI EN</w:t>
        </w:r>
      </w:hyperlink>
      <w:r w:rsidRPr="006D3F3A">
        <w:rPr>
          <w:lang w:val="nl-NL"/>
        </w:rPr>
        <w:t>)</w:t>
      </w:r>
    </w:p>
    <w:p w14:paraId="545A2EF7" w14:textId="77777777" w:rsidR="006D3F3A" w:rsidRPr="006D3F3A" w:rsidRDefault="006D3F3A" w:rsidP="006D3F3A">
      <w:pPr>
        <w:rPr>
          <w:lang w:val="nl-NL"/>
        </w:rPr>
      </w:pPr>
      <w:r w:rsidRPr="006D3F3A">
        <w:rPr>
          <w:lang w:val="nl-NL"/>
        </w:rPr>
        <w:t xml:space="preserve">De universiteit heeft daarnaast een vrij expliciete integriteitsroute. De research-integrity pagina zegt dat onderzoek wordt uitgevoerd in lijn met de </w:t>
      </w:r>
      <w:r w:rsidRPr="006D3F3A">
        <w:rPr>
          <w:b/>
          <w:bCs/>
          <w:lang w:val="nl-NL"/>
        </w:rPr>
        <w:t>European Code of Conduct for Research Integrity</w:t>
      </w:r>
      <w:r w:rsidRPr="006D3F3A">
        <w:rPr>
          <w:lang w:val="nl-NL"/>
        </w:rPr>
        <w:t xml:space="preserve"> en de </w:t>
      </w:r>
      <w:r w:rsidRPr="006D3F3A">
        <w:rPr>
          <w:b/>
          <w:bCs/>
          <w:lang w:val="nl-NL"/>
        </w:rPr>
        <w:t>European Charter &amp; Code</w:t>
      </w:r>
      <w:r w:rsidRPr="006D3F3A">
        <w:rPr>
          <w:lang w:val="nl-NL"/>
        </w:rPr>
        <w:t xml:space="preserve">; er is doorlopende training, </w:t>
      </w:r>
      <w:r w:rsidRPr="006D3F3A">
        <w:rPr>
          <w:lang w:val="nl-NL"/>
        </w:rPr>
        <w:lastRenderedPageBreak/>
        <w:t xml:space="preserve">inclusief e-learning voor onderzoekers en supervisors van Luxembourg Research Institutes; </w:t>
      </w:r>
      <w:r w:rsidRPr="006D3F3A">
        <w:rPr>
          <w:b/>
          <w:bCs/>
          <w:lang w:val="nl-NL"/>
        </w:rPr>
        <w:t>Good Scientific Practice</w:t>
      </w:r>
      <w:r w:rsidRPr="006D3F3A">
        <w:rPr>
          <w:lang w:val="nl-NL"/>
        </w:rPr>
        <w:t xml:space="preserve"> is verplicht voor alle doctoral candidates; en workshops voor supervisors worden aangeboden. Vermoedens van schendingen worden gecommuniceerd via de lijnhiërarchie en/of de </w:t>
      </w:r>
      <w:r w:rsidRPr="006D3F3A">
        <w:rPr>
          <w:b/>
          <w:bCs/>
          <w:lang w:val="nl-NL"/>
        </w:rPr>
        <w:t>Vice-Rector for Research</w:t>
      </w:r>
      <w:r w:rsidRPr="006D3F3A">
        <w:rPr>
          <w:lang w:val="nl-NL"/>
        </w:rPr>
        <w:t xml:space="preserve">. Dat maakt de universiteit tot een belangrijke </w:t>
      </w:r>
      <w:r w:rsidRPr="006D3F3A">
        <w:rPr>
          <w:b/>
          <w:bCs/>
          <w:lang w:val="nl-NL"/>
        </w:rPr>
        <w:t>lokale vertaler van nationale normen naar training en melding</w:t>
      </w:r>
      <w:r w:rsidRPr="006D3F3A">
        <w:rPr>
          <w:lang w:val="nl-NL"/>
        </w:rPr>
        <w:t>. (</w:t>
      </w:r>
      <w:hyperlink r:id="rId18" w:tooltip="https://www.uni.lu/en/about/ethics-integrity/research-integrity/" w:history="1">
        <w:r w:rsidRPr="006D3F3A">
          <w:rPr>
            <w:rStyle w:val="Hyperlink"/>
            <w:lang w:val="nl-NL"/>
          </w:rPr>
          <w:t>UNI EN</w:t>
        </w:r>
      </w:hyperlink>
      <w:r w:rsidRPr="006D3F3A">
        <w:rPr>
          <w:lang w:val="nl-NL"/>
        </w:rPr>
        <w:t>)</w:t>
      </w:r>
    </w:p>
    <w:p w14:paraId="22C8A541" w14:textId="77777777" w:rsidR="006D3F3A" w:rsidRPr="006D3F3A" w:rsidRDefault="006D3F3A" w:rsidP="006D3F3A">
      <w:pPr>
        <w:rPr>
          <w:lang w:val="nl-NL"/>
        </w:rPr>
      </w:pPr>
      <w:r w:rsidRPr="006D3F3A">
        <w:rPr>
          <w:lang w:val="nl-NL"/>
        </w:rPr>
        <w:t xml:space="preserve">De universiteit laat ook de grens met ethics review scherp zien. De </w:t>
      </w:r>
      <w:r w:rsidRPr="006D3F3A">
        <w:rPr>
          <w:b/>
          <w:bCs/>
          <w:lang w:val="nl-NL"/>
        </w:rPr>
        <w:t>Ethics Review Panel</w:t>
      </w:r>
      <w:r w:rsidRPr="006D3F3A">
        <w:rPr>
          <w:lang w:val="nl-NL"/>
        </w:rPr>
        <w:t xml:space="preserve"> beoordeelt de ethische aspecten van projecten met menselijke deelnemers, menselijk materiaal, persoonsgegevens of potentieel schadelijke veranderingen voor het milieu, en vereist goedkeuring vóór de start van zulke activiteiten. Tegelijk zegt diezelfde pagina expliciet dat de ERP </w:t>
      </w:r>
      <w:r w:rsidRPr="006D3F3A">
        <w:rPr>
          <w:b/>
          <w:bCs/>
          <w:lang w:val="nl-NL"/>
        </w:rPr>
        <w:t>niet</w:t>
      </w:r>
      <w:r w:rsidRPr="006D3F3A">
        <w:rPr>
          <w:lang w:val="nl-NL"/>
        </w:rPr>
        <w:t xml:space="preserve"> gaat over vermeende research misconduct; dat loopt via </w:t>
      </w:r>
      <w:r w:rsidRPr="006D3F3A">
        <w:rPr>
          <w:b/>
          <w:bCs/>
          <w:lang w:val="nl-NL"/>
        </w:rPr>
        <w:t>LARI</w:t>
      </w:r>
      <w:r w:rsidRPr="006D3F3A">
        <w:rPr>
          <w:lang w:val="nl-NL"/>
        </w:rPr>
        <w:t xml:space="preserve">. Dit is precies het soort bron dat voor jouw project onmisbaar is, omdat het de </w:t>
      </w:r>
      <w:r w:rsidRPr="006D3F3A">
        <w:rPr>
          <w:b/>
          <w:bCs/>
          <w:lang w:val="nl-NL"/>
        </w:rPr>
        <w:t>scheidslijn tussen ethics review en integrity investigation</w:t>
      </w:r>
      <w:r w:rsidRPr="006D3F3A">
        <w:rPr>
          <w:lang w:val="nl-NL"/>
        </w:rPr>
        <w:t xml:space="preserve"> documenteert. (</w:t>
      </w:r>
      <w:hyperlink r:id="rId19" w:tooltip="https://www.uni.lu/en/about/organisation/administration/ethics-review-panel/" w:history="1">
        <w:r w:rsidRPr="006D3F3A">
          <w:rPr>
            <w:rStyle w:val="Hyperlink"/>
            <w:lang w:val="nl-NL"/>
          </w:rPr>
          <w:t>UNI EN</w:t>
        </w:r>
      </w:hyperlink>
      <w:r w:rsidRPr="006D3F3A">
        <w:rPr>
          <w:lang w:val="nl-NL"/>
        </w:rPr>
        <w:t>)</w:t>
      </w:r>
    </w:p>
    <w:p w14:paraId="06787B32" w14:textId="77777777" w:rsidR="006D3F3A" w:rsidRPr="006D3F3A" w:rsidRDefault="006D3F3A" w:rsidP="006D3F3A">
      <w:pPr>
        <w:rPr>
          <w:lang w:val="nl-NL"/>
        </w:rPr>
      </w:pPr>
      <w:r w:rsidRPr="006D3F3A">
        <w:rPr>
          <w:lang w:val="nl-NL"/>
        </w:rPr>
        <w:t xml:space="preserve">Ook de universitaire </w:t>
      </w:r>
      <w:r w:rsidRPr="006D3F3A">
        <w:rPr>
          <w:b/>
          <w:bCs/>
          <w:lang w:val="nl-NL"/>
        </w:rPr>
        <w:t>Code of Conduct</w:t>
      </w:r>
      <w:r w:rsidRPr="006D3F3A">
        <w:rPr>
          <w:lang w:val="nl-NL"/>
        </w:rPr>
        <w:t xml:space="preserve"> is belangrijk als constituerende bron. Die code zegt dat zij gelezen moet worden samen met de University law, internal regulations en andere normatieve documenten, en noemt </w:t>
      </w:r>
      <w:r w:rsidRPr="006D3F3A">
        <w:rPr>
          <w:b/>
          <w:bCs/>
          <w:lang w:val="nl-NL"/>
        </w:rPr>
        <w:t>academic freedom</w:t>
      </w:r>
      <w:r w:rsidRPr="006D3F3A">
        <w:rPr>
          <w:lang w:val="nl-NL"/>
        </w:rPr>
        <w:t xml:space="preserve"> een fundamenteel beginsel onder de wet van 2018. In Luxemburg hoort dus niet alleen “wetenschappelijke integriteit” in enge zin in je kaart, maar ook de bredere institutionele normomgeving van academische vrijheid, interne regels en community standards. (</w:t>
      </w:r>
      <w:hyperlink r:id="rId20" w:tooltip="https://www.uni.lu/wp-content/uploads/sites/9/2025/07/16105311/Code-of-Conduct_2025.pdf" w:history="1">
        <w:r w:rsidRPr="006D3F3A">
          <w:rPr>
            <w:rStyle w:val="Hyperlink"/>
            <w:lang w:val="nl-NL"/>
          </w:rPr>
          <w:t>UNI EN</w:t>
        </w:r>
      </w:hyperlink>
      <w:r w:rsidRPr="006D3F3A">
        <w:rPr>
          <w:lang w:val="nl-NL"/>
        </w:rPr>
        <w:t>)</w:t>
      </w:r>
    </w:p>
    <w:p w14:paraId="571AD2B4" w14:textId="77777777" w:rsidR="006D3F3A" w:rsidRPr="006D3F3A" w:rsidRDefault="006D3F3A" w:rsidP="006D3F3A">
      <w:pPr>
        <w:rPr>
          <w:b/>
          <w:bCs/>
          <w:lang w:val="nl-NL"/>
        </w:rPr>
      </w:pPr>
      <w:r w:rsidRPr="006D3F3A">
        <w:rPr>
          <w:b/>
          <w:bCs/>
          <w:lang w:val="nl-NL"/>
        </w:rPr>
        <w:t>6. De andere publieke onderzoeksinstellingen</w:t>
      </w:r>
    </w:p>
    <w:p w14:paraId="3B121D4E" w14:textId="77777777" w:rsidR="006D3F3A" w:rsidRPr="006D3F3A" w:rsidRDefault="006D3F3A" w:rsidP="006D3F3A">
      <w:pPr>
        <w:rPr>
          <w:lang w:val="nl-NL"/>
        </w:rPr>
      </w:pPr>
      <w:r w:rsidRPr="006D3F3A">
        <w:rPr>
          <w:lang w:val="nl-NL"/>
        </w:rPr>
        <w:t xml:space="preserve">Buiten de universiteit zie je bij de drie publieke onderzoeksinstituten weer een iets ander patroon: minder één grote publieke klachtenroute, maar wél eigen </w:t>
      </w:r>
      <w:r w:rsidRPr="006D3F3A">
        <w:rPr>
          <w:b/>
          <w:bCs/>
          <w:lang w:val="nl-NL"/>
        </w:rPr>
        <w:t>ethics-, quality- en governance-documenten</w:t>
      </w:r>
      <w:r w:rsidRPr="006D3F3A">
        <w:rPr>
          <w:lang w:val="nl-NL"/>
        </w:rPr>
        <w:t xml:space="preserve">. Bij </w:t>
      </w:r>
      <w:r w:rsidRPr="006D3F3A">
        <w:rPr>
          <w:b/>
          <w:bCs/>
          <w:lang w:val="nl-NL"/>
        </w:rPr>
        <w:t>LIST</w:t>
      </w:r>
      <w:r w:rsidRPr="006D3F3A">
        <w:rPr>
          <w:lang w:val="nl-NL"/>
        </w:rPr>
        <w:t xml:space="preserve"> is de </w:t>
      </w:r>
      <w:r w:rsidRPr="006D3F3A">
        <w:rPr>
          <w:b/>
          <w:bCs/>
          <w:lang w:val="nl-NL"/>
        </w:rPr>
        <w:t>Code of Ethics</w:t>
      </w:r>
      <w:r w:rsidRPr="006D3F3A">
        <w:rPr>
          <w:lang w:val="nl-NL"/>
        </w:rPr>
        <w:t xml:space="preserve"> een belangrijke bron. LIST onderschrijft daarin de </w:t>
      </w:r>
      <w:r w:rsidRPr="006D3F3A">
        <w:rPr>
          <w:b/>
          <w:bCs/>
          <w:lang w:val="nl-NL"/>
        </w:rPr>
        <w:t>European Code of Conduct</w:t>
      </w:r>
      <w:r w:rsidRPr="006D3F3A">
        <w:rPr>
          <w:lang w:val="nl-NL"/>
        </w:rPr>
        <w:t xml:space="preserve">; maakt duidelijk dat research integrity in belangrijke mate over het gedrag van de individuele onderzoeker gaat; en zegt dat misconduct van werknemers </w:t>
      </w:r>
      <w:r w:rsidRPr="006D3F3A">
        <w:rPr>
          <w:b/>
          <w:bCs/>
          <w:lang w:val="nl-NL"/>
        </w:rPr>
        <w:t>niet</w:t>
      </w:r>
      <w:r w:rsidRPr="006D3F3A">
        <w:rPr>
          <w:lang w:val="nl-NL"/>
        </w:rPr>
        <w:t xml:space="preserve"> de verantwoordelijkheid is van het LIST Ethics Committee, dat hoogstens managers kan adviseren. LIST heeft daarnaast een algemene ethics/whistleblowing-infrastructuur. (</w:t>
      </w:r>
      <w:hyperlink r:id="rId21" w:tooltip="https://www.list.lu/fileadmin/files/What_drives_us/Code_of_Ethics.pdf" w:history="1">
        <w:r w:rsidRPr="006D3F3A">
          <w:rPr>
            <w:rStyle w:val="Hyperlink"/>
            <w:lang w:val="nl-NL"/>
          </w:rPr>
          <w:t>List.lu</w:t>
        </w:r>
      </w:hyperlink>
      <w:r w:rsidRPr="006D3F3A">
        <w:rPr>
          <w:lang w:val="nl-NL"/>
        </w:rPr>
        <w:t>)</w:t>
      </w:r>
    </w:p>
    <w:p w14:paraId="40FB11FA" w14:textId="77777777" w:rsidR="006D3F3A" w:rsidRPr="006D3F3A" w:rsidRDefault="006D3F3A" w:rsidP="006D3F3A">
      <w:pPr>
        <w:rPr>
          <w:lang w:val="nl-NL"/>
        </w:rPr>
      </w:pPr>
      <w:r w:rsidRPr="006D3F3A">
        <w:rPr>
          <w:lang w:val="nl-NL"/>
        </w:rPr>
        <w:t xml:space="preserve">Bij </w:t>
      </w:r>
      <w:r w:rsidRPr="006D3F3A">
        <w:rPr>
          <w:b/>
          <w:bCs/>
          <w:lang w:val="nl-NL"/>
        </w:rPr>
        <w:t>LISER</w:t>
      </w:r>
      <w:r w:rsidRPr="006D3F3A">
        <w:rPr>
          <w:lang w:val="nl-NL"/>
        </w:rPr>
        <w:t xml:space="preserve"> is een </w:t>
      </w:r>
      <w:r w:rsidRPr="006D3F3A">
        <w:rPr>
          <w:b/>
          <w:bCs/>
          <w:lang w:val="nl-NL"/>
        </w:rPr>
        <w:t>Research Ethics Committee</w:t>
      </w:r>
      <w:r w:rsidRPr="006D3F3A">
        <w:rPr>
          <w:lang w:val="nl-NL"/>
        </w:rPr>
        <w:t xml:space="preserve"> zichtbaar, actief sinds 2019, dat projectvoorstellen en lopende projecten beoordeelt en consultatief adviseert; de leden worden door de CEO benoemd. Dat laat zien dat ook binnen Luxemburgs kleine stelsel instellingen hun eigen </w:t>
      </w:r>
      <w:r w:rsidRPr="006D3F3A">
        <w:rPr>
          <w:b/>
          <w:bCs/>
          <w:lang w:val="nl-NL"/>
        </w:rPr>
        <w:t>lokale ethics review capacity</w:t>
      </w:r>
      <w:r w:rsidRPr="006D3F3A">
        <w:rPr>
          <w:lang w:val="nl-NL"/>
        </w:rPr>
        <w:t xml:space="preserve"> opbouwen, zelfs wanneer research-integrity investigations centraal via LARI lopen. (</w:t>
      </w:r>
      <w:hyperlink r:id="rId22" w:tooltip="https://liser.lu/research-ethics-committee" w:history="1">
        <w:r w:rsidRPr="006D3F3A">
          <w:rPr>
            <w:rStyle w:val="Hyperlink"/>
            <w:lang w:val="nl-NL"/>
          </w:rPr>
          <w:t>LISER</w:t>
        </w:r>
      </w:hyperlink>
      <w:r w:rsidRPr="006D3F3A">
        <w:rPr>
          <w:lang w:val="nl-NL"/>
        </w:rPr>
        <w:t>)</w:t>
      </w:r>
    </w:p>
    <w:p w14:paraId="7AED7916" w14:textId="77777777" w:rsidR="006D3F3A" w:rsidRPr="006D3F3A" w:rsidRDefault="006D3F3A" w:rsidP="006D3F3A">
      <w:r w:rsidRPr="006D3F3A">
        <w:rPr>
          <w:lang w:val="nl-NL"/>
        </w:rPr>
        <w:t xml:space="preserve">Bij </w:t>
      </w:r>
      <w:r w:rsidRPr="006D3F3A">
        <w:rPr>
          <w:b/>
          <w:bCs/>
          <w:lang w:val="nl-NL"/>
        </w:rPr>
        <w:t>LIH</w:t>
      </w:r>
      <w:r w:rsidRPr="006D3F3A">
        <w:rPr>
          <w:lang w:val="nl-NL"/>
        </w:rPr>
        <w:t xml:space="preserve"> zie je vooral een sterke kwaliteit- en governance-inbedding. De governance-documentatie zegt dat het Executive Committee de naleving van ethische beginselen, conventies en nationale wetten moet garanderen; de </w:t>
      </w:r>
      <w:r w:rsidRPr="006D3F3A">
        <w:rPr>
          <w:b/>
          <w:bCs/>
          <w:lang w:val="nl-NL"/>
        </w:rPr>
        <w:t>Quality System Management Office</w:t>
      </w:r>
      <w:r w:rsidRPr="006D3F3A">
        <w:rPr>
          <w:lang w:val="nl-NL"/>
        </w:rPr>
        <w:t xml:space="preserve"> bouwt een geïntegreerd kwaliteitsmanagementsysteem met </w:t>
      </w:r>
      <w:r w:rsidRPr="006D3F3A">
        <w:rPr>
          <w:b/>
          <w:bCs/>
          <w:lang w:val="nl-NL"/>
        </w:rPr>
        <w:t>Research Quality &amp; Ethics</w:t>
      </w:r>
      <w:r w:rsidRPr="006D3F3A">
        <w:rPr>
          <w:lang w:val="nl-NL"/>
        </w:rPr>
        <w:t xml:space="preserve">; en het Quality Manual noemt onder meer research-integrity processen en een </w:t>
      </w:r>
      <w:r w:rsidRPr="006D3F3A">
        <w:rPr>
          <w:b/>
          <w:bCs/>
          <w:lang w:val="nl-NL"/>
        </w:rPr>
        <w:lastRenderedPageBreak/>
        <w:t>Animal Welfare Structure</w:t>
      </w:r>
      <w:r w:rsidRPr="006D3F3A">
        <w:rPr>
          <w:lang w:val="nl-NL"/>
        </w:rPr>
        <w:t xml:space="preserve">. In de publiek vindbare documentset zit bovendien nog een oudere </w:t>
      </w:r>
      <w:r w:rsidRPr="006D3F3A">
        <w:rPr>
          <w:b/>
          <w:bCs/>
          <w:lang w:val="nl-NL"/>
        </w:rPr>
        <w:t>SOP on the management/investigation of suspected scientific misconduct</w:t>
      </w:r>
      <w:r w:rsidRPr="006D3F3A">
        <w:rPr>
          <w:lang w:val="nl-NL"/>
        </w:rPr>
        <w:t xml:space="preserve">. Ook als die SOP opnieuw gevalideerd moet worden voor actueel gebruik, is hij voor jouw project al nuttig als </w:t>
      </w:r>
      <w:r w:rsidRPr="006D3F3A">
        <w:rPr>
          <w:b/>
          <w:bCs/>
          <w:lang w:val="nl-NL"/>
        </w:rPr>
        <w:t>historische/procedurele bron</w:t>
      </w:r>
      <w:r w:rsidRPr="006D3F3A">
        <w:rPr>
          <w:lang w:val="nl-NL"/>
        </w:rPr>
        <w:t xml:space="preserve"> die laat zien hoe een instelling de interne route heeft vormgegeven. </w:t>
      </w:r>
      <w:r w:rsidRPr="006D3F3A">
        <w:t>(</w:t>
      </w:r>
      <w:hyperlink r:id="rId23" w:tooltip="https://www.lih.lu/en/governance/" w:history="1">
        <w:r w:rsidRPr="006D3F3A">
          <w:rPr>
            <w:rStyle w:val="Hyperlink"/>
          </w:rPr>
          <w:t>Luxembourg Institute of Health</w:t>
        </w:r>
      </w:hyperlink>
      <w:r w:rsidRPr="006D3F3A">
        <w:t>)</w:t>
      </w:r>
    </w:p>
    <w:p w14:paraId="034B35F6" w14:textId="77777777" w:rsidR="006D3F3A" w:rsidRPr="006D3F3A" w:rsidRDefault="006D3F3A" w:rsidP="006D3F3A">
      <w:pPr>
        <w:rPr>
          <w:b/>
          <w:bCs/>
        </w:rPr>
      </w:pPr>
      <w:r w:rsidRPr="006D3F3A">
        <w:rPr>
          <w:b/>
          <w:bCs/>
        </w:rPr>
        <w:t>7. Waar research integrity ophoudt en research ethics begint</w:t>
      </w:r>
    </w:p>
    <w:p w14:paraId="7761C04F" w14:textId="77777777" w:rsidR="006D3F3A" w:rsidRPr="006D3F3A" w:rsidRDefault="006D3F3A" w:rsidP="006D3F3A">
      <w:pPr>
        <w:rPr>
          <w:lang w:val="nl-NL"/>
        </w:rPr>
      </w:pPr>
      <w:r w:rsidRPr="006D3F3A">
        <w:rPr>
          <w:lang w:val="nl-NL"/>
        </w:rPr>
        <w:t xml:space="preserve">Luxemburg is juist interessant omdat de grens tussen </w:t>
      </w:r>
      <w:r w:rsidRPr="006D3F3A">
        <w:rPr>
          <w:b/>
          <w:bCs/>
          <w:lang w:val="nl-NL"/>
        </w:rPr>
        <w:t>integrity</w:t>
      </w:r>
      <w:r w:rsidRPr="006D3F3A">
        <w:rPr>
          <w:lang w:val="nl-NL"/>
        </w:rPr>
        <w:t xml:space="preserve"> en </w:t>
      </w:r>
      <w:r w:rsidRPr="006D3F3A">
        <w:rPr>
          <w:b/>
          <w:bCs/>
          <w:lang w:val="nl-NL"/>
        </w:rPr>
        <w:t>ethics</w:t>
      </w:r>
      <w:r w:rsidRPr="006D3F3A">
        <w:rPr>
          <w:lang w:val="nl-NL"/>
        </w:rPr>
        <w:t xml:space="preserve"> zichtbaar en institutioneel gescheiden is. LARI zegt dat het geen ethics committee of IRB is; de University ERP zegt dat het projectethiek beoordeelt maar geen misconduct behandelt; en op nationaal niveau is er de </w:t>
      </w:r>
      <w:r w:rsidRPr="006D3F3A">
        <w:rPr>
          <w:b/>
          <w:bCs/>
          <w:lang w:val="nl-NL"/>
        </w:rPr>
        <w:t>Commission nationale d’éthique de recherche (CNER)</w:t>
      </w:r>
      <w:r w:rsidRPr="006D3F3A">
        <w:rPr>
          <w:lang w:val="nl-NL"/>
        </w:rPr>
        <w:t xml:space="preserve">, waarvan de missie wettelijk is verankerd in de ziekenhuiswet van </w:t>
      </w:r>
      <w:r w:rsidRPr="006D3F3A">
        <w:rPr>
          <w:b/>
          <w:bCs/>
          <w:lang w:val="nl-NL"/>
        </w:rPr>
        <w:t>8 maart 2018</w:t>
      </w:r>
      <w:r w:rsidRPr="006D3F3A">
        <w:rPr>
          <w:lang w:val="nl-NL"/>
        </w:rPr>
        <w:t>. CNER beschermt personen die aan een health study deelnemen en geeft een oordeel over de ethische aanvaardbaarheid van zulke studies. (</w:t>
      </w:r>
      <w:hyperlink r:id="rId24" w:tooltip="https://lari.lu/prevention/" w:history="1">
        <w:r w:rsidRPr="006D3F3A">
          <w:rPr>
            <w:rStyle w:val="Hyperlink"/>
            <w:lang w:val="nl-NL"/>
          </w:rPr>
          <w:t>lari.lu</w:t>
        </w:r>
      </w:hyperlink>
      <w:r w:rsidRPr="006D3F3A">
        <w:rPr>
          <w:lang w:val="nl-NL"/>
        </w:rPr>
        <w:t>)</w:t>
      </w:r>
    </w:p>
    <w:p w14:paraId="7C1B7B67" w14:textId="77777777" w:rsidR="006D3F3A" w:rsidRPr="006D3F3A" w:rsidRDefault="006D3F3A" w:rsidP="006D3F3A">
      <w:pPr>
        <w:rPr>
          <w:lang w:val="nl-NL"/>
        </w:rPr>
      </w:pPr>
      <w:r w:rsidRPr="006D3F3A">
        <w:rPr>
          <w:lang w:val="nl-NL"/>
        </w:rPr>
        <w:t xml:space="preserve">CNER is bovendien een rijke bron op zichzelf. De commissie publiceert </w:t>
      </w:r>
      <w:r w:rsidRPr="006D3F3A">
        <w:rPr>
          <w:b/>
          <w:bCs/>
          <w:lang w:val="nl-NL"/>
        </w:rPr>
        <w:t>activity reports</w:t>
      </w:r>
      <w:r w:rsidRPr="006D3F3A">
        <w:rPr>
          <w:lang w:val="nl-NL"/>
        </w:rPr>
        <w:t xml:space="preserve">, lijsten van studies met een gunstig oordeel, en praktische guidance over protocollen, informatie- en toestemmingsformulieren, secundair gebruik van data of stalen, incidental findings en jaarlijkse voortgangsrapporten. Er is zelfs een aparte pagina over projecten die </w:t>
      </w:r>
      <w:r w:rsidRPr="006D3F3A">
        <w:rPr>
          <w:b/>
          <w:bCs/>
          <w:lang w:val="nl-NL"/>
        </w:rPr>
        <w:t>geen</w:t>
      </w:r>
      <w:r w:rsidRPr="006D3F3A">
        <w:rPr>
          <w:lang w:val="nl-NL"/>
        </w:rPr>
        <w:t xml:space="preserve"> CNER opinion nodig hebben. Voor jouw corpus betekent dat dat je voor Luxemburg een duidelijke aparte map nodig hebt voor </w:t>
      </w:r>
      <w:r w:rsidRPr="006D3F3A">
        <w:rPr>
          <w:b/>
          <w:bCs/>
          <w:lang w:val="nl-NL"/>
        </w:rPr>
        <w:t>health research ethics</w:t>
      </w:r>
      <w:r w:rsidRPr="006D3F3A">
        <w:rPr>
          <w:lang w:val="nl-NL"/>
        </w:rPr>
        <w:t>, los van research integrity proper. (</w:t>
      </w:r>
      <w:hyperlink r:id="rId25" w:tooltip="https://cner.gouvernement.lu/en/publications.html" w:history="1">
        <w:r w:rsidRPr="006D3F3A">
          <w:rPr>
            <w:rStyle w:val="Hyperlink"/>
            <w:lang w:val="nl-NL"/>
          </w:rPr>
          <w:t>cner.gouvernement.lu</w:t>
        </w:r>
      </w:hyperlink>
      <w:r w:rsidRPr="006D3F3A">
        <w:rPr>
          <w:lang w:val="nl-NL"/>
        </w:rPr>
        <w:t>)</w:t>
      </w:r>
    </w:p>
    <w:p w14:paraId="455A1421" w14:textId="77777777" w:rsidR="006D3F3A" w:rsidRPr="006D3F3A" w:rsidRDefault="006D3F3A" w:rsidP="006D3F3A">
      <w:pPr>
        <w:rPr>
          <w:lang w:val="nl-NL"/>
        </w:rPr>
      </w:pPr>
      <w:r w:rsidRPr="006D3F3A">
        <w:rPr>
          <w:lang w:val="nl-NL"/>
        </w:rPr>
        <w:t xml:space="preserve">Voor </w:t>
      </w:r>
      <w:r w:rsidRPr="006D3F3A">
        <w:rPr>
          <w:b/>
          <w:bCs/>
          <w:lang w:val="nl-NL"/>
        </w:rPr>
        <w:t>dierproeven</w:t>
      </w:r>
      <w:r w:rsidRPr="006D3F3A">
        <w:rPr>
          <w:lang w:val="nl-NL"/>
        </w:rPr>
        <w:t xml:space="preserve"> zie je opnieuw een aparte ethiek-/vergunningslaag. De University of Luxembourg heeft een </w:t>
      </w:r>
      <w:r w:rsidRPr="006D3F3A">
        <w:rPr>
          <w:b/>
          <w:bCs/>
          <w:lang w:val="nl-NL"/>
        </w:rPr>
        <w:t>Animal Experimentation Ethics Committee</w:t>
      </w:r>
      <w:r w:rsidRPr="006D3F3A">
        <w:rPr>
          <w:lang w:val="nl-NL"/>
        </w:rPr>
        <w:t xml:space="preserve">, en LIH noemt een </w:t>
      </w:r>
      <w:r w:rsidRPr="006D3F3A">
        <w:rPr>
          <w:b/>
          <w:bCs/>
          <w:lang w:val="nl-NL"/>
        </w:rPr>
        <w:t>Animal Welfare Structure</w:t>
      </w:r>
      <w:r w:rsidRPr="006D3F3A">
        <w:rPr>
          <w:lang w:val="nl-NL"/>
        </w:rPr>
        <w:t xml:space="preserve"> in zijn kwaliteitsdocumentatie. De universitaire documentatie suggereert bovendien een tweestapssysteem waarbij na interne beoordeling ook een goedkeuring via het bevoegde ministerie nodig is. Ook dit hoort dus eerder thuis in je Luxemburg-map “research ethics / regulated research” dan in de kernmap “research integrity”. (</w:t>
      </w:r>
      <w:hyperlink r:id="rId26" w:tooltip="https://www.uni.lu/en/about/ethics-integrity/" w:history="1">
        <w:r w:rsidRPr="006D3F3A">
          <w:rPr>
            <w:rStyle w:val="Hyperlink"/>
            <w:lang w:val="nl-NL"/>
          </w:rPr>
          <w:t>UNI EN</w:t>
        </w:r>
      </w:hyperlink>
      <w:r w:rsidRPr="006D3F3A">
        <w:rPr>
          <w:lang w:val="nl-NL"/>
        </w:rPr>
        <w:t>)</w:t>
      </w:r>
    </w:p>
    <w:p w14:paraId="2BC31D9E" w14:textId="77777777" w:rsidR="006D3F3A" w:rsidRPr="006D3F3A" w:rsidRDefault="006D3F3A" w:rsidP="006D3F3A">
      <w:pPr>
        <w:rPr>
          <w:b/>
          <w:bCs/>
          <w:lang w:val="nl-NL"/>
        </w:rPr>
      </w:pPr>
      <w:r w:rsidRPr="006D3F3A">
        <w:rPr>
          <w:b/>
          <w:bCs/>
          <w:lang w:val="nl-NL"/>
        </w:rPr>
        <w:t>8. Aanpalende lagen: data, open science en nationale strategie</w:t>
      </w:r>
    </w:p>
    <w:p w14:paraId="7753F1E3" w14:textId="77777777" w:rsidR="006D3F3A" w:rsidRPr="006D3F3A" w:rsidRDefault="006D3F3A" w:rsidP="006D3F3A">
      <w:pPr>
        <w:rPr>
          <w:lang w:val="nl-NL"/>
        </w:rPr>
      </w:pPr>
      <w:r w:rsidRPr="006D3F3A">
        <w:rPr>
          <w:lang w:val="nl-NL"/>
        </w:rPr>
        <w:t xml:space="preserve">Een extra laag is de nationale onderzoeks- en innovatiestrategie. De geactualiseerde strategie tot </w:t>
      </w:r>
      <w:r w:rsidRPr="006D3F3A">
        <w:rPr>
          <w:b/>
          <w:bCs/>
          <w:lang w:val="nl-NL"/>
        </w:rPr>
        <w:t>2026</w:t>
      </w:r>
      <w:r w:rsidRPr="006D3F3A">
        <w:rPr>
          <w:lang w:val="nl-NL"/>
        </w:rPr>
        <w:t xml:space="preserve"> benadrukt dat Luxemburg onderzoekers wil aanmoedigen om principes van </w:t>
      </w:r>
      <w:r w:rsidRPr="006D3F3A">
        <w:rPr>
          <w:b/>
          <w:bCs/>
          <w:lang w:val="nl-NL"/>
        </w:rPr>
        <w:t>ethics and integrity</w:t>
      </w:r>
      <w:r w:rsidRPr="006D3F3A">
        <w:rPr>
          <w:lang w:val="nl-NL"/>
        </w:rPr>
        <w:t xml:space="preserve"> te respecteren en </w:t>
      </w:r>
      <w:r w:rsidRPr="006D3F3A">
        <w:rPr>
          <w:b/>
          <w:bCs/>
          <w:lang w:val="nl-NL"/>
        </w:rPr>
        <w:t>Open Science</w:t>
      </w:r>
      <w:r w:rsidRPr="006D3F3A">
        <w:rPr>
          <w:lang w:val="nl-NL"/>
        </w:rPr>
        <w:t xml:space="preserve"> te omarmen. In combinatie met de FNR funding policies — met DMP, FAIR, open science en AI-richtlijnen — wijst dat erop dat de Luxemburgse integriteitskaart niet ophoudt bij “fraude/onderzoeksmisdraging”, maar ook grenst aan </w:t>
      </w:r>
      <w:r w:rsidRPr="006D3F3A">
        <w:rPr>
          <w:b/>
          <w:bCs/>
          <w:lang w:val="nl-NL"/>
        </w:rPr>
        <w:t>data governance, research assessment en responsible innovation</w:t>
      </w:r>
      <w:r w:rsidRPr="006D3F3A">
        <w:rPr>
          <w:lang w:val="nl-NL"/>
        </w:rPr>
        <w:t>. (</w:t>
      </w:r>
      <w:hyperlink r:id="rId27" w:tooltip="https://mesr.gouvernement.lu/dam-assets/publications/national-research-and-nnovation-strategy-2026.pdf" w:history="1">
        <w:r w:rsidRPr="006D3F3A">
          <w:rPr>
            <w:rStyle w:val="Hyperlink"/>
            <w:lang w:val="nl-NL"/>
          </w:rPr>
          <w:t>mesr.gouvernement.lu</w:t>
        </w:r>
      </w:hyperlink>
      <w:r w:rsidRPr="006D3F3A">
        <w:rPr>
          <w:lang w:val="nl-NL"/>
        </w:rPr>
        <w:t>)</w:t>
      </w:r>
    </w:p>
    <w:p w14:paraId="6A739A35" w14:textId="77777777" w:rsidR="006D3F3A" w:rsidRPr="006D3F3A" w:rsidRDefault="006D3F3A" w:rsidP="006D3F3A">
      <w:pPr>
        <w:rPr>
          <w:b/>
          <w:bCs/>
          <w:lang w:val="nl-NL"/>
        </w:rPr>
      </w:pPr>
      <w:r w:rsidRPr="006D3F3A">
        <w:rPr>
          <w:b/>
          <w:bCs/>
          <w:lang w:val="nl-NL"/>
        </w:rPr>
        <w:t>9. Welke documenten ik nu voor Luxemburg zou verzamelen</w:t>
      </w:r>
    </w:p>
    <w:p w14:paraId="6FEFD01F" w14:textId="77777777" w:rsidR="006D3F3A" w:rsidRPr="006D3F3A" w:rsidRDefault="006D3F3A" w:rsidP="006D3F3A">
      <w:pPr>
        <w:rPr>
          <w:lang w:val="nl-NL"/>
        </w:rPr>
      </w:pPr>
      <w:r w:rsidRPr="006D3F3A">
        <w:rPr>
          <w:lang w:val="nl-NL"/>
        </w:rPr>
        <w:lastRenderedPageBreak/>
        <w:t xml:space="preserve">Als ik nu een eerste Luxemburg-corpus moest aanleggen, zou ik beginnen met vijf blokken. Eerst de </w:t>
      </w:r>
      <w:r w:rsidRPr="006D3F3A">
        <w:rPr>
          <w:b/>
          <w:bCs/>
          <w:lang w:val="nl-NL"/>
        </w:rPr>
        <w:t>constituerende en governance-documenten</w:t>
      </w:r>
      <w:r w:rsidRPr="006D3F3A">
        <w:rPr>
          <w:lang w:val="nl-NL"/>
        </w:rPr>
        <w:t xml:space="preserve">: de LARI </w:t>
      </w:r>
      <w:r w:rsidRPr="006D3F3A">
        <w:rPr>
          <w:b/>
          <w:bCs/>
          <w:lang w:val="nl-NL"/>
        </w:rPr>
        <w:t>Statute</w:t>
      </w:r>
      <w:r w:rsidRPr="006D3F3A">
        <w:rPr>
          <w:lang w:val="nl-NL"/>
        </w:rPr>
        <w:t xml:space="preserve">, </w:t>
      </w:r>
      <w:r w:rsidRPr="006D3F3A">
        <w:rPr>
          <w:b/>
          <w:bCs/>
          <w:lang w:val="nl-NL"/>
        </w:rPr>
        <w:t>Rules of Procedure</w:t>
      </w:r>
      <w:r w:rsidRPr="006D3F3A">
        <w:rPr>
          <w:lang w:val="nl-NL"/>
        </w:rPr>
        <w:t xml:space="preserve">, </w:t>
      </w:r>
      <w:r w:rsidRPr="006D3F3A">
        <w:rPr>
          <w:b/>
          <w:bCs/>
          <w:lang w:val="nl-NL"/>
        </w:rPr>
        <w:t>Data Sharing Agreement</w:t>
      </w:r>
      <w:r w:rsidRPr="006D3F3A">
        <w:rPr>
          <w:lang w:val="nl-NL"/>
        </w:rPr>
        <w:t xml:space="preserve">, </w:t>
      </w:r>
      <w:r w:rsidRPr="006D3F3A">
        <w:rPr>
          <w:b/>
          <w:bCs/>
          <w:lang w:val="nl-NL"/>
        </w:rPr>
        <w:t>MoU with FNR</w:t>
      </w:r>
      <w:r w:rsidRPr="006D3F3A">
        <w:rPr>
          <w:lang w:val="nl-NL"/>
        </w:rPr>
        <w:t xml:space="preserve">, plus de relevante pagina’s van het ministerie. Dan de </w:t>
      </w:r>
      <w:r w:rsidRPr="006D3F3A">
        <w:rPr>
          <w:b/>
          <w:bCs/>
          <w:lang w:val="nl-NL"/>
        </w:rPr>
        <w:t>funder/compliance-documenten</w:t>
      </w:r>
      <w:r w:rsidRPr="006D3F3A">
        <w:rPr>
          <w:lang w:val="nl-NL"/>
        </w:rPr>
        <w:t xml:space="preserve"> van FNR: funding policies, ethics/data/open-science regels en contactstructuren. Daarna de </w:t>
      </w:r>
      <w:r w:rsidRPr="006D3F3A">
        <w:rPr>
          <w:b/>
          <w:bCs/>
          <w:lang w:val="nl-NL"/>
        </w:rPr>
        <w:t>institutionele documenten</w:t>
      </w:r>
      <w:r w:rsidRPr="006D3F3A">
        <w:rPr>
          <w:lang w:val="nl-NL"/>
        </w:rPr>
        <w:t xml:space="preserve"> van University of Luxembourg, LIST, LIH en LISER: code of conduct, research-integrity pagina’s, ethics committees, quality manuals, SOP’s en whistleblowing-/misconduct-gerelateerde routes. Daarbovenop een aparte map voor </w:t>
      </w:r>
      <w:r w:rsidRPr="006D3F3A">
        <w:rPr>
          <w:b/>
          <w:bCs/>
          <w:lang w:val="nl-NL"/>
        </w:rPr>
        <w:t>health research ethics</w:t>
      </w:r>
      <w:r w:rsidRPr="006D3F3A">
        <w:rPr>
          <w:lang w:val="nl-NL"/>
        </w:rPr>
        <w:t xml:space="preserve"> met CNER, en een aparte map voor </w:t>
      </w:r>
      <w:r w:rsidRPr="006D3F3A">
        <w:rPr>
          <w:b/>
          <w:bCs/>
          <w:lang w:val="nl-NL"/>
        </w:rPr>
        <w:t>regulated research</w:t>
      </w:r>
      <w:r w:rsidRPr="006D3F3A">
        <w:rPr>
          <w:lang w:val="nl-NL"/>
        </w:rPr>
        <w:t xml:space="preserve"> zoals dierproeven. Tenslotte zou ik de </w:t>
      </w:r>
      <w:r w:rsidRPr="006D3F3A">
        <w:rPr>
          <w:b/>
          <w:bCs/>
          <w:lang w:val="nl-NL"/>
        </w:rPr>
        <w:t>annual reports</w:t>
      </w:r>
      <w:r w:rsidRPr="006D3F3A">
        <w:rPr>
          <w:lang w:val="nl-NL"/>
        </w:rPr>
        <w:t xml:space="preserve"> van LARI en CNER als praktijk- en verantwoordingslaag apart bewaren. (</w:t>
      </w:r>
      <w:hyperlink r:id="rId28" w:tooltip="https://lari.lu/about/" w:history="1">
        <w:r w:rsidRPr="006D3F3A">
          <w:rPr>
            <w:rStyle w:val="Hyperlink"/>
            <w:lang w:val="nl-NL"/>
          </w:rPr>
          <w:t>lari.lu</w:t>
        </w:r>
      </w:hyperlink>
      <w:r w:rsidRPr="006D3F3A">
        <w:rPr>
          <w:lang w:val="nl-NL"/>
        </w:rPr>
        <w:t>)</w:t>
      </w:r>
    </w:p>
    <w:p w14:paraId="5E10328A" w14:textId="77777777" w:rsidR="006D3F3A" w:rsidRPr="006D3F3A" w:rsidRDefault="006D3F3A" w:rsidP="006D3F3A">
      <w:pPr>
        <w:rPr>
          <w:b/>
          <w:bCs/>
          <w:lang w:val="nl-NL"/>
        </w:rPr>
      </w:pPr>
      <w:r w:rsidRPr="006D3F3A">
        <w:rPr>
          <w:b/>
          <w:bCs/>
          <w:lang w:val="nl-NL"/>
        </w:rPr>
        <w:t>10. Wat Luxemburg analytisch bijzonder maakt</w:t>
      </w:r>
    </w:p>
    <w:p w14:paraId="2E6FCCF3" w14:textId="77777777" w:rsidR="006D3F3A" w:rsidRPr="006D3F3A" w:rsidRDefault="006D3F3A" w:rsidP="006D3F3A">
      <w:pPr>
        <w:rPr>
          <w:lang w:val="nl-NL"/>
        </w:rPr>
      </w:pPr>
      <w:r w:rsidRPr="006D3F3A">
        <w:rPr>
          <w:lang w:val="nl-NL"/>
        </w:rPr>
        <w:t xml:space="preserve">Vergeleken met Nederland en Denemarken lijkt Luxemburg in deze eerste sweep </w:t>
      </w:r>
      <w:r w:rsidRPr="006D3F3A">
        <w:rPr>
          <w:b/>
          <w:bCs/>
          <w:lang w:val="nl-NL"/>
        </w:rPr>
        <w:t>kleiner, centraler en vertrouwelijker</w:t>
      </w:r>
      <w:r w:rsidRPr="006D3F3A">
        <w:rPr>
          <w:lang w:val="nl-NL"/>
        </w:rPr>
        <w:t xml:space="preserve">. Kleiner, omdat de kern van het systeem rond een handvol nationale actoren draait; centraler, omdat </w:t>
      </w:r>
      <w:r w:rsidRPr="006D3F3A">
        <w:rPr>
          <w:b/>
          <w:bCs/>
          <w:lang w:val="nl-NL"/>
        </w:rPr>
        <w:t>LARI</w:t>
      </w:r>
      <w:r w:rsidRPr="006D3F3A">
        <w:rPr>
          <w:lang w:val="nl-NL"/>
        </w:rPr>
        <w:t xml:space="preserve"> als gezamenlijke hub heel veel samenbrengt; en vertrouwelijker, omdat de uitkomsten van onderzoeken niet publiek als geanonimiseerde beslissingen verschijnen, maar als </w:t>
      </w:r>
      <w:r w:rsidRPr="006D3F3A">
        <w:rPr>
          <w:b/>
          <w:bCs/>
          <w:lang w:val="nl-NL"/>
        </w:rPr>
        <w:t>vertrouwelijke eindrapporten</w:t>
      </w:r>
      <w:r w:rsidRPr="006D3F3A">
        <w:rPr>
          <w:lang w:val="nl-NL"/>
        </w:rPr>
        <w:t xml:space="preserve"> naar betrokken organisaties gaan. Daardoor krijg je in Luxemburg waarschijnlijk minder openbare “casus-jurisprudentie” en meer </w:t>
      </w:r>
      <w:r w:rsidRPr="006D3F3A">
        <w:rPr>
          <w:b/>
          <w:bCs/>
          <w:lang w:val="nl-NL"/>
        </w:rPr>
        <w:t>proces-, governance- en jaarverslagmateriaal</w:t>
      </w:r>
      <w:r w:rsidRPr="006D3F3A">
        <w:rPr>
          <w:lang w:val="nl-NL"/>
        </w:rPr>
        <w:t>. (</w:t>
      </w:r>
      <w:hyperlink r:id="rId29" w:tooltip="https://lari.lu/wp-content/uploads/2025/10/LARI-Statute-amended-17-September-2025.pdf" w:history="1">
        <w:r w:rsidRPr="006D3F3A">
          <w:rPr>
            <w:rStyle w:val="Hyperlink"/>
            <w:lang w:val="nl-NL"/>
          </w:rPr>
          <w:t>lari.lu</w:t>
        </w:r>
      </w:hyperlink>
      <w:r w:rsidRPr="006D3F3A">
        <w:rPr>
          <w:lang w:val="nl-NL"/>
        </w:rPr>
        <w:t>)</w:t>
      </w:r>
    </w:p>
    <w:p w14:paraId="12164093" w14:textId="77777777" w:rsidR="006D3F3A" w:rsidRPr="006D3F3A" w:rsidRDefault="006D3F3A" w:rsidP="006D3F3A">
      <w:pPr>
        <w:rPr>
          <w:lang w:val="nl-NL"/>
        </w:rPr>
      </w:pPr>
      <w:r w:rsidRPr="006D3F3A">
        <w:rPr>
          <w:lang w:val="nl-NL"/>
        </w:rPr>
        <w:t xml:space="preserve">Voor jouw Europese mapping is Luxemburg daarom een heel nuttig contrastland. Nederland laat zien hoe een code-gedreven en deels openbare praktijklaag eruitziet; Denemarken laat een wettelijk tweesporenmodel zien; Luxemburg laat zien hoe een </w:t>
      </w:r>
      <w:r w:rsidRPr="006D3F3A">
        <w:rPr>
          <w:b/>
          <w:bCs/>
          <w:lang w:val="nl-NL"/>
        </w:rPr>
        <w:t>klein nationaal onderzoeksstelsel</w:t>
      </w:r>
      <w:r w:rsidRPr="006D3F3A">
        <w:rPr>
          <w:lang w:val="nl-NL"/>
        </w:rPr>
        <w:t xml:space="preserve"> research integrity kan centraliseren via een </w:t>
      </w:r>
      <w:r w:rsidRPr="006D3F3A">
        <w:rPr>
          <w:b/>
          <w:bCs/>
          <w:lang w:val="nl-NL"/>
        </w:rPr>
        <w:t>gezamenlijk opgerichte agency</w:t>
      </w:r>
      <w:r w:rsidRPr="006D3F3A">
        <w:rPr>
          <w:lang w:val="nl-NL"/>
        </w:rPr>
        <w:t xml:space="preserve"> die tegelijk preventie, advies en onderzoek doet, terwijl de ethics-kant apart blijft lopen via CNER en institutionele committees. (</w:t>
      </w:r>
      <w:hyperlink r:id="rId30" w:tooltip="https://lari.lu/wp-content/uploads/2025/10/LARI-Statute-amended-17-September-2025.pdf" w:history="1">
        <w:r w:rsidRPr="006D3F3A">
          <w:rPr>
            <w:rStyle w:val="Hyperlink"/>
            <w:lang w:val="nl-NL"/>
          </w:rPr>
          <w:t>lari.lu</w:t>
        </w:r>
      </w:hyperlink>
      <w:r w:rsidRPr="006D3F3A">
        <w:rPr>
          <w:lang w:val="nl-NL"/>
        </w:rPr>
        <w:t>)</w:t>
      </w:r>
    </w:p>
    <w:p w14:paraId="7AB80703" w14:textId="77777777" w:rsidR="006D3F3A" w:rsidRPr="006D3F3A" w:rsidRDefault="006D3F3A" w:rsidP="006D3F3A">
      <w:pPr>
        <w:rPr>
          <w:lang w:val="nl-NL"/>
        </w:rPr>
      </w:pPr>
      <w:r w:rsidRPr="006D3F3A">
        <w:rPr>
          <w:lang w:val="nl-NL"/>
        </w:rPr>
        <w:t xml:space="preserve">De logische volgende stap voor Luxemburg zou zijn om deze bronkaart om te zetten in een </w:t>
      </w:r>
      <w:r w:rsidRPr="006D3F3A">
        <w:rPr>
          <w:b/>
          <w:bCs/>
          <w:lang w:val="nl-NL"/>
        </w:rPr>
        <w:t>actor-voor-actor downloadlijst</w:t>
      </w:r>
      <w:r w:rsidRPr="006D3F3A">
        <w:rPr>
          <w:lang w:val="nl-NL"/>
        </w:rPr>
        <w:t>: eerst ministerie/FNR/LARI, daarna University of Luxembourg, daarna LIST/LIH/LISER, en pas daarna de ethics- en dierproeflagen.</w:t>
      </w:r>
    </w:p>
    <w:p w14:paraId="15395F5E" w14:textId="77777777" w:rsidR="00407C7C" w:rsidRPr="006D3F3A" w:rsidRDefault="00407C7C">
      <w:pPr>
        <w:rPr>
          <w:lang w:val="nl-NL"/>
        </w:rPr>
      </w:pPr>
    </w:p>
    <w:sectPr w:rsidR="00407C7C" w:rsidRPr="006D3F3A"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370"/>
    <w:rsid w:val="000B5370"/>
    <w:rsid w:val="001E528E"/>
    <w:rsid w:val="0023427A"/>
    <w:rsid w:val="00234E74"/>
    <w:rsid w:val="002551AA"/>
    <w:rsid w:val="00273D29"/>
    <w:rsid w:val="002E5AD9"/>
    <w:rsid w:val="0036154D"/>
    <w:rsid w:val="00392002"/>
    <w:rsid w:val="00394BCE"/>
    <w:rsid w:val="00407C7C"/>
    <w:rsid w:val="004E2765"/>
    <w:rsid w:val="006846CA"/>
    <w:rsid w:val="006D3F3A"/>
    <w:rsid w:val="00703CEF"/>
    <w:rsid w:val="007A24AA"/>
    <w:rsid w:val="008B444C"/>
    <w:rsid w:val="008B67AA"/>
    <w:rsid w:val="009A628C"/>
    <w:rsid w:val="009F306F"/>
    <w:rsid w:val="00A96AF6"/>
    <w:rsid w:val="00C51E99"/>
    <w:rsid w:val="00C855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19690"/>
  <w15:chartTrackingRefBased/>
  <w15:docId w15:val="{E22B2C5B-7D40-4F85-BE28-F4E859D0E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370"/>
    <w:rPr>
      <w:rFonts w:eastAsiaTheme="majorEastAsia" w:cstheme="majorBidi"/>
      <w:color w:val="272727" w:themeColor="text1" w:themeTint="D8"/>
    </w:rPr>
  </w:style>
  <w:style w:type="paragraph" w:styleId="Title">
    <w:name w:val="Title"/>
    <w:basedOn w:val="Normal"/>
    <w:next w:val="Normal"/>
    <w:link w:val="TitleChar"/>
    <w:uiPriority w:val="10"/>
    <w:qFormat/>
    <w:rsid w:val="000B5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370"/>
    <w:pPr>
      <w:spacing w:before="160"/>
      <w:jc w:val="center"/>
    </w:pPr>
    <w:rPr>
      <w:i/>
      <w:iCs/>
      <w:color w:val="404040" w:themeColor="text1" w:themeTint="BF"/>
    </w:rPr>
  </w:style>
  <w:style w:type="character" w:customStyle="1" w:styleId="QuoteChar">
    <w:name w:val="Quote Char"/>
    <w:basedOn w:val="DefaultParagraphFont"/>
    <w:link w:val="Quote"/>
    <w:uiPriority w:val="29"/>
    <w:rsid w:val="000B5370"/>
    <w:rPr>
      <w:i/>
      <w:iCs/>
      <w:color w:val="404040" w:themeColor="text1" w:themeTint="BF"/>
    </w:rPr>
  </w:style>
  <w:style w:type="paragraph" w:styleId="ListParagraph">
    <w:name w:val="List Paragraph"/>
    <w:basedOn w:val="Normal"/>
    <w:uiPriority w:val="34"/>
    <w:qFormat/>
    <w:rsid w:val="000B5370"/>
    <w:pPr>
      <w:ind w:left="720"/>
      <w:contextualSpacing/>
    </w:pPr>
  </w:style>
  <w:style w:type="character" w:styleId="IntenseEmphasis">
    <w:name w:val="Intense Emphasis"/>
    <w:basedOn w:val="DefaultParagraphFont"/>
    <w:uiPriority w:val="21"/>
    <w:qFormat/>
    <w:rsid w:val="000B5370"/>
    <w:rPr>
      <w:i/>
      <w:iCs/>
      <w:color w:val="0F4761" w:themeColor="accent1" w:themeShade="BF"/>
    </w:rPr>
  </w:style>
  <w:style w:type="paragraph" w:styleId="IntenseQuote">
    <w:name w:val="Intense Quote"/>
    <w:basedOn w:val="Normal"/>
    <w:next w:val="Normal"/>
    <w:link w:val="IntenseQuoteChar"/>
    <w:uiPriority w:val="30"/>
    <w:qFormat/>
    <w:rsid w:val="000B5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370"/>
    <w:rPr>
      <w:i/>
      <w:iCs/>
      <w:color w:val="0F4761" w:themeColor="accent1" w:themeShade="BF"/>
    </w:rPr>
  </w:style>
  <w:style w:type="character" w:styleId="IntenseReference">
    <w:name w:val="Intense Reference"/>
    <w:basedOn w:val="DefaultParagraphFont"/>
    <w:uiPriority w:val="32"/>
    <w:qFormat/>
    <w:rsid w:val="000B5370"/>
    <w:rPr>
      <w:b/>
      <w:bCs/>
      <w:smallCaps/>
      <w:color w:val="0F4761" w:themeColor="accent1" w:themeShade="BF"/>
      <w:spacing w:val="5"/>
    </w:rPr>
  </w:style>
  <w:style w:type="character" w:styleId="Hyperlink">
    <w:name w:val="Hyperlink"/>
    <w:basedOn w:val="DefaultParagraphFont"/>
    <w:uiPriority w:val="99"/>
    <w:unhideWhenUsed/>
    <w:rsid w:val="006D3F3A"/>
    <w:rPr>
      <w:color w:val="467886" w:themeColor="hyperlink"/>
      <w:u w:val="single"/>
    </w:rPr>
  </w:style>
  <w:style w:type="character" w:styleId="UnresolvedMention">
    <w:name w:val="Unresolved Mention"/>
    <w:basedOn w:val="DefaultParagraphFont"/>
    <w:uiPriority w:val="99"/>
    <w:semiHidden/>
    <w:unhideWhenUsed/>
    <w:rsid w:val="006D3F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00913">
      <w:bodyDiv w:val="1"/>
      <w:marLeft w:val="0"/>
      <w:marRight w:val="0"/>
      <w:marTop w:val="0"/>
      <w:marBottom w:val="0"/>
      <w:divBdr>
        <w:top w:val="none" w:sz="0" w:space="0" w:color="auto"/>
        <w:left w:val="none" w:sz="0" w:space="0" w:color="auto"/>
        <w:bottom w:val="none" w:sz="0" w:space="0" w:color="auto"/>
        <w:right w:val="none" w:sz="0" w:space="0" w:color="auto"/>
      </w:divBdr>
    </w:div>
    <w:div w:id="626592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ri.lu/wp-content/uploads/2024/08/LARI-CRI-ROP-12-June-2024.pdf" TargetMode="External"/><Relationship Id="rId13" Type="http://schemas.openxmlformats.org/officeDocument/2006/relationships/hyperlink" Target="https://lari.lu/prevention/" TargetMode="External"/><Relationship Id="rId18" Type="http://schemas.openxmlformats.org/officeDocument/2006/relationships/hyperlink" Target="https://www.uni.lu/en/about/ethics-integrity/research-integrity/" TargetMode="External"/><Relationship Id="rId26" Type="http://schemas.openxmlformats.org/officeDocument/2006/relationships/hyperlink" Target="https://www.uni.lu/en/about/ethics-integrity/" TargetMode="External"/><Relationship Id="rId3" Type="http://schemas.openxmlformats.org/officeDocument/2006/relationships/webSettings" Target="webSettings.xml"/><Relationship Id="rId21" Type="http://schemas.openxmlformats.org/officeDocument/2006/relationships/hyperlink" Target="https://www.list.lu/fileadmin/files/What_drives_us/Code_of_Ethics.pdf" TargetMode="External"/><Relationship Id="rId7" Type="http://schemas.openxmlformats.org/officeDocument/2006/relationships/hyperlink" Target="https://lari.lu/wp-content/uploads/2025/10/LARI-Statute-amended-17-September-2025.pdf" TargetMode="External"/><Relationship Id="rId12" Type="http://schemas.openxmlformats.org/officeDocument/2006/relationships/hyperlink" Target="https://lari.lu/investigation/" TargetMode="External"/><Relationship Id="rId17" Type="http://schemas.openxmlformats.org/officeDocument/2006/relationships/hyperlink" Target="https://www.uni.lu/en/about/ethics-integrity/" TargetMode="External"/><Relationship Id="rId25" Type="http://schemas.openxmlformats.org/officeDocument/2006/relationships/hyperlink" Target="https://cner.gouvernement.lu/en/publications.html" TargetMode="External"/><Relationship Id="rId2" Type="http://schemas.openxmlformats.org/officeDocument/2006/relationships/settings" Target="settings.xml"/><Relationship Id="rId16" Type="http://schemas.openxmlformats.org/officeDocument/2006/relationships/hyperlink" Target="https://lari.lu/wp-content/uploads/2025/02/MoU-LARI-FNR-signed.pdf" TargetMode="External"/><Relationship Id="rId20" Type="http://schemas.openxmlformats.org/officeDocument/2006/relationships/hyperlink" Target="https://www.uni.lu/wp-content/uploads/sites/9/2025/07/16105311/Code-of-Conduct_2025.pdf" TargetMode="External"/><Relationship Id="rId29" Type="http://schemas.openxmlformats.org/officeDocument/2006/relationships/hyperlink" Target="https://lari.lu/wp-content/uploads/2025/10/LARI-Statute-amended-17-September-2025.pdf" TargetMode="External"/><Relationship Id="rId1" Type="http://schemas.openxmlformats.org/officeDocument/2006/relationships/styles" Target="styles.xml"/><Relationship Id="rId6" Type="http://schemas.openxmlformats.org/officeDocument/2006/relationships/hyperlink" Target="https://www.researchluxembourg.org/en/about-us/" TargetMode="External"/><Relationship Id="rId11" Type="http://schemas.openxmlformats.org/officeDocument/2006/relationships/hyperlink" Target="https://lari.lu/investigation/" TargetMode="External"/><Relationship Id="rId24" Type="http://schemas.openxmlformats.org/officeDocument/2006/relationships/hyperlink" Target="https://lari.lu/prevention/" TargetMode="External"/><Relationship Id="rId32" Type="http://schemas.openxmlformats.org/officeDocument/2006/relationships/theme" Target="theme/theme1.xml"/><Relationship Id="rId5" Type="http://schemas.openxmlformats.org/officeDocument/2006/relationships/hyperlink" Target="https://mesr.gouvernement.lu/en/le-ministere.html" TargetMode="External"/><Relationship Id="rId15" Type="http://schemas.openxmlformats.org/officeDocument/2006/relationships/hyperlink" Target="https://www.fnr.lu/our-funding-policies/" TargetMode="External"/><Relationship Id="rId23" Type="http://schemas.openxmlformats.org/officeDocument/2006/relationships/hyperlink" Target="https://www.lih.lu/en/governance/" TargetMode="External"/><Relationship Id="rId28" Type="http://schemas.openxmlformats.org/officeDocument/2006/relationships/hyperlink" Target="https://lari.lu/about/" TargetMode="External"/><Relationship Id="rId10" Type="http://schemas.openxmlformats.org/officeDocument/2006/relationships/hyperlink" Target="https://lari.lu/investigation/" TargetMode="External"/><Relationship Id="rId19" Type="http://schemas.openxmlformats.org/officeDocument/2006/relationships/hyperlink" Target="https://www.uni.lu/en/about/organisation/administration/ethics-review-panel/" TargetMode="External"/><Relationship Id="rId31" Type="http://schemas.openxmlformats.org/officeDocument/2006/relationships/fontTable" Target="fontTable.xml"/><Relationship Id="rId4" Type="http://schemas.openxmlformats.org/officeDocument/2006/relationships/hyperlink" Target="https://mesr.gouvernement.lu/en/le-ministere.html" TargetMode="External"/><Relationship Id="rId9" Type="http://schemas.openxmlformats.org/officeDocument/2006/relationships/hyperlink" Target="https://lari.lu/about/" TargetMode="External"/><Relationship Id="rId14" Type="http://schemas.openxmlformats.org/officeDocument/2006/relationships/hyperlink" Target="https://www.fnr.lu/what-we-do/" TargetMode="External"/><Relationship Id="rId22" Type="http://schemas.openxmlformats.org/officeDocument/2006/relationships/hyperlink" Target="https://liser.lu/research-ethics-committee" TargetMode="External"/><Relationship Id="rId27" Type="http://schemas.openxmlformats.org/officeDocument/2006/relationships/hyperlink" Target="https://mesr.gouvernement.lu/dam-assets/publications/national-research-and-nnovation-strategy-2026.pdf" TargetMode="External"/><Relationship Id="rId30" Type="http://schemas.openxmlformats.org/officeDocument/2006/relationships/hyperlink" Target="https://lari.lu/wp-content/uploads/2025/10/LARI-Statute-amended-17-September-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3060</Words>
  <Characters>16835</Characters>
  <Application>Microsoft Office Word</Application>
  <DocSecurity>0</DocSecurity>
  <Lines>140</Lines>
  <Paragraphs>39</Paragraphs>
  <ScaleCrop>false</ScaleCrop>
  <Company/>
  <LinksUpToDate>false</LinksUpToDate>
  <CharactersWithSpaces>19856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2026-04-17T05:57:00Z</dcterms:created>
  <dcterms:modified xsi:type="dcterms:W3CDTF">2026-04-17T05:57:00Z</dcterms:modified>
</cp:coreProperties>
</file>