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1430" w14:textId="77777777" w:rsidR="00B27B51" w:rsidRPr="00B27B51" w:rsidRDefault="00B27B51" w:rsidP="00B27B51">
      <w:pPr>
        <w:rPr>
          <w:lang w:val="nl-NL"/>
        </w:rPr>
      </w:pPr>
      <w:r w:rsidRPr="00B27B51">
        <w:rPr>
          <w:lang w:val="nl-NL"/>
        </w:rPr>
        <w:t xml:space="preserve">Ja — en mijn voorlopige totaalbeeld is dat </w:t>
      </w:r>
      <w:r w:rsidRPr="00B27B51">
        <w:rPr>
          <w:b/>
          <w:bCs/>
          <w:lang w:val="nl-NL"/>
        </w:rPr>
        <w:t>Polen een veel breder en meer juridisch ingebed integriteitslandschap heeft dan Nederland</w:t>
      </w:r>
      <w:r w:rsidRPr="00B27B51">
        <w:rPr>
          <w:lang w:val="nl-NL"/>
        </w:rPr>
        <w:t xml:space="preserve">, maar tegelijk minder rond één centraal integriteitsorgaan is georganiseerd dan Denemarken. In de bronnen die ik nu heb gevonden, loopt de kern vooral via een </w:t>
      </w:r>
      <w:r w:rsidRPr="00B27B51">
        <w:rPr>
          <w:b/>
          <w:bCs/>
          <w:lang w:val="nl-NL"/>
        </w:rPr>
        <w:t>algemene systeemwet</w:t>
      </w:r>
      <w:r w:rsidRPr="00B27B51">
        <w:rPr>
          <w:lang w:val="nl-NL"/>
        </w:rPr>
        <w:t xml:space="preserve">, de </w:t>
      </w:r>
      <w:r w:rsidRPr="00B27B51">
        <w:rPr>
          <w:b/>
          <w:bCs/>
          <w:lang w:val="nl-NL"/>
        </w:rPr>
        <w:t>Committee on Ethics in Science</w:t>
      </w:r>
      <w:r w:rsidRPr="00B27B51">
        <w:rPr>
          <w:lang w:val="nl-NL"/>
        </w:rPr>
        <w:t xml:space="preserve"> bij de </w:t>
      </w:r>
      <w:r w:rsidRPr="00B27B51">
        <w:rPr>
          <w:b/>
          <w:bCs/>
          <w:lang w:val="nl-NL"/>
        </w:rPr>
        <w:t>Poolse Academie van Wetenschappen (PAN)</w:t>
      </w:r>
      <w:r w:rsidRPr="00B27B51">
        <w:rPr>
          <w:lang w:val="nl-NL"/>
        </w:rPr>
        <w:t xml:space="preserve">, </w:t>
      </w:r>
      <w:r w:rsidRPr="00B27B51">
        <w:rPr>
          <w:b/>
          <w:bCs/>
          <w:lang w:val="nl-NL"/>
        </w:rPr>
        <w:t>lokale disciplinaire en ethische structuren</w:t>
      </w:r>
      <w:r w:rsidRPr="00B27B51">
        <w:rPr>
          <w:lang w:val="nl-NL"/>
        </w:rPr>
        <w:t xml:space="preserve"> bij instellingen, en een opvallend sterke </w:t>
      </w:r>
      <w:r w:rsidRPr="00B27B51">
        <w:rPr>
          <w:b/>
          <w:bCs/>
          <w:lang w:val="nl-NL"/>
        </w:rPr>
        <w:t>funderlaag</w:t>
      </w:r>
      <w:r w:rsidRPr="00B27B51">
        <w:rPr>
          <w:lang w:val="nl-NL"/>
        </w:rPr>
        <w:t xml:space="preserve">, vooral bij </w:t>
      </w:r>
      <w:r w:rsidRPr="00B27B51">
        <w:rPr>
          <w:b/>
          <w:bCs/>
          <w:lang w:val="nl-NL"/>
        </w:rPr>
        <w:t>NCN</w:t>
      </w:r>
      <w:r w:rsidRPr="00B27B51">
        <w:rPr>
          <w:lang w:val="nl-NL"/>
        </w:rPr>
        <w:t xml:space="preserve">. De wet maakt bovendien expliciet dat het systeem veel meer omvat dan alleen universiteiten: ook </w:t>
      </w:r>
      <w:r w:rsidRPr="00B27B51">
        <w:rPr>
          <w:b/>
          <w:bCs/>
          <w:lang w:val="nl-NL"/>
        </w:rPr>
        <w:t>PAN</w:t>
      </w:r>
      <w:r w:rsidRPr="00B27B51">
        <w:rPr>
          <w:lang w:val="nl-NL"/>
        </w:rPr>
        <w:t xml:space="preserve">, </w:t>
      </w:r>
      <w:r w:rsidRPr="00B27B51">
        <w:rPr>
          <w:b/>
          <w:bCs/>
          <w:lang w:val="nl-NL"/>
        </w:rPr>
        <w:t>PAN-instituten</w:t>
      </w:r>
      <w:r w:rsidRPr="00B27B51">
        <w:rPr>
          <w:lang w:val="nl-NL"/>
        </w:rPr>
        <w:t xml:space="preserve">, </w:t>
      </w:r>
      <w:r w:rsidRPr="00B27B51">
        <w:rPr>
          <w:b/>
          <w:bCs/>
          <w:lang w:val="nl-NL"/>
        </w:rPr>
        <w:t>research institutes</w:t>
      </w:r>
      <w:r w:rsidRPr="00B27B51">
        <w:rPr>
          <w:lang w:val="nl-NL"/>
        </w:rPr>
        <w:t xml:space="preserve">, </w:t>
      </w:r>
      <w:r w:rsidRPr="00B27B51">
        <w:rPr>
          <w:b/>
          <w:bCs/>
          <w:lang w:val="nl-NL"/>
        </w:rPr>
        <w:t>international institutes</w:t>
      </w:r>
      <w:r w:rsidRPr="00B27B51">
        <w:rPr>
          <w:lang w:val="nl-NL"/>
        </w:rPr>
        <w:t xml:space="preserve">, het </w:t>
      </w:r>
      <w:r w:rsidRPr="00B27B51">
        <w:rPr>
          <w:b/>
          <w:bCs/>
          <w:lang w:val="nl-NL"/>
        </w:rPr>
        <w:t>Łukasiewicz Centre</w:t>
      </w:r>
      <w:r w:rsidRPr="00B27B51">
        <w:rPr>
          <w:lang w:val="nl-NL"/>
        </w:rPr>
        <w:t xml:space="preserve"> en zijn instituten, </w:t>
      </w:r>
      <w:r w:rsidRPr="00B27B51">
        <w:rPr>
          <w:b/>
          <w:bCs/>
          <w:lang w:val="nl-NL"/>
        </w:rPr>
        <w:t>PAU</w:t>
      </w:r>
      <w:r w:rsidRPr="00B27B51">
        <w:rPr>
          <w:lang w:val="nl-NL"/>
        </w:rPr>
        <w:t xml:space="preserve">, en andere onderzoeksentiteiten vallen erin; daarnaast werken </w:t>
      </w:r>
      <w:r w:rsidRPr="00B27B51">
        <w:rPr>
          <w:b/>
          <w:bCs/>
          <w:lang w:val="nl-NL"/>
        </w:rPr>
        <w:t>NAWA</w:t>
      </w:r>
      <w:r w:rsidRPr="00B27B51">
        <w:rPr>
          <w:lang w:val="nl-NL"/>
        </w:rPr>
        <w:t xml:space="preserve">, </w:t>
      </w:r>
      <w:r w:rsidRPr="00B27B51">
        <w:rPr>
          <w:b/>
          <w:bCs/>
          <w:lang w:val="nl-NL"/>
        </w:rPr>
        <w:t>NCBR</w:t>
      </w:r>
      <w:r w:rsidRPr="00B27B51">
        <w:rPr>
          <w:lang w:val="nl-NL"/>
        </w:rPr>
        <w:t xml:space="preserve">, </w:t>
      </w:r>
      <w:r w:rsidRPr="00B27B51">
        <w:rPr>
          <w:b/>
          <w:bCs/>
          <w:lang w:val="nl-NL"/>
        </w:rPr>
        <w:t>NCN</w:t>
      </w:r>
      <w:r w:rsidRPr="00B27B51">
        <w:rPr>
          <w:lang w:val="nl-NL"/>
        </w:rPr>
        <w:t xml:space="preserve"> en de </w:t>
      </w:r>
      <w:r w:rsidRPr="00B27B51">
        <w:rPr>
          <w:b/>
          <w:bCs/>
          <w:lang w:val="nl-NL"/>
        </w:rPr>
        <w:t>Medical Research Agency</w:t>
      </w:r>
      <w:r w:rsidRPr="00B27B51">
        <w:rPr>
          <w:lang w:val="nl-NL"/>
        </w:rPr>
        <w:t xml:space="preserve"> voor het systeem. (</w:t>
      </w:r>
      <w:hyperlink r:id="rId5" w:tooltip="https://www.gov.pl/attachment/d6975935-4b24-4be3-96f1-09c51589958a" w:history="1">
        <w:r w:rsidRPr="00B27B51">
          <w:rPr>
            <w:rStyle w:val="Hyperlink"/>
            <w:lang w:val="nl-NL"/>
          </w:rPr>
          <w:t>Gov.pl</w:t>
        </w:r>
      </w:hyperlink>
      <w:r w:rsidRPr="00B27B51">
        <w:rPr>
          <w:lang w:val="nl-NL"/>
        </w:rPr>
        <w:t>)</w:t>
      </w:r>
    </w:p>
    <w:p w14:paraId="70F349CE" w14:textId="77777777" w:rsidR="00B27B51" w:rsidRPr="00B27B51" w:rsidRDefault="00B27B51" w:rsidP="00B27B51">
      <w:pPr>
        <w:rPr>
          <w:b/>
          <w:bCs/>
          <w:lang w:val="nl-NL"/>
        </w:rPr>
      </w:pPr>
      <w:r w:rsidRPr="00B27B51">
        <w:rPr>
          <w:b/>
          <w:bCs/>
          <w:lang w:val="nl-NL"/>
        </w:rPr>
        <w:t>1. Wat Polen in wezen lijkt te zijn</w:t>
      </w:r>
    </w:p>
    <w:p w14:paraId="406351E8" w14:textId="77777777" w:rsidR="00B27B51" w:rsidRPr="00B27B51" w:rsidRDefault="00B27B51" w:rsidP="00B27B51">
      <w:pPr>
        <w:rPr>
          <w:lang w:val="nl-NL"/>
        </w:rPr>
      </w:pPr>
      <w:r w:rsidRPr="00B27B51">
        <w:rPr>
          <w:lang w:val="nl-NL"/>
        </w:rPr>
        <w:t xml:space="preserve">Wat Polen bijzonder maakt, is dat de normatieve toon al in de basiswet wordt gezet. De </w:t>
      </w:r>
      <w:r w:rsidRPr="00B27B51">
        <w:rPr>
          <w:b/>
          <w:bCs/>
          <w:lang w:val="nl-NL"/>
        </w:rPr>
        <w:t>Law on Higher Education and Science</w:t>
      </w:r>
      <w:r w:rsidRPr="00B27B51">
        <w:rPr>
          <w:lang w:val="nl-NL"/>
        </w:rPr>
        <w:t xml:space="preserve"> opent met de gedachte dat het nastreven van waarheid en kennisoverdracht een bijzondere menselijke activiteit is, dat publieke autoriteiten voorwaarden moeten scheppen voor de vrijheid van onderzoek, en dat </w:t>
      </w:r>
      <w:r w:rsidRPr="00B27B51">
        <w:rPr>
          <w:b/>
          <w:bCs/>
          <w:lang w:val="nl-NL"/>
        </w:rPr>
        <w:t>iedere wetenschapper verantwoordelijk is voor de kwaliteit en betrouwbaarheid van onderzoek</w:t>
      </w:r>
      <w:r w:rsidRPr="00B27B51">
        <w:rPr>
          <w:lang w:val="nl-NL"/>
        </w:rPr>
        <w:t xml:space="preserve">. De wet zegt ook expliciet dat het hogeronderwijs- en wetenschapssysteem </w:t>
      </w:r>
      <w:r w:rsidRPr="00B27B51">
        <w:rPr>
          <w:b/>
          <w:bCs/>
          <w:lang w:val="nl-NL"/>
        </w:rPr>
        <w:t>internationale standaarden, ethische principes en good practice</w:t>
      </w:r>
      <w:r w:rsidRPr="00B27B51">
        <w:rPr>
          <w:lang w:val="nl-NL"/>
        </w:rPr>
        <w:t xml:space="preserve"> moet respecteren. Daardoor is “wetenschappelijke integriteit” in Polen vanaf het begin niet alleen een klachtenvraag, maar ook een systeemnorm. (</w:t>
      </w:r>
      <w:hyperlink r:id="rId6" w:tooltip="https://www.gov.pl/attachment/d6975935-4b24-4be3-96f1-09c51589958a" w:history="1">
        <w:r w:rsidRPr="00B27B51">
          <w:rPr>
            <w:rStyle w:val="Hyperlink"/>
            <w:lang w:val="nl-NL"/>
          </w:rPr>
          <w:t>Gov.pl</w:t>
        </w:r>
      </w:hyperlink>
      <w:r w:rsidRPr="00B27B51">
        <w:rPr>
          <w:lang w:val="nl-NL"/>
        </w:rPr>
        <w:t>)</w:t>
      </w:r>
    </w:p>
    <w:p w14:paraId="3D4A04AD" w14:textId="77777777" w:rsidR="00B27B51" w:rsidRPr="00B27B51" w:rsidRDefault="00B27B51" w:rsidP="00B27B51">
      <w:pPr>
        <w:rPr>
          <w:lang w:val="nl-NL"/>
        </w:rPr>
      </w:pPr>
      <w:r w:rsidRPr="00B27B51">
        <w:rPr>
          <w:lang w:val="nl-NL"/>
        </w:rPr>
        <w:t xml:space="preserve">Mijn lezing is daarom dat Polen voorlopig het best te begrijpen is als een </w:t>
      </w:r>
      <w:r w:rsidRPr="00B27B51">
        <w:rPr>
          <w:b/>
          <w:bCs/>
          <w:lang w:val="nl-NL"/>
        </w:rPr>
        <w:t>driehoek</w:t>
      </w:r>
      <w:r w:rsidRPr="00B27B51">
        <w:rPr>
          <w:lang w:val="nl-NL"/>
        </w:rPr>
        <w:t xml:space="preserve">: </w:t>
      </w:r>
      <w:r w:rsidRPr="00B27B51">
        <w:rPr>
          <w:b/>
          <w:bCs/>
          <w:lang w:val="nl-NL"/>
        </w:rPr>
        <w:t>algemene wet + PAN-ethiekcommissie + lokale disciplinaire/ethische uitvoering</w:t>
      </w:r>
      <w:r w:rsidRPr="00B27B51">
        <w:rPr>
          <w:lang w:val="nl-NL"/>
        </w:rPr>
        <w:t xml:space="preserve">, met daar parallel aan een sterke laag van </w:t>
      </w:r>
      <w:r w:rsidRPr="00B27B51">
        <w:rPr>
          <w:b/>
          <w:bCs/>
          <w:lang w:val="nl-NL"/>
        </w:rPr>
        <w:t>financieringsvoorwaarden</w:t>
      </w:r>
      <w:r w:rsidRPr="00B27B51">
        <w:rPr>
          <w:lang w:val="nl-NL"/>
        </w:rPr>
        <w:t>. In de geraadpleegde bronnen zie ik dus niet eerst één allesomvattend nationaal klachtenorgaan, maar juist deze combinatie van formele disciplinaire procedures, nationale ethische opinievorming en institutionele uitvoering. (</w:t>
      </w:r>
      <w:hyperlink r:id="rId7" w:tooltip="https://www.gov.pl/attachment/d6975935-4b24-4be3-96f1-09c51589958a" w:history="1">
        <w:r w:rsidRPr="00B27B51">
          <w:rPr>
            <w:rStyle w:val="Hyperlink"/>
            <w:lang w:val="nl-NL"/>
          </w:rPr>
          <w:t>Gov.pl</w:t>
        </w:r>
      </w:hyperlink>
      <w:r w:rsidRPr="00B27B51">
        <w:rPr>
          <w:lang w:val="nl-NL"/>
        </w:rPr>
        <w:t>)</w:t>
      </w:r>
    </w:p>
    <w:p w14:paraId="5BA2410E" w14:textId="77777777" w:rsidR="00B27B51" w:rsidRPr="00B27B51" w:rsidRDefault="00B27B51" w:rsidP="00B27B51">
      <w:pPr>
        <w:rPr>
          <w:b/>
          <w:bCs/>
          <w:lang w:val="nl-NL"/>
        </w:rPr>
      </w:pPr>
      <w:r w:rsidRPr="00B27B51">
        <w:rPr>
          <w:b/>
          <w:bCs/>
          <w:lang w:val="nl-NL"/>
        </w:rPr>
        <w:t>2. De nationale juridische ruggengraat</w:t>
      </w:r>
    </w:p>
    <w:p w14:paraId="7AA6989D" w14:textId="77777777" w:rsidR="00B27B51" w:rsidRPr="00B27B51" w:rsidRDefault="00B27B51" w:rsidP="00B27B51">
      <w:pPr>
        <w:rPr>
          <w:lang w:val="nl-NL"/>
        </w:rPr>
      </w:pPr>
      <w:r w:rsidRPr="00B27B51">
        <w:rPr>
          <w:lang w:val="nl-NL"/>
        </w:rPr>
        <w:t xml:space="preserve">De juridische kern zit in de </w:t>
      </w:r>
      <w:r w:rsidRPr="00B27B51">
        <w:rPr>
          <w:b/>
          <w:bCs/>
          <w:lang w:val="nl-NL"/>
        </w:rPr>
        <w:t>2018-wet</w:t>
      </w:r>
      <w:r w:rsidRPr="00B27B51">
        <w:rPr>
          <w:lang w:val="nl-NL"/>
        </w:rPr>
        <w:t xml:space="preserve">. Die wet regelt niet alleen de samenstelling van het stelsel, maar ook disciplinaire aansprakelijkheid. Een van de opvallendste bepalingen is dat disciplinaire commissies </w:t>
      </w:r>
      <w:r w:rsidRPr="00B27B51">
        <w:rPr>
          <w:b/>
          <w:bCs/>
          <w:lang w:val="nl-NL"/>
        </w:rPr>
        <w:t>onafhankelijk</w:t>
      </w:r>
      <w:r w:rsidRPr="00B27B51">
        <w:rPr>
          <w:lang w:val="nl-NL"/>
        </w:rPr>
        <w:t xml:space="preserve"> oordelen en in beginsel niet gebonden zijn aan andere organen, </w:t>
      </w:r>
      <w:r w:rsidRPr="00B27B51">
        <w:rPr>
          <w:b/>
          <w:bCs/>
          <w:lang w:val="nl-NL"/>
        </w:rPr>
        <w:t>behalve</w:t>
      </w:r>
      <w:r w:rsidRPr="00B27B51">
        <w:rPr>
          <w:lang w:val="nl-NL"/>
        </w:rPr>
        <w:t xml:space="preserve"> aan een onherroepelijk strafvonnis en </w:t>
      </w:r>
      <w:r w:rsidRPr="00B27B51">
        <w:rPr>
          <w:b/>
          <w:bCs/>
          <w:lang w:val="nl-NL"/>
        </w:rPr>
        <w:t>de opinie van de Committee on Ethics in Science bij PAN</w:t>
      </w:r>
      <w:r w:rsidRPr="00B27B51">
        <w:rPr>
          <w:lang w:val="nl-NL"/>
        </w:rPr>
        <w:t>. Daarmee krijgt die PAN-commissie in het formele systeem een uitzonderlijk gewicht. De wet regelt ook eerste- en tweede-instantie disciplinaire commissies en de rol van disciplinaire functionarissen. (</w:t>
      </w:r>
      <w:hyperlink r:id="rId8" w:tooltip="https://www.gov.pl/attachment/d6975935-4b24-4be3-96f1-09c51589958a" w:history="1">
        <w:r w:rsidRPr="00B27B51">
          <w:rPr>
            <w:rStyle w:val="Hyperlink"/>
            <w:lang w:val="nl-NL"/>
          </w:rPr>
          <w:t>Gov.pl</w:t>
        </w:r>
      </w:hyperlink>
      <w:r w:rsidRPr="00B27B51">
        <w:rPr>
          <w:lang w:val="nl-NL"/>
        </w:rPr>
        <w:t>)</w:t>
      </w:r>
    </w:p>
    <w:p w14:paraId="6439B9C4" w14:textId="77777777" w:rsidR="00B27B51" w:rsidRPr="00B27B51" w:rsidRDefault="00B27B51" w:rsidP="00B27B51">
      <w:pPr>
        <w:rPr>
          <w:lang w:val="nl-NL"/>
        </w:rPr>
      </w:pPr>
      <w:r w:rsidRPr="00B27B51">
        <w:rPr>
          <w:lang w:val="nl-NL"/>
        </w:rPr>
        <w:t xml:space="preserve">Een tweede deel van die nationale ruggengraat is de </w:t>
      </w:r>
      <w:r w:rsidRPr="00B27B51">
        <w:rPr>
          <w:b/>
          <w:bCs/>
          <w:lang w:val="nl-NL"/>
        </w:rPr>
        <w:t>informatie- en anti-plagiaatinfrastructuur</w:t>
      </w:r>
      <w:r w:rsidRPr="00B27B51">
        <w:rPr>
          <w:lang w:val="nl-NL"/>
        </w:rPr>
        <w:t xml:space="preserve">. De wet verplicht de minister om het </w:t>
      </w:r>
      <w:r w:rsidRPr="00B27B51">
        <w:rPr>
          <w:b/>
          <w:bCs/>
          <w:lang w:val="nl-NL"/>
        </w:rPr>
        <w:t>POL-on</w:t>
      </w:r>
      <w:r w:rsidRPr="00B27B51">
        <w:rPr>
          <w:lang w:val="nl-NL"/>
        </w:rPr>
        <w:t xml:space="preserve">-systeem te beheren en daarnaast het </w:t>
      </w:r>
      <w:r w:rsidRPr="00B27B51">
        <w:rPr>
          <w:b/>
          <w:bCs/>
          <w:lang w:val="nl-NL"/>
        </w:rPr>
        <w:t>Uniform Anti-plagiarism System</w:t>
      </w:r>
      <w:r w:rsidRPr="00B27B51">
        <w:rPr>
          <w:lang w:val="nl-NL"/>
        </w:rPr>
        <w:t xml:space="preserve">. Dat anti-plagiaatsysteem </w:t>
      </w:r>
      <w:r w:rsidRPr="00B27B51">
        <w:rPr>
          <w:lang w:val="nl-NL"/>
        </w:rPr>
        <w:lastRenderedPageBreak/>
        <w:t xml:space="preserve">gebruikt gegevens uit het nationale depot van scripties en uit promotiedocumenten. De actuele POL-on-pagina laat zien dat </w:t>
      </w:r>
      <w:r w:rsidRPr="00B27B51">
        <w:rPr>
          <w:b/>
          <w:bCs/>
          <w:lang w:val="nl-NL"/>
        </w:rPr>
        <w:t>meer dan 500 organisaties</w:t>
      </w:r>
      <w:r w:rsidRPr="00B27B51">
        <w:rPr>
          <w:lang w:val="nl-NL"/>
        </w:rPr>
        <w:t xml:space="preserve"> gegevens aanleveren, en dat het netwerk op dit moment cijfers toont voor </w:t>
      </w:r>
      <w:r w:rsidRPr="00B27B51">
        <w:rPr>
          <w:b/>
          <w:bCs/>
          <w:lang w:val="nl-NL"/>
        </w:rPr>
        <w:t>401 publieke en private universiteiten</w:t>
      </w:r>
      <w:r w:rsidRPr="00B27B51">
        <w:rPr>
          <w:lang w:val="nl-NL"/>
        </w:rPr>
        <w:t xml:space="preserve"> en </w:t>
      </w:r>
      <w:r w:rsidRPr="00B27B51">
        <w:rPr>
          <w:b/>
          <w:bCs/>
          <w:lang w:val="nl-NL"/>
        </w:rPr>
        <w:t>211 wetenschappelijke instellingen</w:t>
      </w:r>
      <w:r w:rsidRPr="00B27B51">
        <w:rPr>
          <w:lang w:val="nl-NL"/>
        </w:rPr>
        <w:t>. De repository-pagina zegt bovendien expliciet dat de inhoud van scripties wordt gebruikt in het uniforme anti-plagiaatsysteem. (</w:t>
      </w:r>
      <w:hyperlink r:id="rId9" w:tooltip="https://www.gov.pl/attachment/d6975935-4b24-4be3-96f1-09c51589958a" w:history="1">
        <w:r w:rsidRPr="00B27B51">
          <w:rPr>
            <w:rStyle w:val="Hyperlink"/>
            <w:lang w:val="nl-NL"/>
          </w:rPr>
          <w:t>Gov.pl</w:t>
        </w:r>
      </w:hyperlink>
      <w:r w:rsidRPr="00B27B51">
        <w:rPr>
          <w:lang w:val="nl-NL"/>
        </w:rPr>
        <w:t>)</w:t>
      </w:r>
    </w:p>
    <w:p w14:paraId="1598826D" w14:textId="77777777" w:rsidR="00B27B51" w:rsidRPr="00B27B51" w:rsidRDefault="00B27B51" w:rsidP="00B27B51">
      <w:pPr>
        <w:rPr>
          <w:b/>
          <w:bCs/>
          <w:lang w:val="nl-NL"/>
        </w:rPr>
      </w:pPr>
      <w:r w:rsidRPr="00B27B51">
        <w:rPr>
          <w:b/>
          <w:bCs/>
          <w:lang w:val="nl-NL"/>
        </w:rPr>
        <w:t>3. De nationale ethische kern: PAN</w:t>
      </w:r>
    </w:p>
    <w:p w14:paraId="16D04A7E" w14:textId="77777777" w:rsidR="00B27B51" w:rsidRPr="00B27B51" w:rsidRDefault="00B27B51" w:rsidP="00B27B51">
      <w:pPr>
        <w:rPr>
          <w:lang w:val="nl-NL"/>
        </w:rPr>
      </w:pPr>
      <w:r w:rsidRPr="00B27B51">
        <w:rPr>
          <w:lang w:val="nl-NL"/>
        </w:rPr>
        <w:t xml:space="preserve">De </w:t>
      </w:r>
      <w:r w:rsidRPr="00B27B51">
        <w:rPr>
          <w:b/>
          <w:bCs/>
          <w:lang w:val="nl-NL"/>
        </w:rPr>
        <w:t>Poolse Academie van Wetenschappen (PAN)</w:t>
      </w:r>
      <w:r w:rsidRPr="00B27B51">
        <w:rPr>
          <w:lang w:val="nl-NL"/>
        </w:rPr>
        <w:t xml:space="preserve"> is voor jouw kaart niet zomaar “nog een actor”, maar een echte spil. Op de officiële PAN-pagina staat dat de </w:t>
      </w:r>
      <w:r w:rsidRPr="00B27B51">
        <w:rPr>
          <w:b/>
          <w:bCs/>
          <w:lang w:val="nl-NL"/>
        </w:rPr>
        <w:t>Committee on Ethics in Science</w:t>
      </w:r>
      <w:r w:rsidRPr="00B27B51">
        <w:rPr>
          <w:lang w:val="nl-NL"/>
        </w:rPr>
        <w:t xml:space="preserve"> werkt binnen PAN, dat haar leden door de Algemene Vergadering van PAN worden gekozen uit kandidaten van de bredere wetenschappelijke en academische gemeenschap, en dat de commissie </w:t>
      </w:r>
      <w:r w:rsidRPr="00B27B51">
        <w:rPr>
          <w:b/>
          <w:bCs/>
          <w:lang w:val="nl-NL"/>
        </w:rPr>
        <w:t>opinies geeft over schendingen van ethische normen in de wetenschap</w:t>
      </w:r>
      <w:r w:rsidRPr="00B27B51">
        <w:rPr>
          <w:lang w:val="nl-NL"/>
        </w:rPr>
        <w:t xml:space="preserve"> door medewerkers van universiteiten, PAN-eenheden en onderzoeksinstituten — juist ook in disciplinaire procedures. Diezelfde pagina zegt ook dat de commissie </w:t>
      </w:r>
      <w:r w:rsidRPr="00B27B51">
        <w:rPr>
          <w:b/>
          <w:bCs/>
          <w:lang w:val="nl-NL"/>
        </w:rPr>
        <w:t>zelf zaken kan initiëren</w:t>
      </w:r>
      <w:r w:rsidRPr="00B27B51">
        <w:rPr>
          <w:lang w:val="nl-NL"/>
        </w:rPr>
        <w:t xml:space="preserve"> richting disciplinaire commissies en ethische/integriteitsnormen actief promoot. Dat sluit direct aan op de wettelijke bepaling over het bijzondere gewicht van de PAN-opinie. (</w:t>
      </w:r>
      <w:hyperlink r:id="rId10" w:tooltip="https://pan.pl/en/ethics-in-science/" w:history="1">
        <w:r w:rsidRPr="00B27B51">
          <w:rPr>
            <w:rStyle w:val="Hyperlink"/>
            <w:lang w:val="nl-NL"/>
          </w:rPr>
          <w:t>Pan</w:t>
        </w:r>
      </w:hyperlink>
      <w:r w:rsidRPr="00B27B51">
        <w:rPr>
          <w:lang w:val="nl-NL"/>
        </w:rPr>
        <w:t>)</w:t>
      </w:r>
    </w:p>
    <w:p w14:paraId="4FC694C5" w14:textId="77777777" w:rsidR="00B27B51" w:rsidRPr="00B27B51" w:rsidRDefault="00B27B51" w:rsidP="00B27B51">
      <w:pPr>
        <w:rPr>
          <w:lang w:val="nl-NL"/>
        </w:rPr>
      </w:pPr>
      <w:r w:rsidRPr="00B27B51">
        <w:rPr>
          <w:lang w:val="nl-NL"/>
        </w:rPr>
        <w:t xml:space="preserve">PAN is bovendien niet klein of marginaal. De Academie zelf presenteert zich als een cluster van </w:t>
      </w:r>
      <w:r w:rsidRPr="00B27B51">
        <w:rPr>
          <w:b/>
          <w:bCs/>
          <w:lang w:val="nl-NL"/>
        </w:rPr>
        <w:t>69 wetenschappelijke instituten</w:t>
      </w:r>
      <w:r w:rsidRPr="00B27B51">
        <w:rPr>
          <w:lang w:val="nl-NL"/>
        </w:rPr>
        <w:t xml:space="preserve">, met </w:t>
      </w:r>
      <w:r w:rsidRPr="00B27B51">
        <w:rPr>
          <w:b/>
          <w:bCs/>
          <w:lang w:val="nl-NL"/>
        </w:rPr>
        <w:t>4300+ onderzoekers</w:t>
      </w:r>
      <w:r w:rsidRPr="00B27B51">
        <w:rPr>
          <w:lang w:val="nl-NL"/>
        </w:rPr>
        <w:t xml:space="preserve">, buitenlandse centra en regionale afdelingen. Daardoor is PAN tegelijk een </w:t>
      </w:r>
      <w:r w:rsidRPr="00B27B51">
        <w:rPr>
          <w:b/>
          <w:bCs/>
          <w:lang w:val="nl-NL"/>
        </w:rPr>
        <w:t>nationale normdrager</w:t>
      </w:r>
      <w:r w:rsidRPr="00B27B51">
        <w:rPr>
          <w:lang w:val="nl-NL"/>
        </w:rPr>
        <w:t xml:space="preserve"> én een </w:t>
      </w:r>
      <w:r w:rsidRPr="00B27B51">
        <w:rPr>
          <w:b/>
          <w:bCs/>
          <w:lang w:val="nl-NL"/>
        </w:rPr>
        <w:t>groot institutioneel onderzoeksblok</w:t>
      </w:r>
      <w:r w:rsidRPr="00B27B51">
        <w:rPr>
          <w:lang w:val="nl-NL"/>
        </w:rPr>
        <w:t xml:space="preserve"> binnen Polen. Voor jouw project is dat belangrijk, omdat “PAN” dus zowel een governance-bron als een concrete instellingslaag is. (</w:t>
      </w:r>
      <w:hyperlink r:id="rId11" w:tooltip="https://pan.pl/en/" w:history="1">
        <w:r w:rsidRPr="00B27B51">
          <w:rPr>
            <w:rStyle w:val="Hyperlink"/>
            <w:lang w:val="nl-NL"/>
          </w:rPr>
          <w:t>Pan</w:t>
        </w:r>
      </w:hyperlink>
      <w:r w:rsidRPr="00B27B51">
        <w:rPr>
          <w:lang w:val="nl-NL"/>
        </w:rPr>
        <w:t>)</w:t>
      </w:r>
    </w:p>
    <w:p w14:paraId="104630F8" w14:textId="77777777" w:rsidR="00B27B51" w:rsidRPr="00B27B51" w:rsidRDefault="00B27B51" w:rsidP="00B27B51">
      <w:pPr>
        <w:rPr>
          <w:lang w:val="nl-NL"/>
        </w:rPr>
      </w:pPr>
      <w:r w:rsidRPr="00B27B51">
        <w:rPr>
          <w:lang w:val="nl-NL"/>
        </w:rPr>
        <w:t xml:space="preserve">De normatieve hoofdtekst van PAN is de </w:t>
      </w:r>
      <w:r w:rsidRPr="00B27B51">
        <w:rPr>
          <w:b/>
          <w:bCs/>
          <w:lang w:val="nl-NL"/>
        </w:rPr>
        <w:t>Code of Ethics for Researchers</w:t>
      </w:r>
      <w:r w:rsidRPr="00B27B51">
        <w:rPr>
          <w:lang w:val="nl-NL"/>
        </w:rPr>
        <w:t xml:space="preserve">, vierde editie, ontwikkeld door de PAN-commissie en door de Algemene Vergadering van PAN aangenomen op </w:t>
      </w:r>
      <w:r w:rsidRPr="00B27B51">
        <w:rPr>
          <w:b/>
          <w:bCs/>
          <w:lang w:val="nl-NL"/>
        </w:rPr>
        <w:t>5 december 2024</w:t>
      </w:r>
      <w:r w:rsidRPr="00B27B51">
        <w:rPr>
          <w:lang w:val="nl-NL"/>
        </w:rPr>
        <w:t xml:space="preserve">. De code bestrijkt niet alleen algemene waarden, maar ook </w:t>
      </w:r>
      <w:r w:rsidRPr="00B27B51">
        <w:rPr>
          <w:b/>
          <w:bCs/>
          <w:lang w:val="nl-NL"/>
        </w:rPr>
        <w:t>databeheer</w:t>
      </w:r>
      <w:r w:rsidRPr="00B27B51">
        <w:rPr>
          <w:lang w:val="nl-NL"/>
        </w:rPr>
        <w:t xml:space="preserve">, </w:t>
      </w:r>
      <w:r w:rsidRPr="00B27B51">
        <w:rPr>
          <w:b/>
          <w:bCs/>
          <w:lang w:val="nl-NL"/>
        </w:rPr>
        <w:t>uitvoering van onderzoek</w:t>
      </w:r>
      <w:r w:rsidRPr="00B27B51">
        <w:rPr>
          <w:lang w:val="nl-NL"/>
        </w:rPr>
        <w:t xml:space="preserve">, </w:t>
      </w:r>
      <w:r w:rsidRPr="00B27B51">
        <w:rPr>
          <w:b/>
          <w:bCs/>
          <w:lang w:val="nl-NL"/>
        </w:rPr>
        <w:t>auteurschap en publiceren</w:t>
      </w:r>
      <w:r w:rsidRPr="00B27B51">
        <w:rPr>
          <w:lang w:val="nl-NL"/>
        </w:rPr>
        <w:t xml:space="preserve">, </w:t>
      </w:r>
      <w:r w:rsidRPr="00B27B51">
        <w:rPr>
          <w:b/>
          <w:bCs/>
          <w:lang w:val="nl-NL"/>
        </w:rPr>
        <w:t>opleiding van jonge onderzoekers en studenten</w:t>
      </w:r>
      <w:r w:rsidRPr="00B27B51">
        <w:rPr>
          <w:lang w:val="nl-NL"/>
        </w:rPr>
        <w:t xml:space="preserve">, </w:t>
      </w:r>
      <w:r w:rsidRPr="00B27B51">
        <w:rPr>
          <w:b/>
          <w:bCs/>
          <w:lang w:val="nl-NL"/>
        </w:rPr>
        <w:t>relaties met de samenleving</w:t>
      </w:r>
      <w:r w:rsidRPr="00B27B51">
        <w:rPr>
          <w:lang w:val="nl-NL"/>
        </w:rPr>
        <w:t xml:space="preserve">, </w:t>
      </w:r>
      <w:r w:rsidRPr="00B27B51">
        <w:rPr>
          <w:b/>
          <w:bCs/>
          <w:lang w:val="nl-NL"/>
        </w:rPr>
        <w:t>belangenconflicten</w:t>
      </w:r>
      <w:r w:rsidRPr="00B27B51">
        <w:rPr>
          <w:lang w:val="nl-NL"/>
        </w:rPr>
        <w:t xml:space="preserve"> en </w:t>
      </w:r>
      <w:r w:rsidRPr="00B27B51">
        <w:rPr>
          <w:b/>
          <w:bCs/>
          <w:lang w:val="nl-NL"/>
        </w:rPr>
        <w:t>misconduct</w:t>
      </w:r>
      <w:r w:rsidRPr="00B27B51">
        <w:rPr>
          <w:lang w:val="nl-NL"/>
        </w:rPr>
        <w:t xml:space="preserve"> plus de behandeling van zaken. Voor Polen is dit dus een duidelijke kandidaat voor het nationale “anker-document”, vergelijkbaar met de codes die jij in andere landen zoekt. (</w:t>
      </w:r>
      <w:hyperlink r:id="rId12" w:tooltip="https://pan.pl/app/uploads/2025/06/Code_of_ethics_for_researchers_2024.pdf" w:history="1">
        <w:r w:rsidRPr="00B27B51">
          <w:rPr>
            <w:rStyle w:val="Hyperlink"/>
            <w:lang w:val="nl-NL"/>
          </w:rPr>
          <w:t>Pan</w:t>
        </w:r>
      </w:hyperlink>
      <w:r w:rsidRPr="00B27B51">
        <w:rPr>
          <w:lang w:val="nl-NL"/>
        </w:rPr>
        <w:t>)</w:t>
      </w:r>
    </w:p>
    <w:p w14:paraId="6FD1670B" w14:textId="77777777" w:rsidR="00B27B51" w:rsidRPr="00B27B51" w:rsidRDefault="00B27B51" w:rsidP="00B27B51">
      <w:pPr>
        <w:rPr>
          <w:lang w:val="nl-NL"/>
        </w:rPr>
      </w:pPr>
      <w:r w:rsidRPr="00B27B51">
        <w:rPr>
          <w:lang w:val="nl-NL"/>
        </w:rPr>
        <w:t xml:space="preserve">Methodologisch is PAN ook aantrekkelijk omdat de commissie niet alleen een code publiceert, maar een heel </w:t>
      </w:r>
      <w:r w:rsidRPr="00B27B51">
        <w:rPr>
          <w:b/>
          <w:bCs/>
          <w:lang w:val="nl-NL"/>
        </w:rPr>
        <w:t>documentencluster</w:t>
      </w:r>
      <w:r w:rsidRPr="00B27B51">
        <w:rPr>
          <w:lang w:val="nl-NL"/>
        </w:rPr>
        <w:t xml:space="preserve">: op de PAN-pagina staan </w:t>
      </w:r>
      <w:r w:rsidRPr="00B27B51">
        <w:rPr>
          <w:b/>
          <w:bCs/>
          <w:lang w:val="nl-NL"/>
        </w:rPr>
        <w:t>Statements</w:t>
      </w:r>
      <w:r w:rsidRPr="00B27B51">
        <w:rPr>
          <w:lang w:val="nl-NL"/>
        </w:rPr>
        <w:t xml:space="preserve">, </w:t>
      </w:r>
      <w:r w:rsidRPr="00B27B51">
        <w:rPr>
          <w:b/>
          <w:bCs/>
          <w:lang w:val="nl-NL"/>
        </w:rPr>
        <w:t>Reports and Legal Acts</w:t>
      </w:r>
      <w:r w:rsidRPr="00B27B51">
        <w:rPr>
          <w:lang w:val="nl-NL"/>
        </w:rPr>
        <w:t xml:space="preserve">, een link naar de </w:t>
      </w:r>
      <w:r w:rsidRPr="00B27B51">
        <w:rPr>
          <w:b/>
          <w:bCs/>
          <w:lang w:val="nl-NL"/>
        </w:rPr>
        <w:t>BIP</w:t>
      </w:r>
      <w:r w:rsidRPr="00B27B51">
        <w:rPr>
          <w:lang w:val="nl-NL"/>
        </w:rPr>
        <w:t xml:space="preserve">-omgeving, en een reglement voor de commissie. Daarnaast laat het PAN-tijdschrift </w:t>
      </w:r>
      <w:r w:rsidRPr="00B27B51">
        <w:rPr>
          <w:b/>
          <w:bCs/>
          <w:lang w:val="nl-NL"/>
        </w:rPr>
        <w:t>Nauka</w:t>
      </w:r>
      <w:r w:rsidRPr="00B27B51">
        <w:rPr>
          <w:lang w:val="nl-NL"/>
        </w:rPr>
        <w:t xml:space="preserve"> zien dat er door de jaren heen </w:t>
      </w:r>
      <w:r w:rsidRPr="00B27B51">
        <w:rPr>
          <w:b/>
          <w:bCs/>
          <w:lang w:val="nl-NL"/>
        </w:rPr>
        <w:t>jaarrapporten over de activiteit van de commissie</w:t>
      </w:r>
      <w:r w:rsidRPr="00B27B51">
        <w:rPr>
          <w:lang w:val="nl-NL"/>
        </w:rPr>
        <w:t xml:space="preserve"> zijn gepubliceerd. Een recente PAN-berichtgeving over de plenaire vergadering van 17 juni 2024 laat ook zien dat de commissie zich bezighoudt met zaken rond </w:t>
      </w:r>
      <w:r w:rsidRPr="00B27B51">
        <w:rPr>
          <w:b/>
          <w:bCs/>
          <w:lang w:val="nl-NL"/>
        </w:rPr>
        <w:t xml:space="preserve">wetenschappelijke integriteit, </w:t>
      </w:r>
      <w:r w:rsidRPr="00B27B51">
        <w:rPr>
          <w:b/>
          <w:bCs/>
          <w:lang w:val="nl-NL"/>
        </w:rPr>
        <w:lastRenderedPageBreak/>
        <w:t>auteurschap/IP en vervalsing in publicaties</w:t>
      </w:r>
      <w:r w:rsidRPr="00B27B51">
        <w:rPr>
          <w:lang w:val="nl-NL"/>
        </w:rPr>
        <w:t>. Dit is precies het soort bronlaag waarmee je kunt bewijzen hoe een instantie functioneert, niet alleen dat ze bestaat. (</w:t>
      </w:r>
      <w:hyperlink r:id="rId13" w:tooltip="https://pan.pl/en/ethics-in-science/" w:history="1">
        <w:r w:rsidRPr="00B27B51">
          <w:rPr>
            <w:rStyle w:val="Hyperlink"/>
            <w:lang w:val="nl-NL"/>
          </w:rPr>
          <w:t>Pan</w:t>
        </w:r>
      </w:hyperlink>
      <w:r w:rsidRPr="00B27B51">
        <w:rPr>
          <w:lang w:val="nl-NL"/>
        </w:rPr>
        <w:t>)</w:t>
      </w:r>
    </w:p>
    <w:p w14:paraId="4F6AFFBD" w14:textId="77777777" w:rsidR="00B27B51" w:rsidRPr="00B27B51" w:rsidRDefault="00B27B51" w:rsidP="00B27B51">
      <w:pPr>
        <w:rPr>
          <w:b/>
          <w:bCs/>
          <w:lang w:val="nl-NL"/>
        </w:rPr>
      </w:pPr>
      <w:r w:rsidRPr="00B27B51">
        <w:rPr>
          <w:b/>
          <w:bCs/>
          <w:lang w:val="nl-NL"/>
        </w:rPr>
        <w:t>4. Sectorale governance: CRASP</w:t>
      </w:r>
    </w:p>
    <w:p w14:paraId="56E1E17B" w14:textId="77777777" w:rsidR="00B27B51" w:rsidRPr="00B27B51" w:rsidRDefault="00B27B51" w:rsidP="00B27B51">
      <w:pPr>
        <w:rPr>
          <w:lang w:val="nl-NL"/>
        </w:rPr>
      </w:pPr>
      <w:r w:rsidRPr="00B27B51">
        <w:rPr>
          <w:lang w:val="nl-NL"/>
        </w:rPr>
        <w:t xml:space="preserve">Boven de instellingen zit in Polen ook een duidelijke sectorlaag. De wet noemt de </w:t>
      </w:r>
      <w:r w:rsidRPr="00B27B51">
        <w:rPr>
          <w:b/>
          <w:bCs/>
          <w:lang w:val="nl-NL"/>
        </w:rPr>
        <w:t>Conference of Rectors of Academic Schools in Poland (CRASP)</w:t>
      </w:r>
      <w:r w:rsidRPr="00B27B51">
        <w:rPr>
          <w:lang w:val="nl-NL"/>
        </w:rPr>
        <w:t xml:space="preserve"> expliciet als een </w:t>
      </w:r>
      <w:r w:rsidRPr="00B27B51">
        <w:rPr>
          <w:b/>
          <w:bCs/>
          <w:lang w:val="nl-NL"/>
        </w:rPr>
        <w:t>representatieve instelling</w:t>
      </w:r>
      <w:r w:rsidRPr="00B27B51">
        <w:rPr>
          <w:lang w:val="nl-NL"/>
        </w:rPr>
        <w:t xml:space="preserve"> van de hogeronderwijs- en wetenschapsgemeenschap. Dat maakt CRASP formeel relevant, ook als het geen disciplinaire commissie is. (</w:t>
      </w:r>
      <w:hyperlink r:id="rId14" w:tooltip="https://www.gov.pl/attachment/d6975935-4b24-4be3-96f1-09c51589958a" w:history="1">
        <w:r w:rsidRPr="00B27B51">
          <w:rPr>
            <w:rStyle w:val="Hyperlink"/>
            <w:lang w:val="nl-NL"/>
          </w:rPr>
          <w:t>Gov.pl</w:t>
        </w:r>
      </w:hyperlink>
      <w:r w:rsidRPr="00B27B51">
        <w:rPr>
          <w:lang w:val="nl-NL"/>
        </w:rPr>
        <w:t>)</w:t>
      </w:r>
    </w:p>
    <w:p w14:paraId="32941423" w14:textId="77777777" w:rsidR="00B27B51" w:rsidRPr="00B27B51" w:rsidRDefault="00B27B51" w:rsidP="00B27B51">
      <w:pPr>
        <w:rPr>
          <w:lang w:val="nl-NL"/>
        </w:rPr>
      </w:pPr>
      <w:r w:rsidRPr="00B27B51">
        <w:rPr>
          <w:lang w:val="nl-NL"/>
        </w:rPr>
        <w:t xml:space="preserve">Voor integriteit is vooral de CRASP-publicatie </w:t>
      </w:r>
      <w:r w:rsidRPr="00B27B51">
        <w:rPr>
          <w:b/>
          <w:bCs/>
          <w:lang w:val="nl-NL"/>
        </w:rPr>
        <w:t>Good Practices in Universities</w:t>
      </w:r>
      <w:r w:rsidRPr="00B27B51">
        <w:rPr>
          <w:lang w:val="nl-NL"/>
        </w:rPr>
        <w:t xml:space="preserve"> interessant. Die tekst maakt expliciet dat hij vooral gaat over </w:t>
      </w:r>
      <w:r w:rsidRPr="00B27B51">
        <w:rPr>
          <w:b/>
          <w:bCs/>
          <w:lang w:val="nl-NL"/>
        </w:rPr>
        <w:t>governance, academische waarden en universitaire bestuurspraktijk</w:t>
      </w:r>
      <w:r w:rsidRPr="00B27B51">
        <w:rPr>
          <w:lang w:val="nl-NL"/>
        </w:rPr>
        <w:t xml:space="preserve">, en niet primair over de beroepsethiek van individuele onderzoekers. Tegelijk laat het document zien dat CRASP een </w:t>
      </w:r>
      <w:r w:rsidRPr="00B27B51">
        <w:rPr>
          <w:b/>
          <w:bCs/>
          <w:lang w:val="nl-NL"/>
        </w:rPr>
        <w:t>Committee for Good Practices</w:t>
      </w:r>
      <w:r w:rsidRPr="00B27B51">
        <w:rPr>
          <w:lang w:val="nl-NL"/>
        </w:rPr>
        <w:t xml:space="preserve"> heeft die observantie van professionele ethiek en de code moet bevorderen. Het document is dus geen nationaal misconduct-reglement, maar wel een belangrijke </w:t>
      </w:r>
      <w:r w:rsidRPr="00B27B51">
        <w:rPr>
          <w:b/>
          <w:bCs/>
          <w:lang w:val="nl-NL"/>
        </w:rPr>
        <w:t>meta-governancebron</w:t>
      </w:r>
      <w:r w:rsidRPr="00B27B51">
        <w:rPr>
          <w:lang w:val="nl-NL"/>
        </w:rPr>
        <w:t>: het vertelt je hoe de Poolse rectorensector naar ethos, bestuur en academische cultuur kijkt. (</w:t>
      </w:r>
      <w:hyperlink r:id="rId15" w:tooltip="https://www.krasp.org.pl/files/public/dokumenty/KRASP_Kodeks_Dobre%20praktyki_EN.pdf" w:history="1">
        <w:r w:rsidRPr="00B27B51">
          <w:rPr>
            <w:rStyle w:val="Hyperlink"/>
            <w:lang w:val="nl-NL"/>
          </w:rPr>
          <w:t>krasp.org.pl</w:t>
        </w:r>
      </w:hyperlink>
      <w:r w:rsidRPr="00B27B51">
        <w:rPr>
          <w:lang w:val="nl-NL"/>
        </w:rPr>
        <w:t>)</w:t>
      </w:r>
    </w:p>
    <w:p w14:paraId="75D53E21" w14:textId="77777777" w:rsidR="00B27B51" w:rsidRPr="00B27B51" w:rsidRDefault="00B27B51" w:rsidP="00B27B51">
      <w:pPr>
        <w:rPr>
          <w:lang w:val="nl-NL"/>
        </w:rPr>
      </w:pPr>
      <w:r w:rsidRPr="00B27B51">
        <w:rPr>
          <w:lang w:val="nl-NL"/>
        </w:rPr>
        <w:t xml:space="preserve">Historisch is die CRASP-code ook interessant omdat zij terugverwijst naar oudere Poolse ethische teksten, waaronder </w:t>
      </w:r>
      <w:r w:rsidRPr="00B27B51">
        <w:rPr>
          <w:b/>
          <w:bCs/>
          <w:lang w:val="nl-NL"/>
        </w:rPr>
        <w:t>Good Manners in Science</w:t>
      </w:r>
      <w:r w:rsidRPr="00B27B51">
        <w:rPr>
          <w:lang w:val="nl-NL"/>
        </w:rPr>
        <w:t xml:space="preserve"> van de PAN-ethiekcommissie en </w:t>
      </w:r>
      <w:r w:rsidRPr="00B27B51">
        <w:rPr>
          <w:b/>
          <w:bCs/>
          <w:lang w:val="nl-NL"/>
        </w:rPr>
        <w:t>Good Practices in Scientific Research</w:t>
      </w:r>
      <w:r w:rsidRPr="00B27B51">
        <w:rPr>
          <w:lang w:val="nl-NL"/>
        </w:rPr>
        <w:t xml:space="preserve">. Dat betekent dat Polen niet alleen één actuele code heeft, maar ook een kleine </w:t>
      </w:r>
      <w:r w:rsidRPr="00B27B51">
        <w:rPr>
          <w:b/>
          <w:bCs/>
          <w:lang w:val="nl-NL"/>
        </w:rPr>
        <w:t>historische canon</w:t>
      </w:r>
      <w:r w:rsidRPr="00B27B51">
        <w:rPr>
          <w:lang w:val="nl-NL"/>
        </w:rPr>
        <w:t xml:space="preserve"> van vaak aangehaalde academische-ethische teksten. Voor jouw documentverzameling is dat belangrijk, omdat zulke oudere documenten later vaak nog als referentie opduiken. (</w:t>
      </w:r>
      <w:hyperlink r:id="rId16" w:tooltip="https://www.krasp.org.pl/files/public/dokumenty/KRASP_Kodeks_Dobre%20praktyki_EN.pdf" w:history="1">
        <w:r w:rsidRPr="00B27B51">
          <w:rPr>
            <w:rStyle w:val="Hyperlink"/>
            <w:lang w:val="nl-NL"/>
          </w:rPr>
          <w:t>krasp.org.pl</w:t>
        </w:r>
      </w:hyperlink>
      <w:r w:rsidRPr="00B27B51">
        <w:rPr>
          <w:lang w:val="nl-NL"/>
        </w:rPr>
        <w:t>)</w:t>
      </w:r>
    </w:p>
    <w:p w14:paraId="10BD79C4" w14:textId="77777777" w:rsidR="00B27B51" w:rsidRPr="00B27B51" w:rsidRDefault="00B27B51" w:rsidP="00B27B51">
      <w:pPr>
        <w:rPr>
          <w:b/>
          <w:bCs/>
          <w:lang w:val="nl-NL"/>
        </w:rPr>
      </w:pPr>
      <w:r w:rsidRPr="00B27B51">
        <w:rPr>
          <w:b/>
          <w:bCs/>
          <w:lang w:val="nl-NL"/>
        </w:rPr>
        <w:t>5. De financieringslaag</w:t>
      </w:r>
    </w:p>
    <w:p w14:paraId="4FF51EC2" w14:textId="77777777" w:rsidR="00B27B51" w:rsidRPr="00B27B51" w:rsidRDefault="00B27B51" w:rsidP="00B27B51">
      <w:pPr>
        <w:rPr>
          <w:lang w:val="nl-NL"/>
        </w:rPr>
      </w:pPr>
      <w:r w:rsidRPr="00B27B51">
        <w:rPr>
          <w:lang w:val="nl-NL"/>
        </w:rPr>
        <w:t xml:space="preserve">Als ik naar Polen kijk, dan is </w:t>
      </w:r>
      <w:r w:rsidRPr="00B27B51">
        <w:rPr>
          <w:b/>
          <w:bCs/>
          <w:lang w:val="nl-NL"/>
        </w:rPr>
        <w:t>NCN</w:t>
      </w:r>
      <w:r w:rsidRPr="00B27B51">
        <w:rPr>
          <w:lang w:val="nl-NL"/>
        </w:rPr>
        <w:t xml:space="preserve"> waarschijnlijk de sterkste integriteitsactor onder de financiers. De officiële NCN-pagina zegt dat de NCN Council in </w:t>
      </w:r>
      <w:r w:rsidRPr="00B27B51">
        <w:rPr>
          <w:b/>
          <w:bCs/>
          <w:lang w:val="nl-NL"/>
        </w:rPr>
        <w:t>2016</w:t>
      </w:r>
      <w:r w:rsidRPr="00B27B51">
        <w:rPr>
          <w:lang w:val="nl-NL"/>
        </w:rPr>
        <w:t xml:space="preserve"> de </w:t>
      </w:r>
      <w:r w:rsidRPr="00B27B51">
        <w:rPr>
          <w:b/>
          <w:bCs/>
          <w:lang w:val="nl-NL"/>
        </w:rPr>
        <w:t>Code of the National Science Centre on Research Integrity and Applying for Research Financing</w:t>
      </w:r>
      <w:r w:rsidRPr="00B27B51">
        <w:rPr>
          <w:lang w:val="nl-NL"/>
        </w:rPr>
        <w:t xml:space="preserve"> heeft ingevoerd, dat fraude en misbruik in NCN-projecten of aanvragen moeten worden gemeld, en dat er een </w:t>
      </w:r>
      <w:r w:rsidRPr="00B27B51">
        <w:rPr>
          <w:b/>
          <w:bCs/>
          <w:lang w:val="nl-NL"/>
        </w:rPr>
        <w:t>Research Integrity Committee</w:t>
      </w:r>
      <w:r w:rsidRPr="00B27B51">
        <w:rPr>
          <w:lang w:val="nl-NL"/>
        </w:rPr>
        <w:t xml:space="preserve"> is. De code zelf gaat breed: ze behandelt onder meer </w:t>
      </w:r>
      <w:r w:rsidRPr="00B27B51">
        <w:rPr>
          <w:b/>
          <w:bCs/>
          <w:lang w:val="nl-NL"/>
        </w:rPr>
        <w:t>datamanagement</w:t>
      </w:r>
      <w:r w:rsidRPr="00B27B51">
        <w:rPr>
          <w:lang w:val="nl-NL"/>
        </w:rPr>
        <w:t xml:space="preserve">, </w:t>
      </w:r>
      <w:r w:rsidRPr="00B27B51">
        <w:rPr>
          <w:b/>
          <w:bCs/>
          <w:lang w:val="nl-NL"/>
        </w:rPr>
        <w:t>samenwerking</w:t>
      </w:r>
      <w:r w:rsidRPr="00B27B51">
        <w:rPr>
          <w:lang w:val="nl-NL"/>
        </w:rPr>
        <w:t xml:space="preserve">, </w:t>
      </w:r>
      <w:r w:rsidRPr="00B27B51">
        <w:rPr>
          <w:b/>
          <w:bCs/>
          <w:lang w:val="nl-NL"/>
        </w:rPr>
        <w:t>belangenconflicten</w:t>
      </w:r>
      <w:r w:rsidRPr="00B27B51">
        <w:rPr>
          <w:lang w:val="nl-NL"/>
        </w:rPr>
        <w:t xml:space="preserve">, </w:t>
      </w:r>
      <w:r w:rsidRPr="00B27B51">
        <w:rPr>
          <w:b/>
          <w:bCs/>
          <w:lang w:val="nl-NL"/>
        </w:rPr>
        <w:t>training en supervisie</w:t>
      </w:r>
      <w:r w:rsidRPr="00B27B51">
        <w:rPr>
          <w:lang w:val="nl-NL"/>
        </w:rPr>
        <w:t xml:space="preserve">, definities van </w:t>
      </w:r>
      <w:r w:rsidRPr="00B27B51">
        <w:rPr>
          <w:b/>
          <w:bCs/>
          <w:lang w:val="nl-NL"/>
        </w:rPr>
        <w:t>misconduct</w:t>
      </w:r>
      <w:r w:rsidRPr="00B27B51">
        <w:rPr>
          <w:lang w:val="nl-NL"/>
        </w:rPr>
        <w:t xml:space="preserve">, en ook </w:t>
      </w:r>
      <w:r w:rsidRPr="00B27B51">
        <w:rPr>
          <w:b/>
          <w:bCs/>
          <w:lang w:val="nl-NL"/>
        </w:rPr>
        <w:t>sancties</w:t>
      </w:r>
      <w:r w:rsidRPr="00B27B51">
        <w:rPr>
          <w:lang w:val="nl-NL"/>
        </w:rPr>
        <w:t xml:space="preserve"> voor onderzoekers en instellingen. (</w:t>
      </w:r>
      <w:hyperlink r:id="rId17" w:tooltip="https://www.ncn.gov.pl/en/aktualnosci/2016-07-18-rzetelnosc-badan-naukowych" w:history="1">
        <w:r w:rsidRPr="00B27B51">
          <w:rPr>
            <w:rStyle w:val="Hyperlink"/>
            <w:lang w:val="nl-NL"/>
          </w:rPr>
          <w:t>National Science Centre</w:t>
        </w:r>
      </w:hyperlink>
      <w:r w:rsidRPr="00B27B51">
        <w:rPr>
          <w:lang w:val="nl-NL"/>
        </w:rPr>
        <w:t>)</w:t>
      </w:r>
    </w:p>
    <w:p w14:paraId="09A9C80E" w14:textId="77777777" w:rsidR="00B27B51" w:rsidRPr="00B27B51" w:rsidRDefault="00B27B51" w:rsidP="00B27B51">
      <w:pPr>
        <w:rPr>
          <w:lang w:val="nl-NL"/>
        </w:rPr>
      </w:pPr>
      <w:r w:rsidRPr="00B27B51">
        <w:rPr>
          <w:lang w:val="nl-NL"/>
        </w:rPr>
        <w:t xml:space="preserve">NCN operationaliseert dat bovendien heel concreet. De </w:t>
      </w:r>
      <w:r w:rsidRPr="00B27B51">
        <w:rPr>
          <w:b/>
          <w:bCs/>
          <w:lang w:val="nl-NL"/>
        </w:rPr>
        <w:t>Ethics Issues Form</w:t>
      </w:r>
      <w:r w:rsidRPr="00B27B51">
        <w:rPr>
          <w:lang w:val="nl-NL"/>
        </w:rPr>
        <w:t xml:space="preserve"> maakt deel uit van een onderzoeksaanvraag; onvolledige invulling kan reden zijn om financiering te weigeren. De NCN-richtlijnen eisen ook dat onderzoekers vooraf of uiterlijk bij de eerste jaarrapportage de juiste goedkeuringen overleggen, bijvoorbeeld voor </w:t>
      </w:r>
      <w:r w:rsidRPr="00B27B51">
        <w:rPr>
          <w:b/>
          <w:bCs/>
          <w:lang w:val="nl-NL"/>
        </w:rPr>
        <w:t>onderzoek met menselijke deelnemers</w:t>
      </w:r>
      <w:r w:rsidRPr="00B27B51">
        <w:rPr>
          <w:lang w:val="nl-NL"/>
        </w:rPr>
        <w:t xml:space="preserve">, </w:t>
      </w:r>
      <w:r w:rsidRPr="00B27B51">
        <w:rPr>
          <w:b/>
          <w:bCs/>
          <w:lang w:val="nl-NL"/>
        </w:rPr>
        <w:t>genetische gegevens</w:t>
      </w:r>
      <w:r w:rsidRPr="00B27B51">
        <w:rPr>
          <w:lang w:val="nl-NL"/>
        </w:rPr>
        <w:t xml:space="preserve">, </w:t>
      </w:r>
      <w:r w:rsidRPr="00B27B51">
        <w:rPr>
          <w:b/>
          <w:bCs/>
          <w:lang w:val="nl-NL"/>
        </w:rPr>
        <w:t>klinische trials</w:t>
      </w:r>
      <w:r w:rsidRPr="00B27B51">
        <w:rPr>
          <w:lang w:val="nl-NL"/>
        </w:rPr>
        <w:t xml:space="preserve">, </w:t>
      </w:r>
      <w:r w:rsidRPr="00B27B51">
        <w:rPr>
          <w:b/>
          <w:bCs/>
          <w:lang w:val="nl-NL"/>
        </w:rPr>
        <w:t xml:space="preserve">medische </w:t>
      </w:r>
      <w:r w:rsidRPr="00B27B51">
        <w:rPr>
          <w:b/>
          <w:bCs/>
          <w:lang w:val="nl-NL"/>
        </w:rPr>
        <w:lastRenderedPageBreak/>
        <w:t>experimenten</w:t>
      </w:r>
      <w:r w:rsidRPr="00B27B51">
        <w:rPr>
          <w:lang w:val="nl-NL"/>
        </w:rPr>
        <w:t xml:space="preserve">, </w:t>
      </w:r>
      <w:r w:rsidRPr="00B27B51">
        <w:rPr>
          <w:b/>
          <w:bCs/>
          <w:lang w:val="nl-NL"/>
        </w:rPr>
        <w:t>menselijk genetisch materiaal</w:t>
      </w:r>
      <w:r w:rsidRPr="00B27B51">
        <w:rPr>
          <w:lang w:val="nl-NL"/>
        </w:rPr>
        <w:t xml:space="preserve">, en </w:t>
      </w:r>
      <w:r w:rsidRPr="00B27B51">
        <w:rPr>
          <w:b/>
          <w:bCs/>
          <w:lang w:val="nl-NL"/>
        </w:rPr>
        <w:t>dierproeven</w:t>
      </w:r>
      <w:r w:rsidRPr="00B27B51">
        <w:rPr>
          <w:lang w:val="nl-NL"/>
        </w:rPr>
        <w:t xml:space="preserve">. Bij internationale samenwerking zegt NCN zelfs expliciet dat, als normen verschillen, de </w:t>
      </w:r>
      <w:r w:rsidRPr="00B27B51">
        <w:rPr>
          <w:b/>
          <w:bCs/>
          <w:lang w:val="nl-NL"/>
        </w:rPr>
        <w:t>strengere</w:t>
      </w:r>
      <w:r w:rsidRPr="00B27B51">
        <w:rPr>
          <w:lang w:val="nl-NL"/>
        </w:rPr>
        <w:t xml:space="preserve"> norm voorrang heeft. Daardoor is NCN niet alleen een betaler, maar ook een zeer concrete </w:t>
      </w:r>
      <w:r w:rsidRPr="00B27B51">
        <w:rPr>
          <w:b/>
          <w:bCs/>
          <w:lang w:val="nl-NL"/>
        </w:rPr>
        <w:t>compliance-laag</w:t>
      </w:r>
      <w:r w:rsidRPr="00B27B51">
        <w:rPr>
          <w:lang w:val="nl-NL"/>
        </w:rPr>
        <w:t>. (</w:t>
      </w:r>
      <w:hyperlink r:id="rId18" w:tooltip="https://www.ncn.gov.pl/sites/default/files/pliki/regulaminy/2019_12_wytyczne_dla_wnioskodawcow_kwestie_etyczne_ang.pdf" w:history="1">
        <w:r w:rsidRPr="00B27B51">
          <w:rPr>
            <w:rStyle w:val="Hyperlink"/>
            <w:lang w:val="nl-NL"/>
          </w:rPr>
          <w:t>National Science Centre</w:t>
        </w:r>
      </w:hyperlink>
      <w:r w:rsidRPr="00B27B51">
        <w:rPr>
          <w:lang w:val="nl-NL"/>
        </w:rPr>
        <w:t>)</w:t>
      </w:r>
    </w:p>
    <w:p w14:paraId="516C70D1" w14:textId="77777777" w:rsidR="00B27B51" w:rsidRPr="00B27B51" w:rsidRDefault="00B27B51" w:rsidP="00B27B51">
      <w:pPr>
        <w:rPr>
          <w:lang w:val="nl-NL"/>
        </w:rPr>
      </w:pPr>
      <w:r w:rsidRPr="00B27B51">
        <w:rPr>
          <w:b/>
          <w:bCs/>
          <w:lang w:val="nl-NL"/>
        </w:rPr>
        <w:t>NCBR</w:t>
      </w:r>
      <w:r w:rsidRPr="00B27B51">
        <w:rPr>
          <w:lang w:val="nl-NL"/>
        </w:rPr>
        <w:t xml:space="preserve"> zit anders in elkaar. NCBR is officieel een </w:t>
      </w:r>
      <w:r w:rsidRPr="00B27B51">
        <w:rPr>
          <w:b/>
          <w:bCs/>
          <w:lang w:val="nl-NL"/>
        </w:rPr>
        <w:t>executive agency</w:t>
      </w:r>
      <w:r w:rsidRPr="00B27B51">
        <w:rPr>
          <w:lang w:val="nl-NL"/>
        </w:rPr>
        <w:t xml:space="preserve"> die op basis van de 2010-wet R&amp;D, innovatie en commercialisering ondersteunt. De </w:t>
      </w:r>
      <w:r w:rsidRPr="00B27B51">
        <w:rPr>
          <w:b/>
          <w:bCs/>
          <w:lang w:val="nl-NL"/>
        </w:rPr>
        <w:t>Code of Ethics of the NCBR</w:t>
      </w:r>
      <w:r w:rsidRPr="00B27B51">
        <w:rPr>
          <w:lang w:val="nl-NL"/>
        </w:rPr>
        <w:t xml:space="preserve"> is vooral gericht op </w:t>
      </w:r>
      <w:r w:rsidRPr="00B27B51">
        <w:rPr>
          <w:b/>
          <w:bCs/>
          <w:lang w:val="nl-NL"/>
        </w:rPr>
        <w:t>staf, management en relaties met beneficiaries and partners</w:t>
      </w:r>
      <w:r w:rsidRPr="00B27B51">
        <w:rPr>
          <w:lang w:val="nl-NL"/>
        </w:rPr>
        <w:t xml:space="preserve">. Ik zou NCBR daarom voorlopig niet plaatsen als de Poolse hoofdbron voor research-integrity governance van onderzoekers, maar eerder als een </w:t>
      </w:r>
      <w:r w:rsidRPr="00B27B51">
        <w:rPr>
          <w:b/>
          <w:bCs/>
          <w:lang w:val="nl-NL"/>
        </w:rPr>
        <w:t>organisatie-ethische en innovatie-financieringsactor</w:t>
      </w:r>
      <w:r w:rsidRPr="00B27B51">
        <w:rPr>
          <w:lang w:val="nl-NL"/>
        </w:rPr>
        <w:t xml:space="preserve"> met relevantie voor transparantie, verantwoordelijkheid en omgang met publieke middelen. (</w:t>
      </w:r>
      <w:hyperlink r:id="rId19" w:tooltip="https://www.gov.pl/web/ncbr-en/ncbr" w:history="1">
        <w:r w:rsidRPr="00B27B51">
          <w:rPr>
            <w:rStyle w:val="Hyperlink"/>
            <w:lang w:val="nl-NL"/>
          </w:rPr>
          <w:t>Gov.pl</w:t>
        </w:r>
      </w:hyperlink>
      <w:r w:rsidRPr="00B27B51">
        <w:rPr>
          <w:lang w:val="nl-NL"/>
        </w:rPr>
        <w:t>)</w:t>
      </w:r>
    </w:p>
    <w:p w14:paraId="4830D073" w14:textId="77777777" w:rsidR="00B27B51" w:rsidRPr="00B27B51" w:rsidRDefault="00B27B51" w:rsidP="00B27B51">
      <w:pPr>
        <w:rPr>
          <w:lang w:val="nl-NL"/>
        </w:rPr>
      </w:pPr>
      <w:r w:rsidRPr="00B27B51">
        <w:rPr>
          <w:b/>
          <w:bCs/>
          <w:lang w:val="nl-NL"/>
        </w:rPr>
        <w:t>NAWA</w:t>
      </w:r>
      <w:r w:rsidRPr="00B27B51">
        <w:rPr>
          <w:lang w:val="nl-NL"/>
        </w:rPr>
        <w:t xml:space="preserve"> is weer anders. De 2018-wet noemt NAWA als een actor die voor het systeem werkt, en de actuele </w:t>
      </w:r>
      <w:r w:rsidRPr="00B27B51">
        <w:rPr>
          <w:b/>
          <w:bCs/>
          <w:lang w:val="nl-NL"/>
        </w:rPr>
        <w:t>2025 Regulations for natural persons</w:t>
      </w:r>
      <w:r w:rsidRPr="00B27B51">
        <w:rPr>
          <w:lang w:val="nl-NL"/>
        </w:rPr>
        <w:t xml:space="preserve"> bevatten een eigen </w:t>
      </w:r>
      <w:r w:rsidRPr="00B27B51">
        <w:rPr>
          <w:b/>
          <w:bCs/>
          <w:lang w:val="nl-NL"/>
        </w:rPr>
        <w:t>Code of Ethics</w:t>
      </w:r>
      <w:r w:rsidRPr="00B27B51">
        <w:rPr>
          <w:lang w:val="nl-NL"/>
        </w:rPr>
        <w:t xml:space="preserve"> voor beursontvangers. Die code koppelt NAWA-programma’s aan eerlijkheid, respect voor intellectuele eigendom, verbod op fraude, vervalsing en impersonatie, en maakt overtredingen ook relevant voor beëindiging van overeenkomsten of sancties binnen de regeling. Dit is niet dezelfde categorie als een nationale misconduct code, maar wel een duidelijke </w:t>
      </w:r>
      <w:r w:rsidRPr="00B27B51">
        <w:rPr>
          <w:b/>
          <w:bCs/>
          <w:lang w:val="nl-NL"/>
        </w:rPr>
        <w:t>gedragsbron</w:t>
      </w:r>
      <w:r w:rsidRPr="00B27B51">
        <w:rPr>
          <w:lang w:val="nl-NL"/>
        </w:rPr>
        <w:t xml:space="preserve"> op de grens van integriteit en academische community-standaarden. (</w:t>
      </w:r>
      <w:hyperlink r:id="rId20" w:tooltip="https://www.gov.pl/attachment/d6975935-4b24-4be3-96f1-09c51589958a" w:history="1">
        <w:r w:rsidRPr="00B27B51">
          <w:rPr>
            <w:rStyle w:val="Hyperlink"/>
            <w:lang w:val="nl-NL"/>
          </w:rPr>
          <w:t>Gov.pl</w:t>
        </w:r>
      </w:hyperlink>
      <w:r w:rsidRPr="00B27B51">
        <w:rPr>
          <w:lang w:val="nl-NL"/>
        </w:rPr>
        <w:t>)</w:t>
      </w:r>
    </w:p>
    <w:p w14:paraId="13B9B368" w14:textId="77777777" w:rsidR="00B27B51" w:rsidRPr="00B27B51" w:rsidRDefault="00B27B51" w:rsidP="00B27B51">
      <w:pPr>
        <w:rPr>
          <w:lang w:val="nl-NL"/>
        </w:rPr>
      </w:pPr>
      <w:r w:rsidRPr="00B27B51">
        <w:rPr>
          <w:lang w:val="nl-NL"/>
        </w:rPr>
        <w:t xml:space="preserve">De </w:t>
      </w:r>
      <w:r w:rsidRPr="00B27B51">
        <w:rPr>
          <w:b/>
          <w:bCs/>
          <w:lang w:val="nl-NL"/>
        </w:rPr>
        <w:t>Foundation for Polish Science (FNP)</w:t>
      </w:r>
      <w:r w:rsidRPr="00B27B51">
        <w:rPr>
          <w:lang w:val="nl-NL"/>
        </w:rPr>
        <w:t xml:space="preserve"> is geen staatsagentschap, maar is inhoudelijk te belangrijk om over te slaan. FNP profileert in haar missie expliciet </w:t>
      </w:r>
      <w:r w:rsidRPr="00B27B51">
        <w:rPr>
          <w:b/>
          <w:bCs/>
          <w:lang w:val="nl-NL"/>
        </w:rPr>
        <w:t>Reliability and Integrity</w:t>
      </w:r>
      <w:r w:rsidRPr="00B27B51">
        <w:rPr>
          <w:lang w:val="nl-NL"/>
        </w:rPr>
        <w:t xml:space="preserve"> als kernwaarde en zegt van begunstigden te eisen dat zij zorgvuldig onderzoek doen, resultaten documenteren en rapporteren, en goede professionele ethiek volgen. De FNP-code voor beneficiaries en candidates gaat inhoudelijk ver: zij verbiedt </w:t>
      </w:r>
      <w:r w:rsidRPr="00B27B51">
        <w:rPr>
          <w:b/>
          <w:bCs/>
          <w:lang w:val="nl-NL"/>
        </w:rPr>
        <w:t>fabrication</w:t>
      </w:r>
      <w:r w:rsidRPr="00B27B51">
        <w:rPr>
          <w:lang w:val="nl-NL"/>
        </w:rPr>
        <w:t xml:space="preserve">, </w:t>
      </w:r>
      <w:r w:rsidRPr="00B27B51">
        <w:rPr>
          <w:b/>
          <w:bCs/>
          <w:lang w:val="nl-NL"/>
        </w:rPr>
        <w:t>falsification</w:t>
      </w:r>
      <w:r w:rsidRPr="00B27B51">
        <w:rPr>
          <w:lang w:val="nl-NL"/>
        </w:rPr>
        <w:t xml:space="preserve">, </w:t>
      </w:r>
      <w:r w:rsidRPr="00B27B51">
        <w:rPr>
          <w:b/>
          <w:bCs/>
          <w:lang w:val="nl-NL"/>
        </w:rPr>
        <w:t>plagiarism</w:t>
      </w:r>
      <w:r w:rsidRPr="00B27B51">
        <w:rPr>
          <w:lang w:val="nl-NL"/>
        </w:rPr>
        <w:t xml:space="preserve"> en schending van auteurschapsnormen, eist goede opslag van primaire onderzoeksresultaten, verlangt voorafgaande vergunningen voor onder meer </w:t>
      </w:r>
      <w:r w:rsidRPr="00B27B51">
        <w:rPr>
          <w:b/>
          <w:bCs/>
          <w:lang w:val="nl-NL"/>
        </w:rPr>
        <w:t>dieronderzoek</w:t>
      </w:r>
      <w:r w:rsidRPr="00B27B51">
        <w:rPr>
          <w:lang w:val="nl-NL"/>
        </w:rPr>
        <w:t xml:space="preserve">, </w:t>
      </w:r>
      <w:r w:rsidRPr="00B27B51">
        <w:rPr>
          <w:b/>
          <w:bCs/>
          <w:lang w:val="nl-NL"/>
        </w:rPr>
        <w:t>klinische studies</w:t>
      </w:r>
      <w:r w:rsidRPr="00B27B51">
        <w:rPr>
          <w:lang w:val="nl-NL"/>
        </w:rPr>
        <w:t xml:space="preserve"> en </w:t>
      </w:r>
      <w:r w:rsidRPr="00B27B51">
        <w:rPr>
          <w:b/>
          <w:bCs/>
          <w:lang w:val="nl-NL"/>
        </w:rPr>
        <w:t>GMO-onderzoek</w:t>
      </w:r>
      <w:r w:rsidRPr="00B27B51">
        <w:rPr>
          <w:lang w:val="nl-NL"/>
        </w:rPr>
        <w:t>, en koppelt overtredingen aan afwijzing, schorsing of terugvordering van middelen. (</w:t>
      </w:r>
      <w:hyperlink r:id="rId21" w:tooltip="https://www.fnp.org.pl/en/component/fnp_pages/page/mission-and-values" w:history="1">
        <w:r w:rsidRPr="00B27B51">
          <w:rPr>
            <w:rStyle w:val="Hyperlink"/>
            <w:lang w:val="nl-NL"/>
          </w:rPr>
          <w:t>FNP</w:t>
        </w:r>
      </w:hyperlink>
      <w:r w:rsidRPr="00B27B51">
        <w:rPr>
          <w:lang w:val="nl-NL"/>
        </w:rPr>
        <w:t>)</w:t>
      </w:r>
    </w:p>
    <w:p w14:paraId="56245846" w14:textId="77777777" w:rsidR="00B27B51" w:rsidRPr="00B27B51" w:rsidRDefault="00B27B51" w:rsidP="00B27B51">
      <w:pPr>
        <w:rPr>
          <w:lang w:val="nl-NL"/>
        </w:rPr>
      </w:pPr>
      <w:r w:rsidRPr="00B27B51">
        <w:rPr>
          <w:lang w:val="nl-NL"/>
        </w:rPr>
        <w:t xml:space="preserve">Voor het biomedische domein is ten slotte de </w:t>
      </w:r>
      <w:r w:rsidRPr="00B27B51">
        <w:rPr>
          <w:b/>
          <w:bCs/>
          <w:lang w:val="nl-NL"/>
        </w:rPr>
        <w:t>Medical Research Agency (ABM)</w:t>
      </w:r>
      <w:r w:rsidRPr="00B27B51">
        <w:rPr>
          <w:lang w:val="nl-NL"/>
        </w:rPr>
        <w:t xml:space="preserve"> belangrijk. De ABM is een </w:t>
      </w:r>
      <w:r w:rsidRPr="00B27B51">
        <w:rPr>
          <w:b/>
          <w:bCs/>
          <w:lang w:val="nl-NL"/>
        </w:rPr>
        <w:t>state legal entity</w:t>
      </w:r>
      <w:r w:rsidRPr="00B27B51">
        <w:rPr>
          <w:lang w:val="nl-NL"/>
        </w:rPr>
        <w:t xml:space="preserve"> onder de wet van 2019, financiert medisch en gezondheidswetenschappelijk onderzoek, noemt </w:t>
      </w:r>
      <w:r w:rsidRPr="00B27B51">
        <w:rPr>
          <w:b/>
          <w:bCs/>
          <w:lang w:val="nl-NL"/>
        </w:rPr>
        <w:t>bioethische standaarden</w:t>
      </w:r>
      <w:r w:rsidRPr="00B27B51">
        <w:rPr>
          <w:lang w:val="nl-NL"/>
        </w:rPr>
        <w:t xml:space="preserve"> als strategische prioriteit, heeft in haar organisatiestructuur een </w:t>
      </w:r>
      <w:r w:rsidRPr="00B27B51">
        <w:rPr>
          <w:b/>
          <w:bCs/>
          <w:lang w:val="nl-NL"/>
        </w:rPr>
        <w:t>National Centre for Bioethics</w:t>
      </w:r>
      <w:r w:rsidRPr="00B27B51">
        <w:rPr>
          <w:lang w:val="nl-NL"/>
        </w:rPr>
        <w:t xml:space="preserve">, en ondersteunt administratief de </w:t>
      </w:r>
      <w:r w:rsidRPr="00B27B51">
        <w:rPr>
          <w:b/>
          <w:bCs/>
          <w:lang w:val="nl-NL"/>
        </w:rPr>
        <w:t>Supreme Bioethics Committee</w:t>
      </w:r>
      <w:r w:rsidRPr="00B27B51">
        <w:rPr>
          <w:lang w:val="nl-NL"/>
        </w:rPr>
        <w:t xml:space="preserve"> voor klinische trials. Hierdoor is ABM tegelijk een financier en een grensactor tussen research integrity en formele bio-ethische beoordeling. (</w:t>
      </w:r>
      <w:hyperlink r:id="rId22" w:tooltip="https://abm.gov.pl/download/1/8758/PlandzialalnosciABMnarok2025EN.pdf" w:history="1">
        <w:r w:rsidRPr="00B27B51">
          <w:rPr>
            <w:rStyle w:val="Hyperlink"/>
            <w:lang w:val="nl-NL"/>
          </w:rPr>
          <w:t>Agencja Badań Medycznych</w:t>
        </w:r>
      </w:hyperlink>
      <w:r w:rsidRPr="00B27B51">
        <w:rPr>
          <w:lang w:val="nl-NL"/>
        </w:rPr>
        <w:t>)</w:t>
      </w:r>
    </w:p>
    <w:p w14:paraId="4B5B57CF" w14:textId="77777777" w:rsidR="00B27B51" w:rsidRPr="00B27B51" w:rsidRDefault="00B27B51" w:rsidP="00B27B51">
      <w:pPr>
        <w:rPr>
          <w:b/>
          <w:bCs/>
          <w:lang w:val="nl-NL"/>
        </w:rPr>
      </w:pPr>
      <w:r w:rsidRPr="00B27B51">
        <w:rPr>
          <w:b/>
          <w:bCs/>
          <w:lang w:val="nl-NL"/>
        </w:rPr>
        <w:t>6. De institutionele laag</w:t>
      </w:r>
    </w:p>
    <w:p w14:paraId="0A448D00" w14:textId="77777777" w:rsidR="00B27B51" w:rsidRPr="00B27B51" w:rsidRDefault="00B27B51" w:rsidP="00B27B51">
      <w:pPr>
        <w:rPr>
          <w:lang w:val="nl-NL"/>
        </w:rPr>
      </w:pPr>
      <w:r w:rsidRPr="00B27B51">
        <w:rPr>
          <w:lang w:val="nl-NL"/>
        </w:rPr>
        <w:t xml:space="preserve">De lokale Poolse laag lijkt in deze eerste sweep </w:t>
      </w:r>
      <w:r w:rsidRPr="00B27B51">
        <w:rPr>
          <w:b/>
          <w:bCs/>
          <w:lang w:val="nl-NL"/>
        </w:rPr>
        <w:t>heterogeen en functioneel opgesplitst</w:t>
      </w:r>
      <w:r w:rsidRPr="00B27B51">
        <w:rPr>
          <w:lang w:val="nl-NL"/>
        </w:rPr>
        <w:t xml:space="preserve">. Ik zie lokaal niet één standaardpakket dat overal precies hetzelfde heet, </w:t>
      </w:r>
      <w:r w:rsidRPr="00B27B51">
        <w:rPr>
          <w:lang w:val="nl-NL"/>
        </w:rPr>
        <w:lastRenderedPageBreak/>
        <w:t xml:space="preserve">maar eerder combinaties van: </w:t>
      </w:r>
      <w:r w:rsidRPr="00B27B51">
        <w:rPr>
          <w:b/>
          <w:bCs/>
          <w:lang w:val="nl-NL"/>
        </w:rPr>
        <w:t>disciplinaire ombudspersonen/commissies</w:t>
      </w:r>
      <w:r w:rsidRPr="00B27B51">
        <w:rPr>
          <w:lang w:val="nl-NL"/>
        </w:rPr>
        <w:t xml:space="preserve">, </w:t>
      </w:r>
      <w:r w:rsidRPr="00B27B51">
        <w:rPr>
          <w:b/>
          <w:bCs/>
          <w:lang w:val="nl-NL"/>
        </w:rPr>
        <w:t>research ethics committees voor onderzoek met mensen</w:t>
      </w:r>
      <w:r w:rsidRPr="00B27B51">
        <w:rPr>
          <w:lang w:val="nl-NL"/>
        </w:rPr>
        <w:t xml:space="preserve">, en in medische contexten aparte </w:t>
      </w:r>
      <w:r w:rsidRPr="00B27B51">
        <w:rPr>
          <w:b/>
          <w:bCs/>
          <w:lang w:val="nl-NL"/>
        </w:rPr>
        <w:t>bioethics committees</w:t>
      </w:r>
      <w:r w:rsidRPr="00B27B51">
        <w:rPr>
          <w:lang w:val="nl-NL"/>
        </w:rPr>
        <w:t>. Dat is inhoudelijk anders dan een simpel universiteits-“integrity office” model. (</w:t>
      </w:r>
      <w:hyperlink r:id="rId23" w:tooltip="https://www.gov.pl/attachment/d6975935-4b24-4be3-96f1-09c51589958a" w:history="1">
        <w:r w:rsidRPr="00B27B51">
          <w:rPr>
            <w:rStyle w:val="Hyperlink"/>
            <w:lang w:val="nl-NL"/>
          </w:rPr>
          <w:t>Gov.pl</w:t>
        </w:r>
      </w:hyperlink>
      <w:r w:rsidRPr="00B27B51">
        <w:rPr>
          <w:lang w:val="nl-NL"/>
        </w:rPr>
        <w:t>)</w:t>
      </w:r>
    </w:p>
    <w:p w14:paraId="02E1E297" w14:textId="77777777" w:rsidR="00B27B51" w:rsidRPr="00B27B51" w:rsidRDefault="00B27B51" w:rsidP="00B27B51">
      <w:pPr>
        <w:rPr>
          <w:lang w:val="nl-NL"/>
        </w:rPr>
      </w:pPr>
      <w:r w:rsidRPr="00B27B51">
        <w:rPr>
          <w:lang w:val="nl-NL"/>
        </w:rPr>
        <w:t xml:space="preserve">De </w:t>
      </w:r>
      <w:r w:rsidRPr="00B27B51">
        <w:rPr>
          <w:b/>
          <w:bCs/>
          <w:lang w:val="nl-NL"/>
        </w:rPr>
        <w:t>University of Warsaw</w:t>
      </w:r>
      <w:r w:rsidRPr="00B27B51">
        <w:rPr>
          <w:lang w:val="nl-NL"/>
        </w:rPr>
        <w:t xml:space="preserve"> laat goed zien hoe rijk die lokale laag kan zijn. Daar is een </w:t>
      </w:r>
      <w:r w:rsidRPr="00B27B51">
        <w:rPr>
          <w:b/>
          <w:bCs/>
          <w:lang w:val="nl-NL"/>
        </w:rPr>
        <w:t>Rector’s Committee for the Ethics of Research Involving Human Participants</w:t>
      </w:r>
      <w:r w:rsidRPr="00B27B51">
        <w:rPr>
          <w:lang w:val="nl-NL"/>
        </w:rPr>
        <w:t xml:space="preserve"> voor de termijn </w:t>
      </w:r>
      <w:r w:rsidRPr="00B27B51">
        <w:rPr>
          <w:b/>
          <w:bCs/>
          <w:lang w:val="nl-NL"/>
        </w:rPr>
        <w:t>2024–2028</w:t>
      </w:r>
      <w:r w:rsidRPr="00B27B51">
        <w:rPr>
          <w:lang w:val="nl-NL"/>
        </w:rPr>
        <w:t xml:space="preserve">, met een benoemingsverordening van de rector, een ledenlijst, een lijst van verplichte documenten, templates voor de aanvraag, informatiebladen over persoonsgegevens en informed consent, en koppelingen naar EU research ethics guidance en de eigen open-science policy. Daarnaast heeft bijvoorbeeld de </w:t>
      </w:r>
      <w:r w:rsidRPr="00B27B51">
        <w:rPr>
          <w:b/>
          <w:bCs/>
          <w:lang w:val="nl-NL"/>
        </w:rPr>
        <w:t>Faculty of Education</w:t>
      </w:r>
      <w:r w:rsidRPr="00B27B51">
        <w:rPr>
          <w:lang w:val="nl-NL"/>
        </w:rPr>
        <w:t xml:space="preserve"> ook een eigen </w:t>
      </w:r>
      <w:r w:rsidRPr="00B27B51">
        <w:rPr>
          <w:b/>
          <w:bCs/>
          <w:lang w:val="nl-NL"/>
        </w:rPr>
        <w:t>Research Ethics Board</w:t>
      </w:r>
      <w:r w:rsidRPr="00B27B51">
        <w:rPr>
          <w:lang w:val="nl-NL"/>
        </w:rPr>
        <w:t xml:space="preserve"> die het ethisch verloop van onderzoek met menselijke proefpersonen bewaakt. (</w:t>
      </w:r>
      <w:hyperlink r:id="rId24" w:tooltip="https://en.uw.edu.pl/rectors-committee-for-the-ethics-of-research-involving-human-participants/" w:history="1">
        <w:r w:rsidRPr="00B27B51">
          <w:rPr>
            <w:rStyle w:val="Hyperlink"/>
            <w:lang w:val="nl-NL"/>
          </w:rPr>
          <w:t>University of Warsaw</w:t>
        </w:r>
      </w:hyperlink>
      <w:r w:rsidRPr="00B27B51">
        <w:rPr>
          <w:lang w:val="nl-NL"/>
        </w:rPr>
        <w:t>)</w:t>
      </w:r>
    </w:p>
    <w:p w14:paraId="2EBE6711" w14:textId="77777777" w:rsidR="00B27B51" w:rsidRPr="00B27B51" w:rsidRDefault="00B27B51" w:rsidP="00B27B51">
      <w:pPr>
        <w:rPr>
          <w:lang w:val="nl-NL"/>
        </w:rPr>
      </w:pPr>
      <w:r w:rsidRPr="00B27B51">
        <w:rPr>
          <w:lang w:val="nl-NL"/>
        </w:rPr>
        <w:t xml:space="preserve">Bij de </w:t>
      </w:r>
      <w:r w:rsidRPr="00B27B51">
        <w:rPr>
          <w:b/>
          <w:bCs/>
          <w:lang w:val="nl-NL"/>
        </w:rPr>
        <w:t>Jagiellonian University</w:t>
      </w:r>
      <w:r w:rsidRPr="00B27B51">
        <w:rPr>
          <w:lang w:val="nl-NL"/>
        </w:rPr>
        <w:t xml:space="preserve"> zie je nog een ander model. De </w:t>
      </w:r>
      <w:r w:rsidRPr="00B27B51">
        <w:rPr>
          <w:b/>
          <w:bCs/>
          <w:lang w:val="nl-NL"/>
        </w:rPr>
        <w:t>Rector’s Committee on Research Ethics</w:t>
      </w:r>
      <w:r w:rsidRPr="00B27B51">
        <w:rPr>
          <w:lang w:val="nl-NL"/>
        </w:rPr>
        <w:t xml:space="preserve"> is daar een </w:t>
      </w:r>
      <w:r w:rsidRPr="00B27B51">
        <w:rPr>
          <w:b/>
          <w:bCs/>
          <w:lang w:val="nl-NL"/>
        </w:rPr>
        <w:t>standing committee of the Rector</w:t>
      </w:r>
      <w:r w:rsidRPr="00B27B51">
        <w:rPr>
          <w:lang w:val="nl-NL"/>
        </w:rPr>
        <w:t xml:space="preserve"> met consultatieve, adviserende en onderzoeksmatige functies. Het reglement laat ook zien dat de rectorcommissie een relatie heeft tot </w:t>
      </w:r>
      <w:r w:rsidRPr="00B27B51">
        <w:rPr>
          <w:b/>
          <w:bCs/>
          <w:lang w:val="nl-NL"/>
        </w:rPr>
        <w:t>unit committees</w:t>
      </w:r>
      <w:r w:rsidRPr="00B27B51">
        <w:rPr>
          <w:lang w:val="nl-NL"/>
        </w:rPr>
        <w:t xml:space="preserve">, modeldocumenten, trainingen en zelfs beroep tegen negatieve oordelen van unit committees. Tegelijk heeft </w:t>
      </w:r>
      <w:r w:rsidRPr="00B27B51">
        <w:rPr>
          <w:b/>
          <w:bCs/>
          <w:lang w:val="nl-NL"/>
        </w:rPr>
        <w:t>Jagiellonian University Medical College</w:t>
      </w:r>
      <w:r w:rsidRPr="00B27B51">
        <w:rPr>
          <w:lang w:val="nl-NL"/>
        </w:rPr>
        <w:t xml:space="preserve"> een eigen commissie, benoemd door de vice-rector van het Medical College. Dit is een sterk voorbeeld van een </w:t>
      </w:r>
      <w:r w:rsidRPr="00B27B51">
        <w:rPr>
          <w:b/>
          <w:bCs/>
          <w:lang w:val="nl-NL"/>
        </w:rPr>
        <w:t>meerlagig intern ethiekstelsel</w:t>
      </w:r>
      <w:r w:rsidRPr="00B27B51">
        <w:rPr>
          <w:lang w:val="nl-NL"/>
        </w:rPr>
        <w:t>. (</w:t>
      </w:r>
      <w:hyperlink r:id="rId25" w:tooltip="https://etykabadan.komisja.uj.edu.pl/documents/149614951/156438577/EN_zarz_44_2023-RKEBN/30c1f4d8-57d6-467c-abea-2ae857ed395c" w:history="1">
        <w:r w:rsidRPr="00B27B51">
          <w:rPr>
            <w:rStyle w:val="Hyperlink"/>
            <w:lang w:val="nl-NL"/>
          </w:rPr>
          <w:t>etykabadan.komisja.uj.edu.pl</w:t>
        </w:r>
      </w:hyperlink>
      <w:r w:rsidRPr="00B27B51">
        <w:rPr>
          <w:lang w:val="nl-NL"/>
        </w:rPr>
        <w:t>)</w:t>
      </w:r>
    </w:p>
    <w:p w14:paraId="5984B119" w14:textId="77777777" w:rsidR="00B27B51" w:rsidRPr="00B27B51" w:rsidRDefault="00B27B51" w:rsidP="00B27B51">
      <w:pPr>
        <w:rPr>
          <w:lang w:val="nl-NL"/>
        </w:rPr>
      </w:pPr>
      <w:r w:rsidRPr="00B27B51">
        <w:rPr>
          <w:lang w:val="nl-NL"/>
        </w:rPr>
        <w:t xml:space="preserve">De </w:t>
      </w:r>
      <w:r w:rsidRPr="00B27B51">
        <w:rPr>
          <w:b/>
          <w:bCs/>
          <w:lang w:val="nl-NL"/>
        </w:rPr>
        <w:t>Warsaw University of Technology</w:t>
      </w:r>
      <w:r w:rsidRPr="00B27B51">
        <w:rPr>
          <w:lang w:val="nl-NL"/>
        </w:rPr>
        <w:t xml:space="preserve"> laat weer een andere kant van het systeem zien: de disciplinaire laag. In de statuten staat een </w:t>
      </w:r>
      <w:r w:rsidRPr="00B27B51">
        <w:rPr>
          <w:b/>
          <w:bCs/>
          <w:lang w:val="nl-NL"/>
        </w:rPr>
        <w:t>University Disciplinary Committee for academic teachers</w:t>
      </w:r>
      <w:r w:rsidRPr="00B27B51">
        <w:rPr>
          <w:lang w:val="nl-NL"/>
        </w:rPr>
        <w:t xml:space="preserve">, met samenstelling, verkiezing door de Senaat, beperkingen op wie lid mag zijn, en een aparte </w:t>
      </w:r>
      <w:r w:rsidRPr="00B27B51">
        <w:rPr>
          <w:b/>
          <w:bCs/>
          <w:lang w:val="nl-NL"/>
        </w:rPr>
        <w:t>Disciplinary Ombudsperson</w:t>
      </w:r>
      <w:r w:rsidRPr="00B27B51">
        <w:rPr>
          <w:lang w:val="nl-NL"/>
        </w:rPr>
        <w:t>. Dit is nuttig voor jouw project omdat het bewijst dat de algemene wettelijke structuur in Polen op instellingsniveau echt wordt vertaald naar lokale statuten en rollen. (</w:t>
      </w:r>
      <w:hyperlink r:id="rId26" w:tooltip="https://eng.pw.edu.pl/engpw/content/download/5542/44756/file/Statutes%20of%20the%20Warsaw%20University%20Of%20Technology.pdf" w:history="1">
        <w:r w:rsidRPr="00B27B51">
          <w:rPr>
            <w:rStyle w:val="Hyperlink"/>
            <w:lang w:val="nl-NL"/>
          </w:rPr>
          <w:t>Warsaw University of Technology</w:t>
        </w:r>
      </w:hyperlink>
      <w:r w:rsidRPr="00B27B51">
        <w:rPr>
          <w:lang w:val="nl-NL"/>
        </w:rPr>
        <w:t>)</w:t>
      </w:r>
    </w:p>
    <w:p w14:paraId="528AE638" w14:textId="77777777" w:rsidR="00B27B51" w:rsidRPr="00B27B51" w:rsidRDefault="00B27B51" w:rsidP="00B27B51">
      <w:pPr>
        <w:rPr>
          <w:lang w:val="nl-NL"/>
        </w:rPr>
      </w:pPr>
      <w:r w:rsidRPr="00B27B51">
        <w:rPr>
          <w:lang w:val="nl-NL"/>
        </w:rPr>
        <w:t xml:space="preserve">Het is ook belangrijk dat deze lokale laag niet stopt bij universiteiten. De wet omvat immers ook </w:t>
      </w:r>
      <w:r w:rsidRPr="00B27B51">
        <w:rPr>
          <w:b/>
          <w:bCs/>
          <w:lang w:val="nl-NL"/>
        </w:rPr>
        <w:t>PAN-instituten</w:t>
      </w:r>
      <w:r w:rsidRPr="00B27B51">
        <w:rPr>
          <w:lang w:val="nl-NL"/>
        </w:rPr>
        <w:t xml:space="preserve"> en het </w:t>
      </w:r>
      <w:r w:rsidRPr="00B27B51">
        <w:rPr>
          <w:b/>
          <w:bCs/>
          <w:lang w:val="nl-NL"/>
        </w:rPr>
        <w:t>Łukasiewicz-netwerk</w:t>
      </w:r>
      <w:r w:rsidRPr="00B27B51">
        <w:rPr>
          <w:lang w:val="nl-NL"/>
        </w:rPr>
        <w:t xml:space="preserve">, en de actuele voorbeelden bevestigen dat. De PAN omvat 69 instituten, terwijl de Łukasiewicz Research Network momenteel </w:t>
      </w:r>
      <w:r w:rsidRPr="00B27B51">
        <w:rPr>
          <w:b/>
          <w:bCs/>
          <w:lang w:val="nl-NL"/>
        </w:rPr>
        <w:t>22 instituten</w:t>
      </w:r>
      <w:r w:rsidRPr="00B27B51">
        <w:rPr>
          <w:lang w:val="nl-NL"/>
        </w:rPr>
        <w:t xml:space="preserve"> over Polen noemt. Een institutioneel voorbeeld is het </w:t>
      </w:r>
      <w:r w:rsidRPr="00B27B51">
        <w:rPr>
          <w:b/>
          <w:bCs/>
          <w:lang w:val="nl-NL"/>
        </w:rPr>
        <w:t>International Institute of Molecular and Cell Biology (IIMCB)</w:t>
      </w:r>
      <w:r w:rsidRPr="00B27B51">
        <w:rPr>
          <w:lang w:val="nl-NL"/>
        </w:rPr>
        <w:t xml:space="preserve">, dat op zijn supportpagina expliciet ondersteuning noemt voor </w:t>
      </w:r>
      <w:r w:rsidRPr="00B27B51">
        <w:rPr>
          <w:b/>
          <w:bCs/>
          <w:lang w:val="nl-NL"/>
        </w:rPr>
        <w:t>integriteit en transparantie</w:t>
      </w:r>
      <w:r w:rsidRPr="00B27B51">
        <w:rPr>
          <w:lang w:val="nl-NL"/>
        </w:rPr>
        <w:t xml:space="preserve">, </w:t>
      </w:r>
      <w:r w:rsidRPr="00B27B51">
        <w:rPr>
          <w:b/>
          <w:bCs/>
          <w:lang w:val="nl-NL"/>
        </w:rPr>
        <w:t>open science</w:t>
      </w:r>
      <w:r w:rsidRPr="00B27B51">
        <w:rPr>
          <w:lang w:val="nl-NL"/>
        </w:rPr>
        <w:t xml:space="preserve">, </w:t>
      </w:r>
      <w:r w:rsidRPr="00B27B51">
        <w:rPr>
          <w:b/>
          <w:bCs/>
          <w:lang w:val="nl-NL"/>
        </w:rPr>
        <w:t>research data management</w:t>
      </w:r>
      <w:r w:rsidRPr="00B27B51">
        <w:rPr>
          <w:lang w:val="nl-NL"/>
        </w:rPr>
        <w:t xml:space="preserve">, </w:t>
      </w:r>
      <w:r w:rsidRPr="00B27B51">
        <w:rPr>
          <w:b/>
          <w:bCs/>
          <w:lang w:val="nl-NL"/>
        </w:rPr>
        <w:t>ethische kwesties in grant applications and reports</w:t>
      </w:r>
      <w:r w:rsidRPr="00B27B51">
        <w:rPr>
          <w:lang w:val="nl-NL"/>
        </w:rPr>
        <w:t xml:space="preserve">, </w:t>
      </w:r>
      <w:r w:rsidRPr="00B27B51">
        <w:rPr>
          <w:b/>
          <w:bCs/>
          <w:lang w:val="nl-NL"/>
        </w:rPr>
        <w:t>vergunningen</w:t>
      </w:r>
      <w:r w:rsidRPr="00B27B51">
        <w:rPr>
          <w:lang w:val="nl-NL"/>
        </w:rPr>
        <w:t xml:space="preserve">, </w:t>
      </w:r>
      <w:r w:rsidRPr="00B27B51">
        <w:rPr>
          <w:b/>
          <w:bCs/>
          <w:lang w:val="nl-NL"/>
        </w:rPr>
        <w:t>lokale ethiekcommissies</w:t>
      </w:r>
      <w:r w:rsidRPr="00B27B51">
        <w:rPr>
          <w:lang w:val="nl-NL"/>
        </w:rPr>
        <w:t xml:space="preserve"> en </w:t>
      </w:r>
      <w:r w:rsidRPr="00B27B51">
        <w:rPr>
          <w:b/>
          <w:bCs/>
          <w:lang w:val="nl-NL"/>
        </w:rPr>
        <w:t>animal research training</w:t>
      </w:r>
      <w:r w:rsidRPr="00B27B51">
        <w:rPr>
          <w:lang w:val="nl-NL"/>
        </w:rPr>
        <w:t xml:space="preserve">. Dat laat zien dat de Poolse institutenlaag ook een duidelijke </w:t>
      </w:r>
      <w:r w:rsidRPr="00B27B51">
        <w:rPr>
          <w:b/>
          <w:bCs/>
          <w:lang w:val="nl-NL"/>
        </w:rPr>
        <w:t>compliance- en trainingsfunctie</w:t>
      </w:r>
      <w:r w:rsidRPr="00B27B51">
        <w:rPr>
          <w:lang w:val="nl-NL"/>
        </w:rPr>
        <w:t xml:space="preserve"> kan hebben. (</w:t>
      </w:r>
      <w:hyperlink r:id="rId27" w:tooltip="https://pan.pl/en/" w:history="1">
        <w:r w:rsidRPr="00B27B51">
          <w:rPr>
            <w:rStyle w:val="Hyperlink"/>
            <w:lang w:val="nl-NL"/>
          </w:rPr>
          <w:t>Pan</w:t>
        </w:r>
      </w:hyperlink>
      <w:r w:rsidRPr="00B27B51">
        <w:rPr>
          <w:lang w:val="nl-NL"/>
        </w:rPr>
        <w:t>)</w:t>
      </w:r>
    </w:p>
    <w:p w14:paraId="35AEDFE4" w14:textId="77777777" w:rsidR="00B27B51" w:rsidRPr="00B27B51" w:rsidRDefault="00B27B51" w:rsidP="00B27B51">
      <w:pPr>
        <w:rPr>
          <w:b/>
          <w:bCs/>
          <w:lang w:val="nl-NL"/>
        </w:rPr>
      </w:pPr>
      <w:r w:rsidRPr="00B27B51">
        <w:rPr>
          <w:b/>
          <w:bCs/>
          <w:lang w:val="nl-NL"/>
        </w:rPr>
        <w:t>7. Grensgebieden: mens, klinische studies, dieren, data</w:t>
      </w:r>
    </w:p>
    <w:p w14:paraId="10CFF6BD" w14:textId="77777777" w:rsidR="00B27B51" w:rsidRPr="00B27B51" w:rsidRDefault="00B27B51" w:rsidP="00B27B51">
      <w:pPr>
        <w:rPr>
          <w:lang w:val="nl-NL"/>
        </w:rPr>
      </w:pPr>
      <w:r w:rsidRPr="00B27B51">
        <w:rPr>
          <w:lang w:val="nl-NL"/>
        </w:rPr>
        <w:lastRenderedPageBreak/>
        <w:t xml:space="preserve">Voor onderzoek met mensen en klinische studies zie ik in Polen een duidelijke </w:t>
      </w:r>
      <w:r w:rsidRPr="00B27B51">
        <w:rPr>
          <w:b/>
          <w:bCs/>
          <w:lang w:val="nl-NL"/>
        </w:rPr>
        <w:t>parallelle ethische infrastructuur</w:t>
      </w:r>
      <w:r w:rsidRPr="00B27B51">
        <w:rPr>
          <w:lang w:val="nl-NL"/>
        </w:rPr>
        <w:t xml:space="preserve">. NCN verlangt passende ethische goedkeuringen vóór start of in de eerste jaarrapportage, afhankelijk van het type studie. In het klinische domein is daarbovenop sinds </w:t>
      </w:r>
      <w:r w:rsidRPr="00B27B51">
        <w:rPr>
          <w:b/>
          <w:bCs/>
          <w:lang w:val="nl-NL"/>
        </w:rPr>
        <w:t>1 juli 2023</w:t>
      </w:r>
      <w:r w:rsidRPr="00B27B51">
        <w:rPr>
          <w:lang w:val="nl-NL"/>
        </w:rPr>
        <w:t xml:space="preserve"> de </w:t>
      </w:r>
      <w:r w:rsidRPr="00B27B51">
        <w:rPr>
          <w:b/>
          <w:bCs/>
          <w:lang w:val="nl-NL"/>
        </w:rPr>
        <w:t>Supreme Bioethics Committee for Clinical Trials</w:t>
      </w:r>
      <w:r w:rsidRPr="00B27B51">
        <w:rPr>
          <w:lang w:val="nl-NL"/>
        </w:rPr>
        <w:t xml:space="preserve"> bij de Medical Research Agency actief; de officiële ABM-pagina zegt dat vanaf die datum de commissie haar taken is begonnen, en de NKB-site zelf laat zien dat daar aparte onderdelen bestaan voor </w:t>
      </w:r>
      <w:r w:rsidRPr="00B27B51">
        <w:rPr>
          <w:b/>
          <w:bCs/>
          <w:lang w:val="nl-NL"/>
        </w:rPr>
        <w:t>members</w:t>
      </w:r>
      <w:r w:rsidRPr="00B27B51">
        <w:rPr>
          <w:lang w:val="nl-NL"/>
        </w:rPr>
        <w:t xml:space="preserve">, </w:t>
      </w:r>
      <w:r w:rsidRPr="00B27B51">
        <w:rPr>
          <w:b/>
          <w:bCs/>
          <w:lang w:val="nl-NL"/>
        </w:rPr>
        <w:t>ethical assessment</w:t>
      </w:r>
      <w:r w:rsidRPr="00B27B51">
        <w:rPr>
          <w:lang w:val="nl-NL"/>
        </w:rPr>
        <w:t xml:space="preserve">, </w:t>
      </w:r>
      <w:r w:rsidRPr="00B27B51">
        <w:rPr>
          <w:b/>
          <w:bCs/>
          <w:lang w:val="nl-NL"/>
        </w:rPr>
        <w:t>bioethics committees</w:t>
      </w:r>
      <w:r w:rsidRPr="00B27B51">
        <w:rPr>
          <w:lang w:val="nl-NL"/>
        </w:rPr>
        <w:t xml:space="preserve">, </w:t>
      </w:r>
      <w:r w:rsidRPr="00B27B51">
        <w:rPr>
          <w:b/>
          <w:bCs/>
          <w:lang w:val="nl-NL"/>
        </w:rPr>
        <w:t>education</w:t>
      </w:r>
      <w:r w:rsidRPr="00B27B51">
        <w:rPr>
          <w:lang w:val="nl-NL"/>
        </w:rPr>
        <w:t xml:space="preserve"> en </w:t>
      </w:r>
      <w:r w:rsidRPr="00B27B51">
        <w:rPr>
          <w:b/>
          <w:bCs/>
          <w:lang w:val="nl-NL"/>
        </w:rPr>
        <w:t>regulations</w:t>
      </w:r>
      <w:r w:rsidRPr="00B27B51">
        <w:rPr>
          <w:lang w:val="nl-NL"/>
        </w:rPr>
        <w:t>. Voor jouw kaart hoort dit dus duidelijk in een aparte map “clinical/bioethics”, niet simpelweg onder de generieke integrity-commissie. (</w:t>
      </w:r>
      <w:hyperlink r:id="rId28" w:tooltip="https://www.ncn.gov.pl/sites/default/files/pliki/regulaminy/2019_12_wytyczne_dla_wnioskodawcow_kwestie_etyczne_ang.pdf" w:history="1">
        <w:r w:rsidRPr="00B27B51">
          <w:rPr>
            <w:rStyle w:val="Hyperlink"/>
            <w:lang w:val="nl-NL"/>
          </w:rPr>
          <w:t>National Science Centre</w:t>
        </w:r>
      </w:hyperlink>
      <w:r w:rsidRPr="00B27B51">
        <w:rPr>
          <w:lang w:val="nl-NL"/>
        </w:rPr>
        <w:t>)</w:t>
      </w:r>
    </w:p>
    <w:p w14:paraId="15395A06" w14:textId="77777777" w:rsidR="00B27B51" w:rsidRPr="00B27B51" w:rsidRDefault="00B27B51" w:rsidP="00B27B51">
      <w:pPr>
        <w:rPr>
          <w:lang w:val="nl-NL"/>
        </w:rPr>
      </w:pPr>
      <w:r w:rsidRPr="00B27B51">
        <w:rPr>
          <w:lang w:val="nl-NL"/>
        </w:rPr>
        <w:t xml:space="preserve">Voor dieronderzoek bestaat opnieuw een apart regime. De ministeriepagina zegt dat een departement van het Poolse ministerie </w:t>
      </w:r>
      <w:r w:rsidRPr="00B27B51">
        <w:rPr>
          <w:b/>
          <w:bCs/>
          <w:lang w:val="nl-NL"/>
        </w:rPr>
        <w:t>permanent ondersteuning verleent aan de Polish National Committee for Ethics in Animal Research</w:t>
      </w:r>
      <w:r w:rsidRPr="00B27B51">
        <w:rPr>
          <w:lang w:val="nl-NL"/>
        </w:rPr>
        <w:t xml:space="preserve">. Op instellingsniveau laat IIMCB zien dat </w:t>
      </w:r>
      <w:r w:rsidRPr="00B27B51">
        <w:rPr>
          <w:b/>
          <w:bCs/>
          <w:lang w:val="nl-NL"/>
        </w:rPr>
        <w:t>ieder dierexperiment</w:t>
      </w:r>
      <w:r w:rsidRPr="00B27B51">
        <w:rPr>
          <w:lang w:val="nl-NL"/>
        </w:rPr>
        <w:t xml:space="preserve"> goedkeuring van een </w:t>
      </w:r>
      <w:r w:rsidRPr="00B27B51">
        <w:rPr>
          <w:b/>
          <w:bCs/>
          <w:lang w:val="nl-NL"/>
        </w:rPr>
        <w:t>Local Committee for Ethics in Animal Research</w:t>
      </w:r>
      <w:r w:rsidRPr="00B27B51">
        <w:rPr>
          <w:lang w:val="nl-NL"/>
        </w:rPr>
        <w:t xml:space="preserve"> nodig heeft, dat aanvragen eerst intern door een </w:t>
      </w:r>
      <w:r w:rsidRPr="00B27B51">
        <w:rPr>
          <w:b/>
          <w:bCs/>
          <w:lang w:val="nl-NL"/>
        </w:rPr>
        <w:t>Animal Welfare Team</w:t>
      </w:r>
      <w:r w:rsidRPr="00B27B51">
        <w:rPr>
          <w:lang w:val="nl-NL"/>
        </w:rPr>
        <w:t xml:space="preserve"> worden bekeken, en dat training en inspecties onderdeel van het systeem zijn. NCN sluit daarop aan door te eisen dat goedkeuringen van lokale dierethiekcommissies en andere vergunningen bij de jaarrapportage worden gevoegd. Daarmee is het dierdomein in Polen duidelijk een </w:t>
      </w:r>
      <w:r w:rsidRPr="00B27B51">
        <w:rPr>
          <w:b/>
          <w:bCs/>
          <w:lang w:val="nl-NL"/>
        </w:rPr>
        <w:t>eigen, sterk gereguleerd grensregime</w:t>
      </w:r>
      <w:r w:rsidRPr="00B27B51">
        <w:rPr>
          <w:lang w:val="nl-NL"/>
        </w:rPr>
        <w:t>. (</w:t>
      </w:r>
      <w:hyperlink r:id="rId29" w:tooltip="https://www.gov.pl/web/science/departments" w:history="1">
        <w:r w:rsidRPr="00B27B51">
          <w:rPr>
            <w:rStyle w:val="Hyperlink"/>
            <w:lang w:val="nl-NL"/>
          </w:rPr>
          <w:t>Gov.pl</w:t>
        </w:r>
      </w:hyperlink>
      <w:r w:rsidRPr="00B27B51">
        <w:rPr>
          <w:lang w:val="nl-NL"/>
        </w:rPr>
        <w:t>)</w:t>
      </w:r>
    </w:p>
    <w:p w14:paraId="543F55D8" w14:textId="77777777" w:rsidR="00B27B51" w:rsidRPr="00B27B51" w:rsidRDefault="00B27B51" w:rsidP="00B27B51">
      <w:pPr>
        <w:rPr>
          <w:lang w:val="nl-NL"/>
        </w:rPr>
      </w:pPr>
      <w:r w:rsidRPr="00B27B51">
        <w:rPr>
          <w:lang w:val="nl-NL"/>
        </w:rPr>
        <w:t xml:space="preserve">De data- en plagiaatlaag loopt daar weer dwars doorheen. POL-on fungeert als nationale datahub voor het stelsel; de POL-on-netwerkpagina legt uit dat de verschillende systemen samen helpen om wettelijke verplichtingen na te komen en dat de </w:t>
      </w:r>
      <w:r w:rsidRPr="00B27B51">
        <w:rPr>
          <w:b/>
          <w:bCs/>
          <w:lang w:val="nl-NL"/>
        </w:rPr>
        <w:t>Uniform Antiplagiarism System</w:t>
      </w:r>
      <w:r w:rsidRPr="00B27B51">
        <w:rPr>
          <w:lang w:val="nl-NL"/>
        </w:rPr>
        <w:t xml:space="preserve"> wettelijk verplicht is voor scriptiecontrole. Het nationale scriptiedepot voedt dat systeem rechtstreeks. Voor jouw project betekent dit dat Polen niet alleen normatieve en procedurele documenten heeft, maar ook een echte </w:t>
      </w:r>
      <w:r w:rsidRPr="00B27B51">
        <w:rPr>
          <w:b/>
          <w:bCs/>
          <w:lang w:val="nl-NL"/>
        </w:rPr>
        <w:t>IT-infrastructuurlaag</w:t>
      </w:r>
      <w:r w:rsidRPr="00B27B51">
        <w:rPr>
          <w:lang w:val="nl-NL"/>
        </w:rPr>
        <w:t xml:space="preserve"> die voor integriteit en toezicht functioneel relevant is. (</w:t>
      </w:r>
      <w:hyperlink r:id="rId30" w:tooltip="https://polon.nauka.gov.pl/siec-polon/en/" w:history="1">
        <w:r w:rsidRPr="00B27B51">
          <w:rPr>
            <w:rStyle w:val="Hyperlink"/>
            <w:lang w:val="nl-NL"/>
          </w:rPr>
          <w:t>polon.nauka.gov.pl</w:t>
        </w:r>
      </w:hyperlink>
      <w:r w:rsidRPr="00B27B51">
        <w:rPr>
          <w:lang w:val="nl-NL"/>
        </w:rPr>
        <w:t>)</w:t>
      </w:r>
    </w:p>
    <w:p w14:paraId="1CCD2C1E" w14:textId="77777777" w:rsidR="00B27B51" w:rsidRPr="00B27B51" w:rsidRDefault="00B27B51" w:rsidP="00B27B51">
      <w:pPr>
        <w:rPr>
          <w:b/>
          <w:bCs/>
          <w:lang w:val="nl-NL"/>
        </w:rPr>
      </w:pPr>
      <w:r w:rsidRPr="00B27B51">
        <w:rPr>
          <w:b/>
          <w:bCs/>
          <w:lang w:val="nl-NL"/>
        </w:rPr>
        <w:t>8. Wat Polen nu voor jouw project betekent</w:t>
      </w:r>
    </w:p>
    <w:p w14:paraId="06223CEA" w14:textId="77777777" w:rsidR="00B27B51" w:rsidRPr="00B27B51" w:rsidRDefault="00B27B51" w:rsidP="00B27B51">
      <w:pPr>
        <w:rPr>
          <w:lang w:val="nl-NL"/>
        </w:rPr>
      </w:pPr>
      <w:r w:rsidRPr="00B27B51">
        <w:rPr>
          <w:lang w:val="nl-NL"/>
        </w:rPr>
        <w:t xml:space="preserve">Als ik Polen naast Nederland en Denemarken zet, dan zou ik voorlopig zeggen: </w:t>
      </w:r>
      <w:r w:rsidRPr="00B27B51">
        <w:rPr>
          <w:b/>
          <w:bCs/>
          <w:lang w:val="nl-NL"/>
        </w:rPr>
        <w:t>Nederland</w:t>
      </w:r>
      <w:r w:rsidRPr="00B27B51">
        <w:rPr>
          <w:lang w:val="nl-NL"/>
        </w:rPr>
        <w:t xml:space="preserve"> is sterk code- en proceduregedreven; </w:t>
      </w:r>
      <w:r w:rsidRPr="00B27B51">
        <w:rPr>
          <w:b/>
          <w:bCs/>
          <w:lang w:val="nl-NL"/>
        </w:rPr>
        <w:t>Denemarken</w:t>
      </w:r>
      <w:r w:rsidRPr="00B27B51">
        <w:rPr>
          <w:lang w:val="nl-NL"/>
        </w:rPr>
        <w:t xml:space="preserve"> is sterk wet + nationaal board + institutionele QRP; </w:t>
      </w:r>
      <w:r w:rsidRPr="00B27B51">
        <w:rPr>
          <w:b/>
          <w:bCs/>
          <w:lang w:val="nl-NL"/>
        </w:rPr>
        <w:t>Polen</w:t>
      </w:r>
      <w:r w:rsidRPr="00B27B51">
        <w:rPr>
          <w:lang w:val="nl-NL"/>
        </w:rPr>
        <w:t xml:space="preserve"> lijkt het meest op een </w:t>
      </w:r>
      <w:r w:rsidRPr="00B27B51">
        <w:rPr>
          <w:b/>
          <w:bCs/>
          <w:lang w:val="nl-NL"/>
        </w:rPr>
        <w:t>wettelijk-gedisciplineerde matrix</w:t>
      </w:r>
      <w:r w:rsidRPr="00B27B51">
        <w:rPr>
          <w:lang w:val="nl-NL"/>
        </w:rPr>
        <w:t xml:space="preserve"> waarin de algemene systeemwet, de </w:t>
      </w:r>
      <w:r w:rsidRPr="00B27B51">
        <w:rPr>
          <w:b/>
          <w:bCs/>
          <w:lang w:val="nl-NL"/>
        </w:rPr>
        <w:t>PAN-ethiekcommissie</w:t>
      </w:r>
      <w:r w:rsidRPr="00B27B51">
        <w:rPr>
          <w:lang w:val="nl-NL"/>
        </w:rPr>
        <w:t xml:space="preserve">, lokale disciplinaire/ethische organen en de </w:t>
      </w:r>
      <w:r w:rsidRPr="00B27B51">
        <w:rPr>
          <w:b/>
          <w:bCs/>
          <w:lang w:val="nl-NL"/>
        </w:rPr>
        <w:t>funderregels</w:t>
      </w:r>
      <w:r w:rsidRPr="00B27B51">
        <w:rPr>
          <w:lang w:val="nl-NL"/>
        </w:rPr>
        <w:t xml:space="preserve"> samen het veld vormen. Vooral </w:t>
      </w:r>
      <w:r w:rsidRPr="00B27B51">
        <w:rPr>
          <w:b/>
          <w:bCs/>
          <w:lang w:val="nl-NL"/>
        </w:rPr>
        <w:t>NCN</w:t>
      </w:r>
      <w:r w:rsidRPr="00B27B51">
        <w:rPr>
          <w:lang w:val="nl-NL"/>
        </w:rPr>
        <w:t xml:space="preserve"> springt eruit als actor die integriteit heel concreet in financiering, formulieren, training, sancties en vergunningen inbouwt. (</w:t>
      </w:r>
      <w:hyperlink r:id="rId31" w:tooltip="https://www.gov.pl/attachment/d6975935-4b24-4be3-96f1-09c51589958a" w:history="1">
        <w:r w:rsidRPr="00B27B51">
          <w:rPr>
            <w:rStyle w:val="Hyperlink"/>
            <w:lang w:val="nl-NL"/>
          </w:rPr>
          <w:t>Gov.pl</w:t>
        </w:r>
      </w:hyperlink>
      <w:r w:rsidRPr="00B27B51">
        <w:rPr>
          <w:lang w:val="nl-NL"/>
        </w:rPr>
        <w:t>)</w:t>
      </w:r>
    </w:p>
    <w:p w14:paraId="6A879175" w14:textId="77777777" w:rsidR="00B27B51" w:rsidRPr="00B27B51" w:rsidRDefault="00B27B51" w:rsidP="00B27B51">
      <w:pPr>
        <w:rPr>
          <w:lang w:val="nl-NL"/>
        </w:rPr>
      </w:pPr>
      <w:r w:rsidRPr="00B27B51">
        <w:rPr>
          <w:lang w:val="nl-NL"/>
        </w:rPr>
        <w:t xml:space="preserve">Voor je bronkaart zou ik Polen daarom niet als één boomstructuur tekenen, maar als vier samenwerkende blokken: </w:t>
      </w:r>
      <w:r w:rsidRPr="00B27B51">
        <w:rPr>
          <w:b/>
          <w:bCs/>
          <w:lang w:val="nl-NL"/>
        </w:rPr>
        <w:t>(1) algemene wet en staatsinfrastructuur</w:t>
      </w:r>
      <w:r w:rsidRPr="00B27B51">
        <w:rPr>
          <w:lang w:val="nl-NL"/>
        </w:rPr>
        <w:t xml:space="preserve">, </w:t>
      </w:r>
      <w:r w:rsidRPr="00B27B51">
        <w:rPr>
          <w:b/>
          <w:bCs/>
          <w:lang w:val="nl-NL"/>
        </w:rPr>
        <w:t>(2) PAN en nationale ethische opinievorming</w:t>
      </w:r>
      <w:r w:rsidRPr="00B27B51">
        <w:rPr>
          <w:lang w:val="nl-NL"/>
        </w:rPr>
        <w:t xml:space="preserve">, </w:t>
      </w:r>
      <w:r w:rsidRPr="00B27B51">
        <w:rPr>
          <w:b/>
          <w:bCs/>
          <w:lang w:val="nl-NL"/>
        </w:rPr>
        <w:t>(3) sector- en financieringsnormen</w:t>
      </w:r>
      <w:r w:rsidRPr="00B27B51">
        <w:rPr>
          <w:lang w:val="nl-NL"/>
        </w:rPr>
        <w:t xml:space="preserve">, en </w:t>
      </w:r>
      <w:r w:rsidRPr="00B27B51">
        <w:rPr>
          <w:b/>
          <w:bCs/>
          <w:lang w:val="nl-NL"/>
        </w:rPr>
        <w:t xml:space="preserve">(4) lokale </w:t>
      </w:r>
      <w:r w:rsidRPr="00B27B51">
        <w:rPr>
          <w:b/>
          <w:bCs/>
          <w:lang w:val="nl-NL"/>
        </w:rPr>
        <w:lastRenderedPageBreak/>
        <w:t>uitvoering per instelling en per onderzoeksdomein</w:t>
      </w:r>
      <w:r w:rsidRPr="00B27B51">
        <w:rPr>
          <w:lang w:val="nl-NL"/>
        </w:rPr>
        <w:t xml:space="preserve">. Dat maakt Polen iets rommeliger dan Denemarken, maar juist rijk als vergelijkingsland: je ziet er tegelijk </w:t>
      </w:r>
      <w:r w:rsidRPr="00B27B51">
        <w:rPr>
          <w:b/>
          <w:bCs/>
          <w:lang w:val="nl-NL"/>
        </w:rPr>
        <w:t>disciplinair recht, nationale ethiek, financieringscompliance, mens-/dierethiek en anti-plagiaatinfrastructuur</w:t>
      </w:r>
      <w:r w:rsidRPr="00B27B51">
        <w:rPr>
          <w:lang w:val="nl-NL"/>
        </w:rPr>
        <w:t xml:space="preserve"> naast elkaar. (</w:t>
      </w:r>
      <w:hyperlink r:id="rId32" w:tooltip="https://www.gov.pl/attachment/d6975935-4b24-4be3-96f1-09c51589958a" w:history="1">
        <w:r w:rsidRPr="00B27B51">
          <w:rPr>
            <w:rStyle w:val="Hyperlink"/>
            <w:lang w:val="nl-NL"/>
          </w:rPr>
          <w:t>Gov.pl</w:t>
        </w:r>
      </w:hyperlink>
      <w:r w:rsidRPr="00B27B51">
        <w:rPr>
          <w:lang w:val="nl-NL"/>
        </w:rPr>
        <w:t>)</w:t>
      </w:r>
    </w:p>
    <w:p w14:paraId="6DE41509" w14:textId="77777777" w:rsidR="00B27B51" w:rsidRPr="00B27B51" w:rsidRDefault="00B27B51" w:rsidP="00B27B51">
      <w:pPr>
        <w:rPr>
          <w:lang w:val="nl-NL"/>
        </w:rPr>
      </w:pPr>
      <w:r w:rsidRPr="00B27B51">
        <w:rPr>
          <w:lang w:val="nl-NL"/>
        </w:rPr>
        <w:t>Als ik Polen nu als eerste corpus zou opbouwen, zou ik beginnen met zes bronbundels:</w:t>
      </w:r>
    </w:p>
    <w:p w14:paraId="6207EACF" w14:textId="77777777" w:rsidR="00B27B51" w:rsidRPr="00B27B51" w:rsidRDefault="00B27B51" w:rsidP="00B27B51">
      <w:pPr>
        <w:numPr>
          <w:ilvl w:val="0"/>
          <w:numId w:val="1"/>
        </w:numPr>
        <w:rPr>
          <w:lang w:val="nl-NL"/>
        </w:rPr>
      </w:pPr>
      <w:r w:rsidRPr="00B27B51">
        <w:rPr>
          <w:b/>
          <w:bCs/>
          <w:lang w:val="nl-NL"/>
        </w:rPr>
        <w:t>Fundamentele wet en infrastructuur</w:t>
      </w:r>
      <w:r w:rsidRPr="00B27B51">
        <w:rPr>
          <w:lang w:val="nl-NL"/>
        </w:rPr>
        <w:t>: de 2018-wet, POL-on, het Uniform Anti-plagiarism System en het nationale scriptiedepot. (</w:t>
      </w:r>
      <w:hyperlink r:id="rId33" w:tooltip="https://www.gov.pl/attachment/d6975935-4b24-4be3-96f1-09c51589958a" w:history="1">
        <w:r w:rsidRPr="00B27B51">
          <w:rPr>
            <w:rStyle w:val="Hyperlink"/>
            <w:lang w:val="nl-NL"/>
          </w:rPr>
          <w:t>Gov.pl</w:t>
        </w:r>
      </w:hyperlink>
      <w:r w:rsidRPr="00B27B51">
        <w:rPr>
          <w:lang w:val="nl-NL"/>
        </w:rPr>
        <w:t>)</w:t>
      </w:r>
    </w:p>
    <w:p w14:paraId="64C800CE" w14:textId="77777777" w:rsidR="00B27B51" w:rsidRPr="00B27B51" w:rsidRDefault="00B27B51" w:rsidP="00B27B51">
      <w:pPr>
        <w:numPr>
          <w:ilvl w:val="0"/>
          <w:numId w:val="1"/>
        </w:numPr>
        <w:rPr>
          <w:lang w:val="nl-NL"/>
        </w:rPr>
      </w:pPr>
      <w:r w:rsidRPr="00B27B51">
        <w:rPr>
          <w:b/>
          <w:bCs/>
          <w:lang w:val="nl-NL"/>
        </w:rPr>
        <w:t>PAN-bundel</w:t>
      </w:r>
      <w:r w:rsidRPr="00B27B51">
        <w:rPr>
          <w:lang w:val="nl-NL"/>
        </w:rPr>
        <w:t>: de PAN Committee on Ethics in Science, de 2024 code, statements, reports, legal acts en de BIP-bronnen. (</w:t>
      </w:r>
      <w:hyperlink r:id="rId34" w:tooltip="https://pan.pl/en/ethics-in-science/" w:history="1">
        <w:r w:rsidRPr="00B27B51">
          <w:rPr>
            <w:rStyle w:val="Hyperlink"/>
            <w:lang w:val="nl-NL"/>
          </w:rPr>
          <w:t>Pan</w:t>
        </w:r>
      </w:hyperlink>
      <w:r w:rsidRPr="00B27B51">
        <w:rPr>
          <w:lang w:val="nl-NL"/>
        </w:rPr>
        <w:t>)</w:t>
      </w:r>
    </w:p>
    <w:p w14:paraId="67D3D778" w14:textId="77777777" w:rsidR="00B27B51" w:rsidRPr="00B27B51" w:rsidRDefault="00B27B51" w:rsidP="00B27B51">
      <w:pPr>
        <w:numPr>
          <w:ilvl w:val="0"/>
          <w:numId w:val="1"/>
        </w:numPr>
        <w:rPr>
          <w:lang w:val="nl-NL"/>
        </w:rPr>
      </w:pPr>
      <w:r w:rsidRPr="00B27B51">
        <w:rPr>
          <w:b/>
          <w:bCs/>
          <w:lang w:val="nl-NL"/>
        </w:rPr>
        <w:t>Sectorbundel</w:t>
      </w:r>
      <w:r w:rsidRPr="00B27B51">
        <w:rPr>
          <w:lang w:val="nl-NL"/>
        </w:rPr>
        <w:t xml:space="preserve">: CRASP’s </w:t>
      </w:r>
      <w:r w:rsidRPr="00B27B51">
        <w:rPr>
          <w:i/>
          <w:iCs/>
          <w:lang w:val="nl-NL"/>
        </w:rPr>
        <w:t>Good Practices in Universities</w:t>
      </w:r>
      <w:r w:rsidRPr="00B27B51">
        <w:rPr>
          <w:lang w:val="nl-NL"/>
        </w:rPr>
        <w:t xml:space="preserve"> en de historische verwijzingen naar oudere Poolse ethische teksten. (</w:t>
      </w:r>
      <w:hyperlink r:id="rId35" w:tooltip="https://www.krasp.org.pl/files/public/dokumenty/KRASP_Kodeks_Dobre%20praktyki_EN.pdf" w:history="1">
        <w:r w:rsidRPr="00B27B51">
          <w:rPr>
            <w:rStyle w:val="Hyperlink"/>
            <w:lang w:val="nl-NL"/>
          </w:rPr>
          <w:t>krasp.org.pl</w:t>
        </w:r>
      </w:hyperlink>
      <w:r w:rsidRPr="00B27B51">
        <w:rPr>
          <w:lang w:val="nl-NL"/>
        </w:rPr>
        <w:t>)</w:t>
      </w:r>
    </w:p>
    <w:p w14:paraId="44FE015E" w14:textId="77777777" w:rsidR="00B27B51" w:rsidRPr="00B27B51" w:rsidRDefault="00B27B51" w:rsidP="00B27B51">
      <w:pPr>
        <w:numPr>
          <w:ilvl w:val="0"/>
          <w:numId w:val="1"/>
        </w:numPr>
        <w:rPr>
          <w:lang w:val="nl-NL"/>
        </w:rPr>
      </w:pPr>
      <w:r w:rsidRPr="00B27B51">
        <w:rPr>
          <w:b/>
          <w:bCs/>
          <w:lang w:val="nl-NL"/>
        </w:rPr>
        <w:t>Funderbundel</w:t>
      </w:r>
      <w:r w:rsidRPr="00B27B51">
        <w:rPr>
          <w:lang w:val="nl-NL"/>
        </w:rPr>
        <w:t>: vooral NCN, daarnaast NCBR, NAWA, FNP en ABM. (</w:t>
      </w:r>
      <w:hyperlink r:id="rId36" w:tooltip="https://www.ncn.gov.pl/en/aktualnosci/2016-07-18-rzetelnosc-badan-naukowych" w:history="1">
        <w:r w:rsidRPr="00B27B51">
          <w:rPr>
            <w:rStyle w:val="Hyperlink"/>
            <w:lang w:val="nl-NL"/>
          </w:rPr>
          <w:t>National Science Centre</w:t>
        </w:r>
      </w:hyperlink>
      <w:r w:rsidRPr="00B27B51">
        <w:rPr>
          <w:lang w:val="nl-NL"/>
        </w:rPr>
        <w:t>)</w:t>
      </w:r>
    </w:p>
    <w:p w14:paraId="5F8746C4" w14:textId="77777777" w:rsidR="00B27B51" w:rsidRPr="00B27B51" w:rsidRDefault="00B27B51" w:rsidP="00B27B51">
      <w:pPr>
        <w:numPr>
          <w:ilvl w:val="0"/>
          <w:numId w:val="1"/>
        </w:numPr>
        <w:rPr>
          <w:lang w:val="nl-NL"/>
        </w:rPr>
      </w:pPr>
      <w:r w:rsidRPr="00B27B51">
        <w:rPr>
          <w:b/>
          <w:bCs/>
          <w:lang w:val="nl-NL"/>
        </w:rPr>
        <w:t>Lokale bundel</w:t>
      </w:r>
      <w:r w:rsidRPr="00B27B51">
        <w:rPr>
          <w:lang w:val="nl-NL"/>
        </w:rPr>
        <w:t>: minstens één grote universiteit, één technische universiteit en één instituutcluster, bijvoorbeeld University of Warsaw, Jagiellonian University, Warsaw University of Technology en IIMCB. (</w:t>
      </w:r>
      <w:hyperlink r:id="rId37" w:tooltip="https://en.uw.edu.pl/rectors-committee-for-the-ethics-of-research-involving-human-participants/" w:history="1">
        <w:r w:rsidRPr="00B27B51">
          <w:rPr>
            <w:rStyle w:val="Hyperlink"/>
            <w:lang w:val="nl-NL"/>
          </w:rPr>
          <w:t>University of Warsaw</w:t>
        </w:r>
      </w:hyperlink>
      <w:r w:rsidRPr="00B27B51">
        <w:rPr>
          <w:lang w:val="nl-NL"/>
        </w:rPr>
        <w:t>)</w:t>
      </w:r>
    </w:p>
    <w:p w14:paraId="63B2C250" w14:textId="77777777" w:rsidR="00B27B51" w:rsidRPr="00B27B51" w:rsidRDefault="00B27B51" w:rsidP="00B27B51">
      <w:pPr>
        <w:numPr>
          <w:ilvl w:val="0"/>
          <w:numId w:val="1"/>
        </w:numPr>
        <w:rPr>
          <w:lang w:val="nl-NL"/>
        </w:rPr>
      </w:pPr>
      <w:r w:rsidRPr="00B27B51">
        <w:rPr>
          <w:b/>
          <w:bCs/>
        </w:rPr>
        <w:t>Grensregimes</w:t>
      </w:r>
      <w:r w:rsidRPr="00B27B51">
        <w:t xml:space="preserve">: clinical/bioethics, human-participant ethics, animal ethics, en waar relevant data/open-science compliance. </w:t>
      </w:r>
      <w:r w:rsidRPr="00B27B51">
        <w:rPr>
          <w:lang w:val="nl-NL"/>
        </w:rPr>
        <w:t>(</w:t>
      </w:r>
      <w:hyperlink r:id="rId38" w:tooltip="https://abm.gov.pl/en/news/253%2CWebsite-of-the-Supreme-Bioethics-Committee-for-Clinical-Trials.html" w:history="1">
        <w:r w:rsidRPr="00B27B51">
          <w:rPr>
            <w:rStyle w:val="Hyperlink"/>
            <w:lang w:val="nl-NL"/>
          </w:rPr>
          <w:t>Agencja Badań Medycznych</w:t>
        </w:r>
      </w:hyperlink>
      <w:r w:rsidRPr="00B27B51">
        <w:rPr>
          <w:lang w:val="nl-NL"/>
        </w:rPr>
        <w:t>)</w:t>
      </w:r>
    </w:p>
    <w:p w14:paraId="5BD57398" w14:textId="77777777" w:rsidR="00B27B51" w:rsidRPr="00B27B51" w:rsidRDefault="00B27B51" w:rsidP="00B27B51">
      <w:pPr>
        <w:rPr>
          <w:lang w:val="nl-NL"/>
        </w:rPr>
      </w:pPr>
      <w:r w:rsidRPr="00B27B51">
        <w:rPr>
          <w:lang w:val="nl-NL"/>
        </w:rPr>
        <w:t xml:space="preserve">Mijn gevoel is dus: </w:t>
      </w:r>
      <w:r w:rsidRPr="00B27B51">
        <w:rPr>
          <w:b/>
          <w:bCs/>
          <w:lang w:val="nl-NL"/>
        </w:rPr>
        <w:t>Polen is geen “clean single-system country”, maar wel een heel sterk land om te laten zien hoe een research-integrity landschap uit meerdere regimes tegelijk kan bestaan</w:t>
      </w:r>
      <w:r w:rsidRPr="00B27B51">
        <w:rPr>
          <w:lang w:val="nl-NL"/>
        </w:rPr>
        <w:t>. Dat maakt het analytisch juist heel waardevol voor jouw Europese vergelijking. (</w:t>
      </w:r>
      <w:hyperlink r:id="rId39" w:tooltip="https://www.gov.pl/attachment/d6975935-4b24-4be3-96f1-09c51589958a" w:history="1">
        <w:r w:rsidRPr="00B27B51">
          <w:rPr>
            <w:rStyle w:val="Hyperlink"/>
            <w:lang w:val="nl-NL"/>
          </w:rPr>
          <w:t>Gov.pl</w:t>
        </w:r>
      </w:hyperlink>
      <w:r w:rsidRPr="00B27B51">
        <w:rPr>
          <w:lang w:val="nl-NL"/>
        </w:rPr>
        <w:t>)</w:t>
      </w:r>
    </w:p>
    <w:p w14:paraId="7776AA90"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11EEA"/>
    <w:multiLevelType w:val="multilevel"/>
    <w:tmpl w:val="5FE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52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264"/>
    <w:rsid w:val="001E528E"/>
    <w:rsid w:val="0023427A"/>
    <w:rsid w:val="002551AA"/>
    <w:rsid w:val="00273D29"/>
    <w:rsid w:val="002E5AD9"/>
    <w:rsid w:val="0036154D"/>
    <w:rsid w:val="00392002"/>
    <w:rsid w:val="00394BCE"/>
    <w:rsid w:val="00407C7C"/>
    <w:rsid w:val="004E2765"/>
    <w:rsid w:val="006846CA"/>
    <w:rsid w:val="00703CEF"/>
    <w:rsid w:val="00795264"/>
    <w:rsid w:val="007A24AA"/>
    <w:rsid w:val="008B444C"/>
    <w:rsid w:val="008B67AA"/>
    <w:rsid w:val="009A628C"/>
    <w:rsid w:val="009B2462"/>
    <w:rsid w:val="009F306F"/>
    <w:rsid w:val="00A96AF6"/>
    <w:rsid w:val="00B27B51"/>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CC1F3"/>
  <w15:chartTrackingRefBased/>
  <w15:docId w15:val="{F000555A-9D0B-4FB2-B1B2-F83F9EBF2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264"/>
    <w:rPr>
      <w:rFonts w:eastAsiaTheme="majorEastAsia" w:cstheme="majorBidi"/>
      <w:color w:val="272727" w:themeColor="text1" w:themeTint="D8"/>
    </w:rPr>
  </w:style>
  <w:style w:type="paragraph" w:styleId="Title">
    <w:name w:val="Title"/>
    <w:basedOn w:val="Normal"/>
    <w:next w:val="Normal"/>
    <w:link w:val="TitleChar"/>
    <w:uiPriority w:val="10"/>
    <w:qFormat/>
    <w:rsid w:val="00795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264"/>
    <w:pPr>
      <w:spacing w:before="160"/>
      <w:jc w:val="center"/>
    </w:pPr>
    <w:rPr>
      <w:i/>
      <w:iCs/>
      <w:color w:val="404040" w:themeColor="text1" w:themeTint="BF"/>
    </w:rPr>
  </w:style>
  <w:style w:type="character" w:customStyle="1" w:styleId="QuoteChar">
    <w:name w:val="Quote Char"/>
    <w:basedOn w:val="DefaultParagraphFont"/>
    <w:link w:val="Quote"/>
    <w:uiPriority w:val="29"/>
    <w:rsid w:val="00795264"/>
    <w:rPr>
      <w:i/>
      <w:iCs/>
      <w:color w:val="404040" w:themeColor="text1" w:themeTint="BF"/>
    </w:rPr>
  </w:style>
  <w:style w:type="paragraph" w:styleId="ListParagraph">
    <w:name w:val="List Paragraph"/>
    <w:basedOn w:val="Normal"/>
    <w:uiPriority w:val="34"/>
    <w:qFormat/>
    <w:rsid w:val="00795264"/>
    <w:pPr>
      <w:ind w:left="720"/>
      <w:contextualSpacing/>
    </w:pPr>
  </w:style>
  <w:style w:type="character" w:styleId="IntenseEmphasis">
    <w:name w:val="Intense Emphasis"/>
    <w:basedOn w:val="DefaultParagraphFont"/>
    <w:uiPriority w:val="21"/>
    <w:qFormat/>
    <w:rsid w:val="00795264"/>
    <w:rPr>
      <w:i/>
      <w:iCs/>
      <w:color w:val="0F4761" w:themeColor="accent1" w:themeShade="BF"/>
    </w:rPr>
  </w:style>
  <w:style w:type="paragraph" w:styleId="IntenseQuote">
    <w:name w:val="Intense Quote"/>
    <w:basedOn w:val="Normal"/>
    <w:next w:val="Normal"/>
    <w:link w:val="IntenseQuoteChar"/>
    <w:uiPriority w:val="30"/>
    <w:qFormat/>
    <w:rsid w:val="00795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264"/>
    <w:rPr>
      <w:i/>
      <w:iCs/>
      <w:color w:val="0F4761" w:themeColor="accent1" w:themeShade="BF"/>
    </w:rPr>
  </w:style>
  <w:style w:type="character" w:styleId="IntenseReference">
    <w:name w:val="Intense Reference"/>
    <w:basedOn w:val="DefaultParagraphFont"/>
    <w:uiPriority w:val="32"/>
    <w:qFormat/>
    <w:rsid w:val="00795264"/>
    <w:rPr>
      <w:b/>
      <w:bCs/>
      <w:smallCaps/>
      <w:color w:val="0F4761" w:themeColor="accent1" w:themeShade="BF"/>
      <w:spacing w:val="5"/>
    </w:rPr>
  </w:style>
  <w:style w:type="character" w:styleId="Hyperlink">
    <w:name w:val="Hyperlink"/>
    <w:basedOn w:val="DefaultParagraphFont"/>
    <w:uiPriority w:val="99"/>
    <w:unhideWhenUsed/>
    <w:rsid w:val="00B27B51"/>
    <w:rPr>
      <w:color w:val="467886" w:themeColor="hyperlink"/>
      <w:u w:val="single"/>
    </w:rPr>
  </w:style>
  <w:style w:type="character" w:styleId="UnresolvedMention">
    <w:name w:val="Unresolved Mention"/>
    <w:basedOn w:val="DefaultParagraphFont"/>
    <w:uiPriority w:val="99"/>
    <w:semiHidden/>
    <w:unhideWhenUsed/>
    <w:rsid w:val="00B27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406540">
      <w:bodyDiv w:val="1"/>
      <w:marLeft w:val="0"/>
      <w:marRight w:val="0"/>
      <w:marTop w:val="0"/>
      <w:marBottom w:val="0"/>
      <w:divBdr>
        <w:top w:val="none" w:sz="0" w:space="0" w:color="auto"/>
        <w:left w:val="none" w:sz="0" w:space="0" w:color="auto"/>
        <w:bottom w:val="none" w:sz="0" w:space="0" w:color="auto"/>
        <w:right w:val="none" w:sz="0" w:space="0" w:color="auto"/>
      </w:divBdr>
    </w:div>
    <w:div w:id="1878737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pl/attachment/d6975935-4b24-4be3-96f1-09c51589958a" TargetMode="External"/><Relationship Id="rId13" Type="http://schemas.openxmlformats.org/officeDocument/2006/relationships/hyperlink" Target="https://pan.pl/en/ethics-in-science/" TargetMode="External"/><Relationship Id="rId18" Type="http://schemas.openxmlformats.org/officeDocument/2006/relationships/hyperlink" Target="https://www.ncn.gov.pl/sites/default/files/pliki/regulaminy/2019_12_wytyczne_dla_wnioskodawcow_kwestie_etyczne_ang.pdf" TargetMode="External"/><Relationship Id="rId26" Type="http://schemas.openxmlformats.org/officeDocument/2006/relationships/hyperlink" Target="https://eng.pw.edu.pl/engpw/content/download/5542/44756/file/Statutes%20of%20the%20Warsaw%20University%20Of%20Technology.pdf" TargetMode="External"/><Relationship Id="rId39" Type="http://schemas.openxmlformats.org/officeDocument/2006/relationships/hyperlink" Target="https://www.gov.pl/attachment/d6975935-4b24-4be3-96f1-09c51589958a" TargetMode="External"/><Relationship Id="rId3" Type="http://schemas.openxmlformats.org/officeDocument/2006/relationships/settings" Target="settings.xml"/><Relationship Id="rId21" Type="http://schemas.openxmlformats.org/officeDocument/2006/relationships/hyperlink" Target="https://www.fnp.org.pl/en/component/fnp_pages/page/mission-and-values" TargetMode="External"/><Relationship Id="rId34" Type="http://schemas.openxmlformats.org/officeDocument/2006/relationships/hyperlink" Target="https://pan.pl/en/ethics-in-science/" TargetMode="External"/><Relationship Id="rId7" Type="http://schemas.openxmlformats.org/officeDocument/2006/relationships/hyperlink" Target="https://www.gov.pl/attachment/d6975935-4b24-4be3-96f1-09c51589958a" TargetMode="External"/><Relationship Id="rId12" Type="http://schemas.openxmlformats.org/officeDocument/2006/relationships/hyperlink" Target="https://pan.pl/app/uploads/2025/06/Code_of_ethics_for_researchers_2024.pdf" TargetMode="External"/><Relationship Id="rId17" Type="http://schemas.openxmlformats.org/officeDocument/2006/relationships/hyperlink" Target="https://www.ncn.gov.pl/en/aktualnosci/2016-07-18-rzetelnosc-badan-naukowych" TargetMode="External"/><Relationship Id="rId25" Type="http://schemas.openxmlformats.org/officeDocument/2006/relationships/hyperlink" Target="https://etykabadan.komisja.uj.edu.pl/documents/149614951/156438577/EN_zarz_44_2023-RKEBN/30c1f4d8-57d6-467c-abea-2ae857ed395c" TargetMode="External"/><Relationship Id="rId33" Type="http://schemas.openxmlformats.org/officeDocument/2006/relationships/hyperlink" Target="https://www.gov.pl/attachment/d6975935-4b24-4be3-96f1-09c51589958a" TargetMode="External"/><Relationship Id="rId38" Type="http://schemas.openxmlformats.org/officeDocument/2006/relationships/hyperlink" Target="https://abm.gov.pl/en/news/253%2CWebsite-of-the-Supreme-Bioethics-Committee-for-Clinical-Trials.html" TargetMode="External"/><Relationship Id="rId2" Type="http://schemas.openxmlformats.org/officeDocument/2006/relationships/styles" Target="styles.xml"/><Relationship Id="rId16" Type="http://schemas.openxmlformats.org/officeDocument/2006/relationships/hyperlink" Target="https://www.krasp.org.pl/files/public/dokumenty/KRASP_Kodeks_Dobre%20praktyki_EN.pdf" TargetMode="External"/><Relationship Id="rId20" Type="http://schemas.openxmlformats.org/officeDocument/2006/relationships/hyperlink" Target="https://www.gov.pl/attachment/d6975935-4b24-4be3-96f1-09c51589958a" TargetMode="External"/><Relationship Id="rId29" Type="http://schemas.openxmlformats.org/officeDocument/2006/relationships/hyperlink" Target="https://www.gov.pl/web/science/department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v.pl/attachment/d6975935-4b24-4be3-96f1-09c51589958a" TargetMode="External"/><Relationship Id="rId11" Type="http://schemas.openxmlformats.org/officeDocument/2006/relationships/hyperlink" Target="https://pan.pl/en/" TargetMode="External"/><Relationship Id="rId24" Type="http://schemas.openxmlformats.org/officeDocument/2006/relationships/hyperlink" Target="https://en.uw.edu.pl/rectors-committee-for-the-ethics-of-research-involving-human-participants/" TargetMode="External"/><Relationship Id="rId32" Type="http://schemas.openxmlformats.org/officeDocument/2006/relationships/hyperlink" Target="https://www.gov.pl/attachment/d6975935-4b24-4be3-96f1-09c51589958a" TargetMode="External"/><Relationship Id="rId37" Type="http://schemas.openxmlformats.org/officeDocument/2006/relationships/hyperlink" Target="https://en.uw.edu.pl/rectors-committee-for-the-ethics-of-research-involving-human-participants/" TargetMode="External"/><Relationship Id="rId40" Type="http://schemas.openxmlformats.org/officeDocument/2006/relationships/fontTable" Target="fontTable.xml"/><Relationship Id="rId5" Type="http://schemas.openxmlformats.org/officeDocument/2006/relationships/hyperlink" Target="https://www.gov.pl/attachment/d6975935-4b24-4be3-96f1-09c51589958a" TargetMode="External"/><Relationship Id="rId15" Type="http://schemas.openxmlformats.org/officeDocument/2006/relationships/hyperlink" Target="https://www.krasp.org.pl/files/public/dokumenty/KRASP_Kodeks_Dobre%20praktyki_EN.pdf" TargetMode="External"/><Relationship Id="rId23" Type="http://schemas.openxmlformats.org/officeDocument/2006/relationships/hyperlink" Target="https://www.gov.pl/attachment/d6975935-4b24-4be3-96f1-09c51589958a" TargetMode="External"/><Relationship Id="rId28" Type="http://schemas.openxmlformats.org/officeDocument/2006/relationships/hyperlink" Target="https://www.ncn.gov.pl/sites/default/files/pliki/regulaminy/2019_12_wytyczne_dla_wnioskodawcow_kwestie_etyczne_ang.pdf" TargetMode="External"/><Relationship Id="rId36" Type="http://schemas.openxmlformats.org/officeDocument/2006/relationships/hyperlink" Target="https://www.ncn.gov.pl/en/aktualnosci/2016-07-18-rzetelnosc-badan-naukowych" TargetMode="External"/><Relationship Id="rId10" Type="http://schemas.openxmlformats.org/officeDocument/2006/relationships/hyperlink" Target="https://pan.pl/en/ethics-in-science/" TargetMode="External"/><Relationship Id="rId19" Type="http://schemas.openxmlformats.org/officeDocument/2006/relationships/hyperlink" Target="https://www.gov.pl/web/ncbr-en/ncbr" TargetMode="External"/><Relationship Id="rId31" Type="http://schemas.openxmlformats.org/officeDocument/2006/relationships/hyperlink" Target="https://www.gov.pl/attachment/d6975935-4b24-4be3-96f1-09c51589958a" TargetMode="External"/><Relationship Id="rId4" Type="http://schemas.openxmlformats.org/officeDocument/2006/relationships/webSettings" Target="webSettings.xml"/><Relationship Id="rId9" Type="http://schemas.openxmlformats.org/officeDocument/2006/relationships/hyperlink" Target="https://www.gov.pl/attachment/d6975935-4b24-4be3-96f1-09c51589958a" TargetMode="External"/><Relationship Id="rId14" Type="http://schemas.openxmlformats.org/officeDocument/2006/relationships/hyperlink" Target="https://www.gov.pl/attachment/d6975935-4b24-4be3-96f1-09c51589958a" TargetMode="External"/><Relationship Id="rId22" Type="http://schemas.openxmlformats.org/officeDocument/2006/relationships/hyperlink" Target="https://abm.gov.pl/download/1/8758/PlandzialalnosciABMnarok2025EN.pdf" TargetMode="External"/><Relationship Id="rId27" Type="http://schemas.openxmlformats.org/officeDocument/2006/relationships/hyperlink" Target="https://pan.pl/en/" TargetMode="External"/><Relationship Id="rId30" Type="http://schemas.openxmlformats.org/officeDocument/2006/relationships/hyperlink" Target="https://polon.nauka.gov.pl/siec-polon/en/" TargetMode="External"/><Relationship Id="rId35" Type="http://schemas.openxmlformats.org/officeDocument/2006/relationships/hyperlink" Target="https://www.krasp.org.pl/files/public/dokumenty/KRASP_Kodeks_Dobre%20praktyki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3752</Words>
  <Characters>20640</Characters>
  <Application>Microsoft Office Word</Application>
  <DocSecurity>0</DocSecurity>
  <Lines>172</Lines>
  <Paragraphs>48</Paragraphs>
  <ScaleCrop>false</ScaleCrop>
  <Company/>
  <LinksUpToDate>false</LinksUpToDate>
  <CharactersWithSpaces>24344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2026-04-16T07:10:00Z</dcterms:created>
  <dcterms:modified xsi:type="dcterms:W3CDTF">2026-04-16T07:11:00Z</dcterms:modified>
</cp:coreProperties>
</file>