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E5FC" w14:textId="77777777" w:rsidR="00173266" w:rsidRPr="00173266" w:rsidRDefault="00173266" w:rsidP="00173266">
      <w:pPr>
        <w:rPr>
          <w:lang w:val="nl-NL"/>
        </w:rPr>
      </w:pPr>
      <w:r w:rsidRPr="00173266">
        <w:rPr>
          <w:lang w:val="nl-NL"/>
        </w:rPr>
        <w:t xml:space="preserve">Ja — en Roemenië lijkt meteen een </w:t>
      </w:r>
      <w:r w:rsidRPr="00173266">
        <w:rPr>
          <w:b/>
          <w:bCs/>
          <w:lang w:val="nl-NL"/>
        </w:rPr>
        <w:t>heel ander type casus</w:t>
      </w:r>
      <w:r w:rsidRPr="00173266">
        <w:rPr>
          <w:lang w:val="nl-NL"/>
        </w:rPr>
        <w:t xml:space="preserve"> dan Nederland en Denemarken. Mijn eerste indruk is dat Roemenië het veld van wetenschappelijke integriteit </w:t>
      </w:r>
      <w:r w:rsidRPr="00173266">
        <w:rPr>
          <w:b/>
          <w:bCs/>
          <w:lang w:val="nl-NL"/>
        </w:rPr>
        <w:t>sterker juridisch heeft uitgewerkt</w:t>
      </w:r>
      <w:r w:rsidRPr="00173266">
        <w:rPr>
          <w:lang w:val="nl-NL"/>
        </w:rPr>
        <w:t xml:space="preserve"> en bovendien </w:t>
      </w:r>
      <w:r w:rsidRPr="00173266">
        <w:rPr>
          <w:b/>
          <w:bCs/>
          <w:lang w:val="nl-NL"/>
        </w:rPr>
        <w:t>in twee parallelle regimes</w:t>
      </w:r>
      <w:r w:rsidRPr="00173266">
        <w:rPr>
          <w:lang w:val="nl-NL"/>
        </w:rPr>
        <w:t xml:space="preserve"> organiseert: één voor het bredere systeem van </w:t>
      </w:r>
      <w:r w:rsidRPr="00173266">
        <w:rPr>
          <w:b/>
          <w:bCs/>
          <w:lang w:val="nl-NL"/>
        </w:rPr>
        <w:t>cercetare, dezvoltare și inovare (CDI)</w:t>
      </w:r>
      <w:r w:rsidRPr="00173266">
        <w:rPr>
          <w:lang w:val="nl-NL"/>
        </w:rPr>
        <w:t xml:space="preserve"> buiten de universiteiten, en één voor </w:t>
      </w:r>
      <w:r w:rsidRPr="00173266">
        <w:rPr>
          <w:b/>
          <w:bCs/>
          <w:lang w:val="nl-NL"/>
        </w:rPr>
        <w:t>het hoger onderwijs</w:t>
      </w:r>
      <w:r w:rsidRPr="00173266">
        <w:rPr>
          <w:lang w:val="nl-NL"/>
        </w:rPr>
        <w:t>, met eigen wetten, eigen commissies en deels eigen beroepsroutes. (</w:t>
      </w:r>
      <w:hyperlink r:id="rId4" w:tooltip="https://legislatie.just.ro/Public/DetaliiDocumentAfis/283972" w:history="1">
        <w:r w:rsidRPr="00173266">
          <w:rPr>
            <w:rStyle w:val="Hyperlink"/>
            <w:lang w:val="nl-NL"/>
          </w:rPr>
          <w:t>Legislatie Just</w:t>
        </w:r>
      </w:hyperlink>
      <w:r w:rsidRPr="00173266">
        <w:rPr>
          <w:lang w:val="nl-NL"/>
        </w:rPr>
        <w:t>)</w:t>
      </w:r>
    </w:p>
    <w:p w14:paraId="6C49BBCD" w14:textId="77777777" w:rsidR="00173266" w:rsidRPr="00173266" w:rsidRDefault="00173266" w:rsidP="00173266">
      <w:pPr>
        <w:rPr>
          <w:lang w:val="nl-NL"/>
        </w:rPr>
      </w:pPr>
      <w:r w:rsidRPr="00173266">
        <w:rPr>
          <w:lang w:val="nl-NL"/>
        </w:rPr>
        <w:t xml:space="preserve">De kernhypothese voor jouw project zou ik daarom zo formuleren: </w:t>
      </w:r>
      <w:r w:rsidRPr="00173266">
        <w:rPr>
          <w:b/>
          <w:bCs/>
          <w:lang w:val="nl-NL"/>
        </w:rPr>
        <w:t>Roemenië heeft geen enkel uniform research-integrity systeem, maar een juridisch gesplitst systeem met een niet-universitaire CDI-laag en een universitaire ethiek-/integriteitslaag</w:t>
      </w:r>
      <w:r w:rsidRPr="00173266">
        <w:rPr>
          <w:lang w:val="nl-NL"/>
        </w:rPr>
        <w:t xml:space="preserve">. In de CDI-laag staat </w:t>
      </w:r>
      <w:r w:rsidRPr="00173266">
        <w:rPr>
          <w:b/>
          <w:bCs/>
          <w:lang w:val="nl-NL"/>
        </w:rPr>
        <w:t>Law 183/2024</w:t>
      </w:r>
      <w:r w:rsidRPr="00173266">
        <w:rPr>
          <w:lang w:val="nl-NL"/>
        </w:rPr>
        <w:t xml:space="preserve"> centraal en is </w:t>
      </w:r>
      <w:r w:rsidRPr="00173266">
        <w:rPr>
          <w:b/>
          <w:bCs/>
          <w:lang w:val="nl-NL"/>
        </w:rPr>
        <w:t>CNECSDTI</w:t>
      </w:r>
      <w:r w:rsidRPr="00173266">
        <w:rPr>
          <w:lang w:val="nl-NL"/>
        </w:rPr>
        <w:t xml:space="preserve"> de nationale tweede lijn; in de universitaire laag staat </w:t>
      </w:r>
      <w:r w:rsidRPr="00173266">
        <w:rPr>
          <w:b/>
          <w:bCs/>
          <w:lang w:val="nl-NL"/>
        </w:rPr>
        <w:t>Law 199/2023</w:t>
      </w:r>
      <w:r w:rsidRPr="00173266">
        <w:rPr>
          <w:lang w:val="nl-NL"/>
        </w:rPr>
        <w:t xml:space="preserve"> centraal, werken instellingen met </w:t>
      </w:r>
      <w:r w:rsidRPr="00173266">
        <w:rPr>
          <w:b/>
          <w:bCs/>
          <w:lang w:val="nl-NL"/>
        </w:rPr>
        <w:t>university ethics commissions</w:t>
      </w:r>
      <w:r w:rsidRPr="00173266">
        <w:rPr>
          <w:lang w:val="nl-NL"/>
        </w:rPr>
        <w:t xml:space="preserve">, en lopen beroepen afhankelijk van het onderwerp naar </w:t>
      </w:r>
      <w:r w:rsidRPr="00173266">
        <w:rPr>
          <w:b/>
          <w:bCs/>
          <w:lang w:val="nl-NL"/>
        </w:rPr>
        <w:t>CNATDCU</w:t>
      </w:r>
      <w:r w:rsidRPr="00173266">
        <w:rPr>
          <w:lang w:val="nl-NL"/>
        </w:rPr>
        <w:t xml:space="preserve">, </w:t>
      </w:r>
      <w:r w:rsidRPr="00173266">
        <w:rPr>
          <w:b/>
          <w:bCs/>
          <w:lang w:val="nl-NL"/>
        </w:rPr>
        <w:t>CNEMU</w:t>
      </w:r>
      <w:r w:rsidRPr="00173266">
        <w:rPr>
          <w:lang w:val="nl-NL"/>
        </w:rPr>
        <w:t xml:space="preserve"> of </w:t>
      </w:r>
      <w:r w:rsidRPr="00173266">
        <w:rPr>
          <w:b/>
          <w:bCs/>
          <w:lang w:val="nl-NL"/>
        </w:rPr>
        <w:t>CNECSDTI</w:t>
      </w:r>
      <w:r w:rsidRPr="00173266">
        <w:rPr>
          <w:lang w:val="nl-NL"/>
        </w:rPr>
        <w:t>. (</w:t>
      </w:r>
      <w:hyperlink r:id="rId5" w:tooltip="https://legislatie.just.ro/Public/DetaliiDocumentAfis/283972" w:history="1">
        <w:r w:rsidRPr="00173266">
          <w:rPr>
            <w:rStyle w:val="Hyperlink"/>
            <w:lang w:val="nl-NL"/>
          </w:rPr>
          <w:t>Legislatie Just</w:t>
        </w:r>
      </w:hyperlink>
      <w:r w:rsidRPr="00173266">
        <w:rPr>
          <w:lang w:val="nl-NL"/>
        </w:rPr>
        <w:t>)</w:t>
      </w:r>
    </w:p>
    <w:p w14:paraId="63B69DB5" w14:textId="77777777" w:rsidR="00173266" w:rsidRPr="00173266" w:rsidRDefault="00173266" w:rsidP="00173266">
      <w:pPr>
        <w:rPr>
          <w:lang w:val="nl-NL"/>
        </w:rPr>
      </w:pPr>
      <w:r w:rsidRPr="00173266">
        <w:rPr>
          <w:lang w:val="nl-NL"/>
        </w:rPr>
        <w:t xml:space="preserve">In de </w:t>
      </w:r>
      <w:r w:rsidRPr="00173266">
        <w:rPr>
          <w:b/>
          <w:bCs/>
          <w:lang w:val="nl-NL"/>
        </w:rPr>
        <w:t>niet-universitaire CDI-laag</w:t>
      </w:r>
      <w:r w:rsidRPr="00173266">
        <w:rPr>
          <w:lang w:val="nl-NL"/>
        </w:rPr>
        <w:t xml:space="preserve"> is de juridische basis opvallend concreet. Law 183/2024 benoemt expliciet schendingen zoals </w:t>
      </w:r>
      <w:r w:rsidRPr="00173266">
        <w:rPr>
          <w:b/>
          <w:bCs/>
          <w:lang w:val="nl-NL"/>
        </w:rPr>
        <w:t>plagiaat, zelfplagiaat, gift authorship of uitsluiting van auteurs, ongeoorloofde verspreiding van resultaten, valse informatie in subsidieaanvragen, belangenconflicten, fraude in evaluatieprocessen, machtsmisbruik, obstructie van ethische organen</w:t>
      </w:r>
      <w:r w:rsidRPr="00173266">
        <w:rPr>
          <w:lang w:val="nl-NL"/>
        </w:rPr>
        <w:t xml:space="preserve"> en het niet uitvoeren van opgelegde sancties. Diezelfde wet maakt ook een duidelijk onderscheid tussen gewone inbreuken en “grave misconduct”, waaronder onder meer </w:t>
      </w:r>
      <w:r w:rsidRPr="00173266">
        <w:rPr>
          <w:b/>
          <w:bCs/>
          <w:lang w:val="nl-NL"/>
        </w:rPr>
        <w:t>plagiaat, fabricatie</w:t>
      </w:r>
      <w:r w:rsidRPr="00173266">
        <w:rPr>
          <w:lang w:val="nl-NL"/>
        </w:rPr>
        <w:t xml:space="preserve"> en valse grant-informatie vallen. (</w:t>
      </w:r>
      <w:hyperlink r:id="rId6" w:tooltip="https://legislatie.just.ro/Public/DetaliiDocumentAfis/283972" w:history="1">
        <w:r w:rsidRPr="00173266">
          <w:rPr>
            <w:rStyle w:val="Hyperlink"/>
            <w:lang w:val="nl-NL"/>
          </w:rPr>
          <w:t>Legislatie Just</w:t>
        </w:r>
      </w:hyperlink>
      <w:r w:rsidRPr="00173266">
        <w:rPr>
          <w:lang w:val="nl-NL"/>
        </w:rPr>
        <w:t>)</w:t>
      </w:r>
    </w:p>
    <w:p w14:paraId="6FCD1ADE" w14:textId="77777777" w:rsidR="00173266" w:rsidRPr="00173266" w:rsidRDefault="00173266" w:rsidP="00173266">
      <w:pPr>
        <w:rPr>
          <w:lang w:val="nl-NL"/>
        </w:rPr>
      </w:pPr>
      <w:r w:rsidRPr="00173266">
        <w:rPr>
          <w:lang w:val="nl-NL"/>
        </w:rPr>
        <w:t xml:space="preserve">De procedure in die CDI-laag is ook netjes in de wet uitgezet. De wet bepaalt een </w:t>
      </w:r>
      <w:r w:rsidRPr="00173266">
        <w:rPr>
          <w:b/>
          <w:bCs/>
          <w:lang w:val="nl-NL"/>
        </w:rPr>
        <w:t>tweefasenroute</w:t>
      </w:r>
      <w:r w:rsidRPr="00173266">
        <w:rPr>
          <w:lang w:val="nl-NL"/>
        </w:rPr>
        <w:t xml:space="preserve">: eerst een onderzoek op het niveau van de </w:t>
      </w:r>
      <w:r w:rsidRPr="00173266">
        <w:rPr>
          <w:b/>
          <w:bCs/>
          <w:lang w:val="nl-NL"/>
        </w:rPr>
        <w:t>onderzoeksorganisatie</w:t>
      </w:r>
      <w:r w:rsidRPr="00173266">
        <w:rPr>
          <w:lang w:val="nl-NL"/>
        </w:rPr>
        <w:t xml:space="preserve">, daarna eventueel een tweede beoordeling door </w:t>
      </w:r>
      <w:r w:rsidRPr="00173266">
        <w:rPr>
          <w:b/>
          <w:bCs/>
          <w:lang w:val="nl-NL"/>
        </w:rPr>
        <w:t>CNECSDTI</w:t>
      </w:r>
      <w:r w:rsidRPr="00173266">
        <w:rPr>
          <w:lang w:val="nl-NL"/>
        </w:rPr>
        <w:t xml:space="preserve">. Voor klachten tegen leidinggevenden van onderzoeksorganisaties, leden van lokale ethiekcommissies of personen met publieke functies kan de zaak rechtstreeks bij </w:t>
      </w:r>
      <w:r w:rsidRPr="00173266">
        <w:rPr>
          <w:b/>
          <w:bCs/>
          <w:lang w:val="nl-NL"/>
        </w:rPr>
        <w:t>CNECSDTI</w:t>
      </w:r>
      <w:r w:rsidRPr="00173266">
        <w:rPr>
          <w:lang w:val="nl-NL"/>
        </w:rPr>
        <w:t xml:space="preserve"> terechtkomen. De lokale analysecommissie moet binnen 60 dagen rapporteren, de lokale ethiekcommissie beslist vervolgens, en zowel lokale als nationale beslissingen moeten na afronding publiek worden gemaakt. (</w:t>
      </w:r>
      <w:hyperlink r:id="rId7" w:tooltip="https://legislatie.just.ro/Public/DetaliiDocumentAfis/283972" w:history="1">
        <w:r w:rsidRPr="00173266">
          <w:rPr>
            <w:rStyle w:val="Hyperlink"/>
            <w:lang w:val="nl-NL"/>
          </w:rPr>
          <w:t>Legislatie Just</w:t>
        </w:r>
      </w:hyperlink>
      <w:r w:rsidRPr="00173266">
        <w:rPr>
          <w:lang w:val="nl-NL"/>
        </w:rPr>
        <w:t>)</w:t>
      </w:r>
    </w:p>
    <w:p w14:paraId="2A8CA8FE" w14:textId="77777777" w:rsidR="00173266" w:rsidRPr="00173266" w:rsidRDefault="00173266" w:rsidP="00173266">
      <w:pPr>
        <w:rPr>
          <w:lang w:val="nl-NL"/>
        </w:rPr>
      </w:pPr>
      <w:r w:rsidRPr="00173266">
        <w:rPr>
          <w:lang w:val="nl-NL"/>
        </w:rPr>
        <w:t xml:space="preserve">Ook de </w:t>
      </w:r>
      <w:r w:rsidRPr="00173266">
        <w:rPr>
          <w:b/>
          <w:bCs/>
          <w:lang w:val="nl-NL"/>
        </w:rPr>
        <w:t>sancties</w:t>
      </w:r>
      <w:r w:rsidRPr="00173266">
        <w:rPr>
          <w:lang w:val="nl-NL"/>
        </w:rPr>
        <w:t xml:space="preserve"> zijn in Roemenië veel explicieter wettelijk benoemd dan in Nederland. Law 183/2024 noemt onder meer een </w:t>
      </w:r>
      <w:r w:rsidRPr="00173266">
        <w:rPr>
          <w:b/>
          <w:bCs/>
          <w:lang w:val="nl-NL"/>
        </w:rPr>
        <w:t>schriftelijke waarschuwing</w:t>
      </w:r>
      <w:r w:rsidRPr="00173266">
        <w:rPr>
          <w:lang w:val="nl-NL"/>
        </w:rPr>
        <w:t xml:space="preserve">, </w:t>
      </w:r>
      <w:r w:rsidRPr="00173266">
        <w:rPr>
          <w:b/>
          <w:bCs/>
          <w:lang w:val="nl-NL"/>
        </w:rPr>
        <w:t>correctie of intrekking van publicaties</w:t>
      </w:r>
      <w:r w:rsidRPr="00173266">
        <w:rPr>
          <w:lang w:val="nl-NL"/>
        </w:rPr>
        <w:t xml:space="preserve">, verwijdering uit een ethiekcommissie of uit een leidinggevende functie, </w:t>
      </w:r>
      <w:r w:rsidRPr="00173266">
        <w:rPr>
          <w:b/>
          <w:bCs/>
          <w:lang w:val="nl-NL"/>
        </w:rPr>
        <w:t>ontslag</w:t>
      </w:r>
      <w:r w:rsidRPr="00173266">
        <w:rPr>
          <w:lang w:val="nl-NL"/>
        </w:rPr>
        <w:t xml:space="preserve">, tijdelijke uitsluiting van publiek gefinancierde competities, uitsluiting uit een lopend project, stopzetting van een project en zelfs </w:t>
      </w:r>
      <w:r w:rsidRPr="00173266">
        <w:rPr>
          <w:b/>
          <w:bCs/>
          <w:lang w:val="nl-NL"/>
        </w:rPr>
        <w:t>terugbetaling van verkregen publieke middelen</w:t>
      </w:r>
      <w:r w:rsidRPr="00173266">
        <w:rPr>
          <w:lang w:val="nl-NL"/>
        </w:rPr>
        <w:t>. Methodologisch is dat belangrijk, omdat je hier niet alleen normen en procedures hebt, maar ook een wettelijk geformaliseerd sanctierepertoire. (</w:t>
      </w:r>
      <w:hyperlink r:id="rId8" w:tooltip="https://legislatie.just.ro/Public/DetaliiDocumentAfis/283972" w:history="1">
        <w:r w:rsidRPr="00173266">
          <w:rPr>
            <w:rStyle w:val="Hyperlink"/>
            <w:lang w:val="nl-NL"/>
          </w:rPr>
          <w:t>Legislatie Just</w:t>
        </w:r>
      </w:hyperlink>
      <w:r w:rsidRPr="00173266">
        <w:rPr>
          <w:lang w:val="nl-NL"/>
        </w:rPr>
        <w:t>)</w:t>
      </w:r>
    </w:p>
    <w:p w14:paraId="713BD2F1" w14:textId="77777777" w:rsidR="00173266" w:rsidRPr="00173266" w:rsidRDefault="00173266" w:rsidP="00173266">
      <w:pPr>
        <w:rPr>
          <w:lang w:val="nl-NL"/>
        </w:rPr>
      </w:pPr>
      <w:r w:rsidRPr="00173266">
        <w:rPr>
          <w:lang w:val="nl-NL"/>
        </w:rPr>
        <w:lastRenderedPageBreak/>
        <w:t xml:space="preserve">De nationale spil in deze laag is </w:t>
      </w:r>
      <w:r w:rsidRPr="00173266">
        <w:rPr>
          <w:b/>
          <w:bCs/>
          <w:lang w:val="nl-NL"/>
        </w:rPr>
        <w:t>CNECSDTI</w:t>
      </w:r>
      <w:r w:rsidRPr="00173266">
        <w:rPr>
          <w:lang w:val="nl-NL"/>
        </w:rPr>
        <w:t xml:space="preserve">. Het reglement van 2024 omschrijft CNECSDTI als een </w:t>
      </w:r>
      <w:r w:rsidRPr="00173266">
        <w:rPr>
          <w:b/>
          <w:bCs/>
          <w:lang w:val="nl-NL"/>
        </w:rPr>
        <w:t>nationaal consultatief orgaan</w:t>
      </w:r>
      <w:r w:rsidRPr="00173266">
        <w:rPr>
          <w:lang w:val="nl-NL"/>
        </w:rPr>
        <w:t xml:space="preserve"> zonder rechtspersoonlijkheid, belast met coördinatie en monitoring van morele en professionele gedragsnormen in CDI. Het orgaan heeft </w:t>
      </w:r>
      <w:r w:rsidRPr="00173266">
        <w:rPr>
          <w:b/>
          <w:bCs/>
          <w:lang w:val="nl-NL"/>
        </w:rPr>
        <w:t>23 leden</w:t>
      </w:r>
      <w:r w:rsidRPr="00173266">
        <w:rPr>
          <w:lang w:val="nl-NL"/>
        </w:rPr>
        <w:t xml:space="preserve">, een technisch secretariaat in de overheidsstructuur, vaste vertegenwoordiging uit verschillende typen onderzoeksorganisaties, en moet zijn </w:t>
      </w:r>
      <w:r w:rsidRPr="00173266">
        <w:rPr>
          <w:b/>
          <w:bCs/>
          <w:lang w:val="nl-NL"/>
        </w:rPr>
        <w:t>jaarlijkse activiteitenrapport</w:t>
      </w:r>
      <w:r w:rsidRPr="00173266">
        <w:rPr>
          <w:lang w:val="nl-NL"/>
        </w:rPr>
        <w:t xml:space="preserve"> en zijn </w:t>
      </w:r>
      <w:r w:rsidRPr="00173266">
        <w:rPr>
          <w:b/>
          <w:bCs/>
          <w:lang w:val="nl-NL"/>
        </w:rPr>
        <w:t>hotărâri/decisions</w:t>
      </w:r>
      <w:r w:rsidRPr="00173266">
        <w:rPr>
          <w:lang w:val="nl-NL"/>
        </w:rPr>
        <w:t xml:space="preserve"> op de eigen website publiceren. De CNECSDTI-site publiceert bovendien daadwerkelijk beslissingen en finale rapporten, en de actuele samenstelling is in 2025 opnieuw formeel vastgesteld. (</w:t>
      </w:r>
      <w:hyperlink r:id="rId9" w:tooltip="https://www.research.gov.ro/wp-content/uploads/2025/04/OMEC_21343_2025-MO.pdf" w:history="1">
        <w:r w:rsidRPr="00173266">
          <w:rPr>
            <w:rStyle w:val="Hyperlink"/>
            <w:lang w:val="nl-NL"/>
          </w:rPr>
          <w:t>Research.gov.ro</w:t>
        </w:r>
      </w:hyperlink>
      <w:r w:rsidRPr="00173266">
        <w:rPr>
          <w:lang w:val="nl-NL"/>
        </w:rPr>
        <w:t>)</w:t>
      </w:r>
    </w:p>
    <w:p w14:paraId="1F184A02" w14:textId="77777777" w:rsidR="00173266" w:rsidRPr="00173266" w:rsidRDefault="00173266" w:rsidP="00173266">
      <w:pPr>
        <w:rPr>
          <w:lang w:val="nl-NL"/>
        </w:rPr>
      </w:pPr>
      <w:r w:rsidRPr="00173266">
        <w:rPr>
          <w:lang w:val="nl-NL"/>
        </w:rPr>
        <w:t xml:space="preserve">Een extra nationaal zwaartepunt is dat Roemenië </w:t>
      </w:r>
      <w:r w:rsidRPr="00173266">
        <w:rPr>
          <w:b/>
          <w:bCs/>
          <w:lang w:val="nl-NL"/>
        </w:rPr>
        <w:t>eind 2025</w:t>
      </w:r>
      <w:r w:rsidRPr="00173266">
        <w:rPr>
          <w:lang w:val="nl-NL"/>
        </w:rPr>
        <w:t xml:space="preserve"> een nieuwe </w:t>
      </w:r>
      <w:r w:rsidRPr="00173266">
        <w:rPr>
          <w:b/>
          <w:bCs/>
          <w:lang w:val="nl-NL"/>
        </w:rPr>
        <w:t>Codul național de etică și bună conduită în cercetare, dezvoltare și inovare</w:t>
      </w:r>
      <w:r w:rsidRPr="00173266">
        <w:rPr>
          <w:lang w:val="nl-NL"/>
        </w:rPr>
        <w:t xml:space="preserve"> heeft vastgesteld, samen met vier domeinspecifieke ethiekcodes. Officiële communicatie rond de code noemt principes als </w:t>
      </w:r>
      <w:r w:rsidRPr="00173266">
        <w:rPr>
          <w:b/>
          <w:bCs/>
          <w:lang w:val="nl-NL"/>
        </w:rPr>
        <w:t>vrijheid van onderzoek, professionele integriteit, transparantie, billijkheid en verantwoordelijkheid</w:t>
      </w:r>
      <w:r w:rsidRPr="00173266">
        <w:rPr>
          <w:lang w:val="nl-NL"/>
        </w:rPr>
        <w:t>. Dat maakt Roemenië bijzonder interessant als pilotland, omdat de nationale normatieve kern juist nu zichtbaar is vernieuwd en dus als actuele bronlaag kan worden verzameld. (</w:t>
      </w:r>
      <w:hyperlink r:id="rId10" w:tooltip="https://cnecsdti.research.gov.ro/codul-national-de-etica/" w:history="1">
        <w:r w:rsidRPr="00173266">
          <w:rPr>
            <w:rStyle w:val="Hyperlink"/>
            <w:lang w:val="nl-NL"/>
          </w:rPr>
          <w:t>cnecsdti.research.gov.ro</w:t>
        </w:r>
      </w:hyperlink>
      <w:r w:rsidRPr="00173266">
        <w:rPr>
          <w:lang w:val="nl-NL"/>
        </w:rPr>
        <w:t>)</w:t>
      </w:r>
    </w:p>
    <w:p w14:paraId="01DBFC48" w14:textId="77777777" w:rsidR="00173266" w:rsidRPr="00173266" w:rsidRDefault="00173266" w:rsidP="00173266">
      <w:pPr>
        <w:rPr>
          <w:lang w:val="nl-NL"/>
        </w:rPr>
      </w:pPr>
      <w:r w:rsidRPr="00173266">
        <w:rPr>
          <w:lang w:val="nl-NL"/>
        </w:rPr>
        <w:t xml:space="preserve">Daaromheen zie je een sterk </w:t>
      </w:r>
      <w:r w:rsidRPr="00173266">
        <w:rPr>
          <w:b/>
          <w:bCs/>
          <w:lang w:val="nl-NL"/>
        </w:rPr>
        <w:t>staatsgerichte onderzoeksarchitectuur</w:t>
      </w:r>
      <w:r w:rsidRPr="00173266">
        <w:rPr>
          <w:lang w:val="nl-NL"/>
        </w:rPr>
        <w:t xml:space="preserve">. De huidige administratieve spil is de </w:t>
      </w:r>
      <w:r w:rsidRPr="00173266">
        <w:rPr>
          <w:b/>
          <w:bCs/>
          <w:lang w:val="nl-NL"/>
        </w:rPr>
        <w:t>Autoritatea Națională pentru Cercetare (ANC)</w:t>
      </w:r>
      <w:r w:rsidRPr="00173266">
        <w:rPr>
          <w:lang w:val="nl-NL"/>
        </w:rPr>
        <w:t xml:space="preserve">, die volgens de huidige overheidsbesluiten een gespecialiseerde centrale overheidsinstantie onder het </w:t>
      </w:r>
      <w:r w:rsidRPr="00173266">
        <w:rPr>
          <w:b/>
          <w:bCs/>
          <w:lang w:val="nl-NL"/>
        </w:rPr>
        <w:t>Ministerie van Onderwijs en Onderzoek</w:t>
      </w:r>
      <w:r w:rsidRPr="00173266">
        <w:rPr>
          <w:lang w:val="nl-NL"/>
        </w:rPr>
        <w:t xml:space="preserve"> is. In diezelfde orbit zitten consultatieve organen als </w:t>
      </w:r>
      <w:r w:rsidRPr="00173266">
        <w:rPr>
          <w:b/>
          <w:bCs/>
          <w:lang w:val="nl-NL"/>
        </w:rPr>
        <w:t>CNCS</w:t>
      </w:r>
      <w:r w:rsidRPr="00173266">
        <w:rPr>
          <w:lang w:val="nl-NL"/>
        </w:rPr>
        <w:t xml:space="preserve"> en </w:t>
      </w:r>
      <w:r w:rsidRPr="00173266">
        <w:rPr>
          <w:b/>
          <w:bCs/>
          <w:lang w:val="nl-NL"/>
        </w:rPr>
        <w:t>CCCDI</w:t>
      </w:r>
      <w:r w:rsidRPr="00173266">
        <w:rPr>
          <w:lang w:val="nl-NL"/>
        </w:rPr>
        <w:t xml:space="preserve">, terwijl </w:t>
      </w:r>
      <w:r w:rsidRPr="00173266">
        <w:rPr>
          <w:b/>
          <w:bCs/>
          <w:lang w:val="nl-NL"/>
        </w:rPr>
        <w:t>UEFISCDI</w:t>
      </w:r>
      <w:r w:rsidRPr="00173266">
        <w:rPr>
          <w:lang w:val="nl-NL"/>
        </w:rPr>
        <w:t xml:space="preserve"> de uitvoerende financierings- en implementatielaag vormt. Het officiële onderzoeksportaal beschrijft het nationale CDI-systeem bovendien als een breed veld van universiteiten, nationale instituten, academie-instituten en andere publieke en private onderzoeksorganisaties. (</w:t>
      </w:r>
      <w:hyperlink r:id="rId11" w:tooltip="https://www.research.gov.ro/wp-content/uploads/2025/03/HG-188-27.02.2025.pdf" w:history="1">
        <w:r w:rsidRPr="00173266">
          <w:rPr>
            <w:rStyle w:val="Hyperlink"/>
            <w:lang w:val="nl-NL"/>
          </w:rPr>
          <w:t>Research.gov.ro</w:t>
        </w:r>
      </w:hyperlink>
      <w:r w:rsidRPr="00173266">
        <w:rPr>
          <w:lang w:val="nl-NL"/>
        </w:rPr>
        <w:t>)</w:t>
      </w:r>
    </w:p>
    <w:p w14:paraId="6F6A098E" w14:textId="77777777" w:rsidR="00173266" w:rsidRPr="00173266" w:rsidRDefault="00173266" w:rsidP="00173266">
      <w:pPr>
        <w:rPr>
          <w:lang w:val="nl-NL"/>
        </w:rPr>
      </w:pPr>
      <w:r w:rsidRPr="00173266">
        <w:rPr>
          <w:lang w:val="nl-NL"/>
        </w:rPr>
        <w:t xml:space="preserve">Voor jouw bronkaart is vervolgens de </w:t>
      </w:r>
      <w:r w:rsidRPr="00173266">
        <w:rPr>
          <w:b/>
          <w:bCs/>
          <w:lang w:val="nl-NL"/>
        </w:rPr>
        <w:t>universitaire laag</w:t>
      </w:r>
      <w:r w:rsidRPr="00173266">
        <w:rPr>
          <w:lang w:val="nl-NL"/>
        </w:rPr>
        <w:t xml:space="preserve"> minstens zo belangrijk, maar juridisch anders ingericht. </w:t>
      </w:r>
      <w:r w:rsidRPr="00173266">
        <w:rPr>
          <w:b/>
          <w:bCs/>
          <w:lang w:val="nl-NL"/>
        </w:rPr>
        <w:t>Law 199/2023</w:t>
      </w:r>
      <w:r w:rsidRPr="00173266">
        <w:rPr>
          <w:lang w:val="nl-NL"/>
        </w:rPr>
        <w:t xml:space="preserve"> verplicht universiteiten om een </w:t>
      </w:r>
      <w:r w:rsidRPr="00173266">
        <w:rPr>
          <w:b/>
          <w:bCs/>
          <w:lang w:val="nl-NL"/>
        </w:rPr>
        <w:t>onafhankelijke university ethics commission</w:t>
      </w:r>
      <w:r w:rsidRPr="00173266">
        <w:rPr>
          <w:lang w:val="nl-NL"/>
        </w:rPr>
        <w:t xml:space="preserve"> in te stellen, met een mandaat van vier jaar en met daarbinnen een </w:t>
      </w:r>
      <w:r w:rsidRPr="00173266">
        <w:rPr>
          <w:b/>
          <w:bCs/>
          <w:lang w:val="nl-NL"/>
        </w:rPr>
        <w:t>speciale subcommissie voor research ethics</w:t>
      </w:r>
      <w:r w:rsidRPr="00173266">
        <w:rPr>
          <w:lang w:val="nl-NL"/>
        </w:rPr>
        <w:t xml:space="preserve">. Die commissie behandelt klachten, kan ook ambtshalve optreden, moet een </w:t>
      </w:r>
      <w:r w:rsidRPr="00173266">
        <w:rPr>
          <w:b/>
          <w:bCs/>
          <w:lang w:val="nl-NL"/>
        </w:rPr>
        <w:t>jaarlijks openbaar rapport</w:t>
      </w:r>
      <w:r w:rsidRPr="00173266">
        <w:rPr>
          <w:lang w:val="nl-NL"/>
        </w:rPr>
        <w:t xml:space="preserve"> publiceren, en haar beslissingen worden juridisch getoetst door de juridische dienst van de instelling, terwijl de juridische verantwoordelijkheid bij de universiteit zelf blijft. (</w:t>
      </w:r>
      <w:hyperlink r:id="rId12" w:tooltip="https://edu.ro/sites/default/files/_fi%C8%99iere/Minister/2023/Legi_educatie_Romania_educata/legi_monitor/Legea_invatamantului_superior_nr_199.pdf" w:history="1">
        <w:r w:rsidRPr="00173266">
          <w:rPr>
            <w:rStyle w:val="Hyperlink"/>
            <w:lang w:val="nl-NL"/>
          </w:rPr>
          <w:t>Edu.ro</w:t>
        </w:r>
      </w:hyperlink>
      <w:r w:rsidRPr="00173266">
        <w:rPr>
          <w:lang w:val="nl-NL"/>
        </w:rPr>
        <w:t>)</w:t>
      </w:r>
    </w:p>
    <w:p w14:paraId="51FD7DA8" w14:textId="77777777" w:rsidR="00173266" w:rsidRPr="00173266" w:rsidRDefault="00173266" w:rsidP="00173266">
      <w:pPr>
        <w:rPr>
          <w:lang w:val="nl-NL"/>
        </w:rPr>
      </w:pPr>
      <w:r w:rsidRPr="00173266">
        <w:rPr>
          <w:lang w:val="nl-NL"/>
        </w:rPr>
        <w:t xml:space="preserve">De universitaire regels zijn sinds 2024 ook verder geüniformeerd. Het </w:t>
      </w:r>
      <w:r w:rsidRPr="00173266">
        <w:rPr>
          <w:b/>
          <w:bCs/>
          <w:lang w:val="nl-NL"/>
        </w:rPr>
        <w:t>framework code of university ethics and deontology</w:t>
      </w:r>
      <w:r w:rsidRPr="00173266">
        <w:rPr>
          <w:lang w:val="nl-NL"/>
        </w:rPr>
        <w:t xml:space="preserve"> en het </w:t>
      </w:r>
      <w:r w:rsidRPr="00173266">
        <w:rPr>
          <w:b/>
          <w:bCs/>
          <w:lang w:val="nl-NL"/>
        </w:rPr>
        <w:t>framework regulation</w:t>
      </w:r>
      <w:r w:rsidRPr="00173266">
        <w:rPr>
          <w:lang w:val="nl-NL"/>
        </w:rPr>
        <w:t xml:space="preserve"> voor university ethics commissions schrijven voor dat elke universiteit een eigen code en een eigen reglement moet hebben, maar binnen een nationaal kader. Opvallend is hoe breed de research-ethics-subcommissie daar wordt gedefinieerd: zij bestrijkt </w:t>
      </w:r>
      <w:r w:rsidRPr="00173266">
        <w:rPr>
          <w:b/>
          <w:bCs/>
          <w:lang w:val="nl-NL"/>
        </w:rPr>
        <w:t xml:space="preserve">auteurschap en publicatie, waardigheid van deelnemers, onderzoek met menselijke </w:t>
      </w:r>
      <w:r w:rsidRPr="00173266">
        <w:rPr>
          <w:b/>
          <w:bCs/>
          <w:lang w:val="nl-NL"/>
        </w:rPr>
        <w:lastRenderedPageBreak/>
        <w:t>proefpersonen, dierproeven, bio-ethische normen, onderzoeksdata, samenwerking, belangenconflicten, fraude, research environments en het voorkomen van schade in onderzoek en innovatie</w:t>
      </w:r>
      <w:r w:rsidRPr="00173266">
        <w:rPr>
          <w:lang w:val="nl-NL"/>
        </w:rPr>
        <w:t xml:space="preserve">. Daarmee is de universitaire laag in Roemenië niet alleen een klachtenmachine, maar ook een formele </w:t>
      </w:r>
      <w:r w:rsidRPr="00173266">
        <w:rPr>
          <w:b/>
          <w:bCs/>
          <w:lang w:val="nl-NL"/>
        </w:rPr>
        <w:t>lokale research-ethics infrastructuur</w:t>
      </w:r>
      <w:r w:rsidRPr="00173266">
        <w:rPr>
          <w:lang w:val="nl-NL"/>
        </w:rPr>
        <w:t>. (</w:t>
      </w:r>
      <w:hyperlink r:id="rId13" w:tooltip="https://www.ubbcluj.ro/ro/despre/organizare/files/etica/Codul-cadru_de_etic%C4%83_%C5%9Fi_deontologie_universitar%C4%83.pdf" w:history="1">
        <w:r w:rsidRPr="00173266">
          <w:rPr>
            <w:rStyle w:val="Hyperlink"/>
            <w:lang w:val="nl-NL"/>
          </w:rPr>
          <w:t>Universitatea Babeș-Bolyai</w:t>
        </w:r>
      </w:hyperlink>
      <w:r w:rsidRPr="00173266">
        <w:rPr>
          <w:lang w:val="nl-NL"/>
        </w:rPr>
        <w:t>)</w:t>
      </w:r>
    </w:p>
    <w:p w14:paraId="04CA642F" w14:textId="77777777" w:rsidR="00173266" w:rsidRPr="00173266" w:rsidRDefault="00173266" w:rsidP="00173266">
      <w:pPr>
        <w:rPr>
          <w:lang w:val="nl-NL"/>
        </w:rPr>
      </w:pPr>
      <w:r w:rsidRPr="00173266">
        <w:rPr>
          <w:lang w:val="nl-NL"/>
        </w:rPr>
        <w:t xml:space="preserve">Een belangrijk analytisch detail is dat de </w:t>
      </w:r>
      <w:r w:rsidRPr="00173266">
        <w:rPr>
          <w:b/>
          <w:bCs/>
          <w:lang w:val="nl-NL"/>
        </w:rPr>
        <w:t>beroepsroutes in universiteiten gesplitst zijn naar onderwerp</w:t>
      </w:r>
      <w:r w:rsidRPr="00173266">
        <w:rPr>
          <w:lang w:val="nl-NL"/>
        </w:rPr>
        <w:t xml:space="preserve">. Law 199/2023 bepaalt dat beslissingen van universiteitscommissies binnen 30 dagen kunnen worden aangevochten bij </w:t>
      </w:r>
      <w:r w:rsidRPr="00173266">
        <w:rPr>
          <w:b/>
          <w:bCs/>
          <w:lang w:val="nl-NL"/>
        </w:rPr>
        <w:t>CNATDCU</w:t>
      </w:r>
      <w:r w:rsidRPr="00173266">
        <w:rPr>
          <w:lang w:val="nl-NL"/>
        </w:rPr>
        <w:t xml:space="preserve">, </w:t>
      </w:r>
      <w:r w:rsidRPr="00173266">
        <w:rPr>
          <w:b/>
          <w:bCs/>
          <w:lang w:val="nl-NL"/>
        </w:rPr>
        <w:t>CNEMU</w:t>
      </w:r>
      <w:r w:rsidRPr="00173266">
        <w:rPr>
          <w:lang w:val="nl-NL"/>
        </w:rPr>
        <w:t xml:space="preserve"> of </w:t>
      </w:r>
      <w:r w:rsidRPr="00173266">
        <w:rPr>
          <w:b/>
          <w:bCs/>
          <w:lang w:val="nl-NL"/>
        </w:rPr>
        <w:t>CNECSDTI</w:t>
      </w:r>
      <w:r w:rsidRPr="00173266">
        <w:rPr>
          <w:lang w:val="nl-NL"/>
        </w:rPr>
        <w:t xml:space="preserve">, afhankelijk van waar de kwestie over gaat. </w:t>
      </w:r>
      <w:r w:rsidRPr="00173266">
        <w:rPr>
          <w:b/>
          <w:bCs/>
          <w:lang w:val="nl-NL"/>
        </w:rPr>
        <w:t>CNEMU</w:t>
      </w:r>
      <w:r w:rsidRPr="00173266">
        <w:rPr>
          <w:lang w:val="nl-NL"/>
        </w:rPr>
        <w:t xml:space="preserve"> krijgt in diezelfde wet een expliciete rol rond de ethiek van universitair bestuur en publieke verantwoordelijkheid, inclusief auditing van university ethics commissions; </w:t>
      </w:r>
      <w:r w:rsidRPr="00173266">
        <w:rPr>
          <w:b/>
          <w:bCs/>
          <w:lang w:val="nl-NL"/>
        </w:rPr>
        <w:t>CNATDCU</w:t>
      </w:r>
      <w:r w:rsidRPr="00173266">
        <w:rPr>
          <w:lang w:val="nl-NL"/>
        </w:rPr>
        <w:t xml:space="preserve"> blijft relevant voor graden, doctoraten en plagiaat in doctoraatstrajecten. Dat maakt Roemenië dus niet alleen nationaal–lokaal gesplitst, maar ook </w:t>
      </w:r>
      <w:r w:rsidRPr="00173266">
        <w:rPr>
          <w:b/>
          <w:bCs/>
          <w:lang w:val="nl-NL"/>
        </w:rPr>
        <w:t>functioneel gesplitst per type integriteitsprobleem</w:t>
      </w:r>
      <w:r w:rsidRPr="00173266">
        <w:rPr>
          <w:lang w:val="nl-NL"/>
        </w:rPr>
        <w:t>. (</w:t>
      </w:r>
      <w:hyperlink r:id="rId14" w:tooltip="https://edu.ro/sites/default/files/_fi%C8%99iere/Minister/2023/Legi_educatie_Romania_educata/legi_monitor/Legea_invatamantului_superior_nr_199.pdf" w:history="1">
        <w:r w:rsidRPr="00173266">
          <w:rPr>
            <w:rStyle w:val="Hyperlink"/>
            <w:lang w:val="nl-NL"/>
          </w:rPr>
          <w:t>Edu.ro</w:t>
        </w:r>
      </w:hyperlink>
      <w:r w:rsidRPr="00173266">
        <w:rPr>
          <w:lang w:val="nl-NL"/>
        </w:rPr>
        <w:t>)</w:t>
      </w:r>
    </w:p>
    <w:p w14:paraId="637223DB" w14:textId="77777777" w:rsidR="00173266" w:rsidRPr="00173266" w:rsidRDefault="00173266" w:rsidP="00173266">
      <w:pPr>
        <w:rPr>
          <w:lang w:val="nl-NL"/>
        </w:rPr>
      </w:pPr>
      <w:r w:rsidRPr="00173266">
        <w:rPr>
          <w:lang w:val="nl-NL"/>
        </w:rPr>
        <w:t xml:space="preserve">Op instellingsniveau zie je vervolgens veel bruikbare bronsoorten. De </w:t>
      </w:r>
      <w:r w:rsidRPr="00173266">
        <w:rPr>
          <w:b/>
          <w:bCs/>
          <w:lang w:val="nl-NL"/>
        </w:rPr>
        <w:t>University of Bucharest</w:t>
      </w:r>
      <w:r w:rsidRPr="00173266">
        <w:rPr>
          <w:lang w:val="nl-NL"/>
        </w:rPr>
        <w:t xml:space="preserve"> heeft een centrale ethics commission, een aparte </w:t>
      </w:r>
      <w:r w:rsidRPr="00173266">
        <w:rPr>
          <w:b/>
          <w:bCs/>
          <w:lang w:val="nl-NL"/>
        </w:rPr>
        <w:t>Research Ethics Commission</w:t>
      </w:r>
      <w:r w:rsidRPr="00173266">
        <w:rPr>
          <w:lang w:val="nl-NL"/>
        </w:rPr>
        <w:t xml:space="preserve">, een eigen reglement en een publieke pagina met behandelde zaken. </w:t>
      </w:r>
      <w:r w:rsidRPr="00173266">
        <w:rPr>
          <w:b/>
          <w:bCs/>
          <w:lang w:val="nl-NL"/>
        </w:rPr>
        <w:t>Babeș-Bolyai University</w:t>
      </w:r>
      <w:r w:rsidRPr="00173266">
        <w:rPr>
          <w:lang w:val="nl-NL"/>
        </w:rPr>
        <w:t xml:space="preserve"> publiceert een code en noemt sancties voor research misconduct; </w:t>
      </w:r>
      <w:r w:rsidRPr="00173266">
        <w:rPr>
          <w:b/>
          <w:bCs/>
          <w:lang w:val="nl-NL"/>
        </w:rPr>
        <w:t>POLITEHNICA București</w:t>
      </w:r>
      <w:r w:rsidRPr="00173266">
        <w:rPr>
          <w:lang w:val="nl-NL"/>
        </w:rPr>
        <w:t xml:space="preserve"> noemt expliciet een research-ethics/bio-ethics subcommissie; en </w:t>
      </w:r>
      <w:r w:rsidRPr="00173266">
        <w:rPr>
          <w:b/>
          <w:bCs/>
          <w:lang w:val="nl-NL"/>
        </w:rPr>
        <w:t>UMF Carol Davila</w:t>
      </w:r>
      <w:r w:rsidRPr="00173266">
        <w:rPr>
          <w:lang w:val="nl-NL"/>
        </w:rPr>
        <w:t xml:space="preserve"> heeft een onafhankelijke university ethics and deontology commission met een eigen reglement gebaseerd op Law 199/2023. Voor jouw project is dat perfect, omdat je hier precies de documenten vindt die je zoekt: code, reglement, commissiepagina, casuspagina en soms een aparte research-ethics structuur. (</w:t>
      </w:r>
      <w:hyperlink r:id="rId15" w:tooltip="https://unibuc.ro/despre-ub/organizare/comisii/comisia-de-etica/" w:history="1">
        <w:r w:rsidRPr="00173266">
          <w:rPr>
            <w:rStyle w:val="Hyperlink"/>
            <w:lang w:val="nl-NL"/>
          </w:rPr>
          <w:t>Unibuc</w:t>
        </w:r>
      </w:hyperlink>
      <w:r w:rsidRPr="00173266">
        <w:rPr>
          <w:lang w:val="nl-NL"/>
        </w:rPr>
        <w:t>)</w:t>
      </w:r>
    </w:p>
    <w:p w14:paraId="2CD67F06" w14:textId="77777777" w:rsidR="00173266" w:rsidRPr="00173266" w:rsidRDefault="00173266" w:rsidP="00173266">
      <w:pPr>
        <w:rPr>
          <w:lang w:val="nl-NL"/>
        </w:rPr>
      </w:pPr>
      <w:r w:rsidRPr="00173266">
        <w:rPr>
          <w:lang w:val="nl-NL"/>
        </w:rPr>
        <w:t xml:space="preserve">Buiten de universiteiten zie je hetzelfde patroon terugkeren bij andere onderzoeksorganisaties. De </w:t>
      </w:r>
      <w:r w:rsidRPr="00173266">
        <w:rPr>
          <w:b/>
          <w:bCs/>
          <w:lang w:val="nl-NL"/>
        </w:rPr>
        <w:t>Romanian Academy</w:t>
      </w:r>
      <w:r w:rsidRPr="00173266">
        <w:rPr>
          <w:lang w:val="nl-NL"/>
        </w:rPr>
        <w:t xml:space="preserve"> beschrijft zichzelf als een grote pijler van het nationale onderzoekssysteem en vermeldt een netwerk van </w:t>
      </w:r>
      <w:r w:rsidRPr="00173266">
        <w:rPr>
          <w:b/>
          <w:bCs/>
          <w:lang w:val="nl-NL"/>
        </w:rPr>
        <w:t>70 instituten en centra</w:t>
      </w:r>
      <w:r w:rsidRPr="00173266">
        <w:rPr>
          <w:lang w:val="nl-NL"/>
        </w:rPr>
        <w:t xml:space="preserve">; op instituutsniveau zijn er eigen </w:t>
      </w:r>
      <w:r w:rsidRPr="00173266">
        <w:rPr>
          <w:b/>
          <w:bCs/>
          <w:lang w:val="nl-NL"/>
        </w:rPr>
        <w:t>codes of ethics and integrity in scientific research</w:t>
      </w:r>
      <w:r w:rsidRPr="00173266">
        <w:rPr>
          <w:lang w:val="nl-NL"/>
        </w:rPr>
        <w:t xml:space="preserve"> te vinden. Ook instellingen als </w:t>
      </w:r>
      <w:r w:rsidRPr="00173266">
        <w:rPr>
          <w:b/>
          <w:bCs/>
          <w:lang w:val="nl-NL"/>
        </w:rPr>
        <w:t>ICI București</w:t>
      </w:r>
      <w:r w:rsidRPr="00173266">
        <w:rPr>
          <w:lang w:val="nl-NL"/>
        </w:rPr>
        <w:t xml:space="preserve"> publiceren eigen ethiekcodes. Dat bevestigt dat de CDI-laag in Roemenië niet abstract of uitsluitend nationaal is, maar lokaal wordt uitgewerkt in afzonderlijke organisaties met eigen documenten en commissies. (</w:t>
      </w:r>
      <w:hyperlink r:id="rId16" w:tooltip="https://acad.ro/institutia/cercetare.html" w:history="1">
        <w:r w:rsidRPr="00173266">
          <w:rPr>
            <w:rStyle w:val="Hyperlink"/>
            <w:lang w:val="nl-NL"/>
          </w:rPr>
          <w:t>Acad.ro</w:t>
        </w:r>
      </w:hyperlink>
      <w:r w:rsidRPr="00173266">
        <w:rPr>
          <w:lang w:val="nl-NL"/>
        </w:rPr>
        <w:t>)</w:t>
      </w:r>
    </w:p>
    <w:p w14:paraId="3BD3C353" w14:textId="77777777" w:rsidR="00173266" w:rsidRPr="00173266" w:rsidRDefault="00173266" w:rsidP="00173266">
      <w:pPr>
        <w:rPr>
          <w:lang w:val="nl-NL"/>
        </w:rPr>
      </w:pPr>
      <w:r w:rsidRPr="00173266">
        <w:rPr>
          <w:lang w:val="nl-NL"/>
        </w:rPr>
        <w:t xml:space="preserve">Net als in Nederland en Denemarken heeft Roemenië daarnaast duidelijke </w:t>
      </w:r>
      <w:r w:rsidRPr="00173266">
        <w:rPr>
          <w:b/>
          <w:bCs/>
          <w:lang w:val="nl-NL"/>
        </w:rPr>
        <w:t>grensregimes</w:t>
      </w:r>
      <w:r w:rsidRPr="00173266">
        <w:rPr>
          <w:lang w:val="nl-NL"/>
        </w:rPr>
        <w:t xml:space="preserve">. Voor </w:t>
      </w:r>
      <w:r w:rsidRPr="00173266">
        <w:rPr>
          <w:b/>
          <w:bCs/>
          <w:lang w:val="nl-NL"/>
        </w:rPr>
        <w:t>klinische onderzoeken en performance studies</w:t>
      </w:r>
      <w:r w:rsidRPr="00173266">
        <w:rPr>
          <w:lang w:val="nl-NL"/>
        </w:rPr>
        <w:t xml:space="preserve"> is er een aparte bio-ethische infrastructuur rond de nationale geneesmiddelen- en medische-hulpmiddelenautoriteit en de </w:t>
      </w:r>
      <w:r w:rsidRPr="00173266">
        <w:rPr>
          <w:b/>
          <w:bCs/>
          <w:lang w:val="nl-NL"/>
        </w:rPr>
        <w:t>Comisia Națională de Bioetică a Medicamentului și a Dispozitivelor Medicale (CNBMDM)</w:t>
      </w:r>
      <w:r w:rsidRPr="00173266">
        <w:rPr>
          <w:lang w:val="nl-NL"/>
        </w:rPr>
        <w:t xml:space="preserve">. Het gezondheidsministeriële order uit 2023 omschrijft CNBMDM als een </w:t>
      </w:r>
      <w:r w:rsidRPr="00173266">
        <w:rPr>
          <w:b/>
          <w:bCs/>
          <w:lang w:val="nl-NL"/>
        </w:rPr>
        <w:t>onafhankelijk orgaan</w:t>
      </w:r>
      <w:r w:rsidRPr="00173266">
        <w:rPr>
          <w:lang w:val="nl-NL"/>
        </w:rPr>
        <w:t xml:space="preserve"> dat ethische analyses uitvoert en adviezen afgeeft voor klinische studies; de autoriteitspagina’s maken duidelijk dat zulke </w:t>
      </w:r>
      <w:r w:rsidRPr="00173266">
        <w:rPr>
          <w:lang w:val="nl-NL"/>
        </w:rPr>
        <w:lastRenderedPageBreak/>
        <w:t>dossiers een ethisch advies uit dat regime vereisen. Dat is dus geen onderdeel van de kernroute van CNECSDTI of de universiteitscommissies, maar wel een belangrijke parallelle laag van “research ethics” in Roemenië. (</w:t>
      </w:r>
      <w:hyperlink r:id="rId17" w:tooltip="https://www.anm.ro/_/ORDINE/OMS%20nr.%2080-2023.pdf" w:history="1">
        <w:r w:rsidRPr="00173266">
          <w:rPr>
            <w:rStyle w:val="Hyperlink"/>
            <w:lang w:val="nl-NL"/>
          </w:rPr>
          <w:t>ANMDMR</w:t>
        </w:r>
      </w:hyperlink>
      <w:r w:rsidRPr="00173266">
        <w:rPr>
          <w:lang w:val="nl-NL"/>
        </w:rPr>
        <w:t>)</w:t>
      </w:r>
    </w:p>
    <w:p w14:paraId="45F91F31" w14:textId="77777777" w:rsidR="00173266" w:rsidRPr="00173266" w:rsidRDefault="00173266" w:rsidP="00173266">
      <w:pPr>
        <w:rPr>
          <w:lang w:val="nl-NL"/>
        </w:rPr>
      </w:pPr>
      <w:r w:rsidRPr="00173266">
        <w:rPr>
          <w:lang w:val="nl-NL"/>
        </w:rPr>
        <w:t xml:space="preserve">Als ik dit omzet naar </w:t>
      </w:r>
      <w:r w:rsidRPr="00173266">
        <w:rPr>
          <w:b/>
          <w:bCs/>
          <w:lang w:val="nl-NL"/>
        </w:rPr>
        <w:t>documentlabels</w:t>
      </w:r>
      <w:r w:rsidRPr="00173266">
        <w:rPr>
          <w:lang w:val="nl-NL"/>
        </w:rPr>
        <w:t xml:space="preserve">, dan zou ik voor Roemenië voorlopig deze bronsoorten hanteren: </w:t>
      </w:r>
      <w:r w:rsidRPr="00173266">
        <w:rPr>
          <w:b/>
          <w:bCs/>
          <w:lang w:val="nl-NL"/>
        </w:rPr>
        <w:t>constitutive law</w:t>
      </w:r>
      <w:r w:rsidRPr="00173266">
        <w:rPr>
          <w:lang w:val="nl-NL"/>
        </w:rPr>
        <w:t xml:space="preserve"> (Law 183/2024, Law 199/2023); </w:t>
      </w:r>
      <w:r w:rsidRPr="00173266">
        <w:rPr>
          <w:b/>
          <w:bCs/>
          <w:lang w:val="nl-NL"/>
        </w:rPr>
        <w:t>national code</w:t>
      </w:r>
      <w:r w:rsidRPr="00173266">
        <w:rPr>
          <w:lang w:val="nl-NL"/>
        </w:rPr>
        <w:t xml:space="preserve"> (de nationale CDI-code van 2025 en de vier domeincodes); </w:t>
      </w:r>
      <w:r w:rsidRPr="00173266">
        <w:rPr>
          <w:b/>
          <w:bCs/>
          <w:lang w:val="nl-NL"/>
        </w:rPr>
        <w:t>national governance documents</w:t>
      </w:r>
      <w:r w:rsidRPr="00173266">
        <w:rPr>
          <w:lang w:val="nl-NL"/>
        </w:rPr>
        <w:t xml:space="preserve"> (reglement, samenstelling, jaarlijkse rapporten en decisions van CNECSDTI); </w:t>
      </w:r>
      <w:r w:rsidRPr="00173266">
        <w:rPr>
          <w:b/>
          <w:bCs/>
          <w:lang w:val="nl-NL"/>
        </w:rPr>
        <w:t>institutional CDI documents</w:t>
      </w:r>
      <w:r w:rsidRPr="00173266">
        <w:rPr>
          <w:lang w:val="nl-NL"/>
        </w:rPr>
        <w:t xml:space="preserve"> (lokale ethiekcommissies, analysecommissies, publicatie van sancties en lokale codes bij onderzoeksorganisaties); </w:t>
      </w:r>
      <w:r w:rsidRPr="00173266">
        <w:rPr>
          <w:b/>
          <w:bCs/>
          <w:lang w:val="nl-NL"/>
        </w:rPr>
        <w:t>university ethics documents</w:t>
      </w:r>
      <w:r w:rsidRPr="00173266">
        <w:rPr>
          <w:lang w:val="nl-NL"/>
        </w:rPr>
        <w:t xml:space="preserve"> (framework code, framework regulation, lokale university codes, ethics-commission regulations, annual reports, casuspagina’s); </w:t>
      </w:r>
      <w:r w:rsidRPr="00173266">
        <w:rPr>
          <w:b/>
          <w:bCs/>
          <w:lang w:val="nl-NL"/>
        </w:rPr>
        <w:t>degree/plagiarism oversight documents</w:t>
      </w:r>
      <w:r w:rsidRPr="00173266">
        <w:rPr>
          <w:lang w:val="nl-NL"/>
        </w:rPr>
        <w:t xml:space="preserve"> (CNATDCU/CNEMU-gerelateerde stukken); en </w:t>
      </w:r>
      <w:r w:rsidRPr="00173266">
        <w:rPr>
          <w:b/>
          <w:bCs/>
          <w:lang w:val="nl-NL"/>
        </w:rPr>
        <w:t>boundary ethics documents</w:t>
      </w:r>
      <w:r w:rsidRPr="00173266">
        <w:rPr>
          <w:lang w:val="nl-NL"/>
        </w:rPr>
        <w:t xml:space="preserve"> voor klinisch onderzoek en andere gespecialiseerde ethiekregimes. (</w:t>
      </w:r>
      <w:hyperlink r:id="rId18" w:tooltip="https://legislatie.just.ro/Public/DetaliiDocumentAfis/283972" w:history="1">
        <w:r w:rsidRPr="00173266">
          <w:rPr>
            <w:rStyle w:val="Hyperlink"/>
            <w:lang w:val="nl-NL"/>
          </w:rPr>
          <w:t>Legislatie Just</w:t>
        </w:r>
      </w:hyperlink>
      <w:r w:rsidRPr="00173266">
        <w:rPr>
          <w:lang w:val="nl-NL"/>
        </w:rPr>
        <w:t>)</w:t>
      </w:r>
    </w:p>
    <w:p w14:paraId="012E850E" w14:textId="77777777" w:rsidR="00173266" w:rsidRPr="00173266" w:rsidRDefault="00173266" w:rsidP="00173266">
      <w:pPr>
        <w:rPr>
          <w:lang w:val="nl-NL"/>
        </w:rPr>
      </w:pPr>
      <w:r w:rsidRPr="00173266">
        <w:rPr>
          <w:lang w:val="nl-NL"/>
        </w:rPr>
        <w:t xml:space="preserve">Mijn voorlopige totaalbeeld is dus dat </w:t>
      </w:r>
      <w:r w:rsidRPr="00173266">
        <w:rPr>
          <w:b/>
          <w:bCs/>
          <w:lang w:val="nl-NL"/>
        </w:rPr>
        <w:t>Roemenië waarschijnlijk één van de meest juridisch geformaliseerde casussen in jouw vergelijking wordt</w:t>
      </w:r>
      <w:r w:rsidRPr="00173266">
        <w:rPr>
          <w:lang w:val="nl-NL"/>
        </w:rPr>
        <w:t xml:space="preserve">. Het systeem lijkt minder “zelfregulerend” dan Nederland en minder compact-tweesporig dan Denemarken, omdat de </w:t>
      </w:r>
      <w:r w:rsidRPr="00173266">
        <w:rPr>
          <w:b/>
          <w:bCs/>
          <w:lang w:val="nl-NL"/>
        </w:rPr>
        <w:t>scheiding tussen CDI-organisaties en universiteiten al in de wet zit</w:t>
      </w:r>
      <w:r w:rsidRPr="00173266">
        <w:rPr>
          <w:lang w:val="nl-NL"/>
        </w:rPr>
        <w:t xml:space="preserve"> en omdat zowel procedures, sancties, commissies als beroepsroutes sterk gejuridiseerd zijn. Juist daarom is Roemenië analytisch heel waardevol: het laat zien dat “research integrity in Europa” niet alleen varieert in centrale of decentrale organisatie, maar ook in de vraag </w:t>
      </w:r>
      <w:r w:rsidRPr="00173266">
        <w:rPr>
          <w:b/>
          <w:bCs/>
          <w:lang w:val="nl-NL"/>
        </w:rPr>
        <w:t>of het stelsel primair door codes, door instellingen of door formele wetgeving wordt gedragen</w:t>
      </w:r>
      <w:r w:rsidRPr="00173266">
        <w:rPr>
          <w:lang w:val="nl-NL"/>
        </w:rPr>
        <w:t>. (</w:t>
      </w:r>
      <w:hyperlink r:id="rId19" w:tooltip="https://legislatie.just.ro/Public/DetaliiDocumentAfis/283972" w:history="1">
        <w:r w:rsidRPr="00173266">
          <w:rPr>
            <w:rStyle w:val="Hyperlink"/>
            <w:lang w:val="nl-NL"/>
          </w:rPr>
          <w:t>Legislatie Just</w:t>
        </w:r>
      </w:hyperlink>
      <w:r w:rsidRPr="00173266">
        <w:rPr>
          <w:lang w:val="nl-NL"/>
        </w:rPr>
        <w:t>)</w:t>
      </w:r>
    </w:p>
    <w:p w14:paraId="70B30CED" w14:textId="77777777" w:rsidR="00173266" w:rsidRPr="00173266" w:rsidRDefault="00173266" w:rsidP="00173266">
      <w:pPr>
        <w:rPr>
          <w:lang w:val="nl-NL"/>
        </w:rPr>
      </w:pPr>
      <w:r w:rsidRPr="00173266">
        <w:rPr>
          <w:lang w:val="nl-NL"/>
        </w:rPr>
        <w:t xml:space="preserve">De logische volgende stap voor Roemenië is nu een </w:t>
      </w:r>
      <w:r w:rsidRPr="00173266">
        <w:rPr>
          <w:b/>
          <w:bCs/>
          <w:lang w:val="nl-NL"/>
        </w:rPr>
        <w:t>dubbelsample</w:t>
      </w:r>
      <w:r w:rsidRPr="00173266">
        <w:rPr>
          <w:lang w:val="nl-NL"/>
        </w:rPr>
        <w:t xml:space="preserve">: één </w:t>
      </w:r>
      <w:r w:rsidRPr="00173266">
        <w:rPr>
          <w:b/>
          <w:bCs/>
          <w:lang w:val="nl-NL"/>
        </w:rPr>
        <w:t>niet-universitaire onderzoeksorganisatie</w:t>
      </w:r>
      <w:r w:rsidRPr="00173266">
        <w:rPr>
          <w:lang w:val="nl-NL"/>
        </w:rPr>
        <w:t xml:space="preserve"> en één </w:t>
      </w:r>
      <w:r w:rsidRPr="00173266">
        <w:rPr>
          <w:b/>
          <w:bCs/>
          <w:lang w:val="nl-NL"/>
        </w:rPr>
        <w:t>universiteit</w:t>
      </w:r>
      <w:r w:rsidRPr="00173266">
        <w:rPr>
          <w:lang w:val="nl-NL"/>
        </w:rPr>
        <w:t xml:space="preserve"> volledig uitpluizen. Daarmee zie je meteen hoe ver het nationale wettelijk kader lokaal echt wordt vertaald.</w:t>
      </w:r>
    </w:p>
    <w:p w14:paraId="3E9E76F8" w14:textId="77777777" w:rsidR="00407C7C" w:rsidRPr="00173266" w:rsidRDefault="00407C7C">
      <w:pPr>
        <w:rPr>
          <w:lang w:val="nl-NL"/>
        </w:rPr>
      </w:pPr>
    </w:p>
    <w:sectPr w:rsidR="00407C7C" w:rsidRPr="00173266"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850"/>
    <w:rsid w:val="00173266"/>
    <w:rsid w:val="001E528E"/>
    <w:rsid w:val="0023427A"/>
    <w:rsid w:val="002551AA"/>
    <w:rsid w:val="00273D29"/>
    <w:rsid w:val="002E5AD9"/>
    <w:rsid w:val="0036154D"/>
    <w:rsid w:val="00392002"/>
    <w:rsid w:val="00394BCE"/>
    <w:rsid w:val="00407C7C"/>
    <w:rsid w:val="00461850"/>
    <w:rsid w:val="004E2765"/>
    <w:rsid w:val="006846CA"/>
    <w:rsid w:val="00703CEF"/>
    <w:rsid w:val="007A24AA"/>
    <w:rsid w:val="00825535"/>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7D67"/>
  <w15:chartTrackingRefBased/>
  <w15:docId w15:val="{2D57033D-443E-4E6E-ABCA-903AFF78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850"/>
    <w:rPr>
      <w:rFonts w:eastAsiaTheme="majorEastAsia" w:cstheme="majorBidi"/>
      <w:color w:val="272727" w:themeColor="text1" w:themeTint="D8"/>
    </w:rPr>
  </w:style>
  <w:style w:type="paragraph" w:styleId="Title">
    <w:name w:val="Title"/>
    <w:basedOn w:val="Normal"/>
    <w:next w:val="Normal"/>
    <w:link w:val="TitleChar"/>
    <w:uiPriority w:val="10"/>
    <w:qFormat/>
    <w:rsid w:val="00461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850"/>
    <w:pPr>
      <w:spacing w:before="160"/>
      <w:jc w:val="center"/>
    </w:pPr>
    <w:rPr>
      <w:i/>
      <w:iCs/>
      <w:color w:val="404040" w:themeColor="text1" w:themeTint="BF"/>
    </w:rPr>
  </w:style>
  <w:style w:type="character" w:customStyle="1" w:styleId="QuoteChar">
    <w:name w:val="Quote Char"/>
    <w:basedOn w:val="DefaultParagraphFont"/>
    <w:link w:val="Quote"/>
    <w:uiPriority w:val="29"/>
    <w:rsid w:val="00461850"/>
    <w:rPr>
      <w:i/>
      <w:iCs/>
      <w:color w:val="404040" w:themeColor="text1" w:themeTint="BF"/>
    </w:rPr>
  </w:style>
  <w:style w:type="paragraph" w:styleId="ListParagraph">
    <w:name w:val="List Paragraph"/>
    <w:basedOn w:val="Normal"/>
    <w:uiPriority w:val="34"/>
    <w:qFormat/>
    <w:rsid w:val="00461850"/>
    <w:pPr>
      <w:ind w:left="720"/>
      <w:contextualSpacing/>
    </w:pPr>
  </w:style>
  <w:style w:type="character" w:styleId="IntenseEmphasis">
    <w:name w:val="Intense Emphasis"/>
    <w:basedOn w:val="DefaultParagraphFont"/>
    <w:uiPriority w:val="21"/>
    <w:qFormat/>
    <w:rsid w:val="00461850"/>
    <w:rPr>
      <w:i/>
      <w:iCs/>
      <w:color w:val="0F4761" w:themeColor="accent1" w:themeShade="BF"/>
    </w:rPr>
  </w:style>
  <w:style w:type="paragraph" w:styleId="IntenseQuote">
    <w:name w:val="Intense Quote"/>
    <w:basedOn w:val="Normal"/>
    <w:next w:val="Normal"/>
    <w:link w:val="IntenseQuoteChar"/>
    <w:uiPriority w:val="30"/>
    <w:qFormat/>
    <w:rsid w:val="00461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850"/>
    <w:rPr>
      <w:i/>
      <w:iCs/>
      <w:color w:val="0F4761" w:themeColor="accent1" w:themeShade="BF"/>
    </w:rPr>
  </w:style>
  <w:style w:type="character" w:styleId="IntenseReference">
    <w:name w:val="Intense Reference"/>
    <w:basedOn w:val="DefaultParagraphFont"/>
    <w:uiPriority w:val="32"/>
    <w:qFormat/>
    <w:rsid w:val="00461850"/>
    <w:rPr>
      <w:b/>
      <w:bCs/>
      <w:smallCaps/>
      <w:color w:val="0F4761" w:themeColor="accent1" w:themeShade="BF"/>
      <w:spacing w:val="5"/>
    </w:rPr>
  </w:style>
  <w:style w:type="character" w:styleId="Hyperlink">
    <w:name w:val="Hyperlink"/>
    <w:basedOn w:val="DefaultParagraphFont"/>
    <w:uiPriority w:val="99"/>
    <w:unhideWhenUsed/>
    <w:rsid w:val="00173266"/>
    <w:rPr>
      <w:color w:val="467886" w:themeColor="hyperlink"/>
      <w:u w:val="single"/>
    </w:rPr>
  </w:style>
  <w:style w:type="character" w:styleId="UnresolvedMention">
    <w:name w:val="Unresolved Mention"/>
    <w:basedOn w:val="DefaultParagraphFont"/>
    <w:uiPriority w:val="99"/>
    <w:semiHidden/>
    <w:unhideWhenUsed/>
    <w:rsid w:val="00173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966139">
      <w:bodyDiv w:val="1"/>
      <w:marLeft w:val="0"/>
      <w:marRight w:val="0"/>
      <w:marTop w:val="0"/>
      <w:marBottom w:val="0"/>
      <w:divBdr>
        <w:top w:val="none" w:sz="0" w:space="0" w:color="auto"/>
        <w:left w:val="none" w:sz="0" w:space="0" w:color="auto"/>
        <w:bottom w:val="none" w:sz="0" w:space="0" w:color="auto"/>
        <w:right w:val="none" w:sz="0" w:space="0" w:color="auto"/>
      </w:divBdr>
    </w:div>
    <w:div w:id="51839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islatie.just.ro/Public/DetaliiDocumentAfis/283972" TargetMode="External"/><Relationship Id="rId13" Type="http://schemas.openxmlformats.org/officeDocument/2006/relationships/hyperlink" Target="https://www.ubbcluj.ro/ro/despre/organizare/files/etica/Codul-cadru_de_etic%C4%83_%C5%9Fi_deontologie_universitar%C4%83.pdf" TargetMode="External"/><Relationship Id="rId18" Type="http://schemas.openxmlformats.org/officeDocument/2006/relationships/hyperlink" Target="https://legislatie.just.ro/Public/DetaliiDocumentAfis/283972"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legislatie.just.ro/Public/DetaliiDocumentAfis/283972" TargetMode="External"/><Relationship Id="rId12" Type="http://schemas.openxmlformats.org/officeDocument/2006/relationships/hyperlink" Target="https://edu.ro/sites/default/files/_fi%C8%99iere/Minister/2023/Legi_educatie_Romania_educata/legi_monitor/Legea_invatamantului_superior_nr_199.pdf" TargetMode="External"/><Relationship Id="rId17" Type="http://schemas.openxmlformats.org/officeDocument/2006/relationships/hyperlink" Target="https://www.anm.ro/_/ORDINE/OMS%20nr.%2080-2023.pdf" TargetMode="External"/><Relationship Id="rId2" Type="http://schemas.openxmlformats.org/officeDocument/2006/relationships/settings" Target="settings.xml"/><Relationship Id="rId16" Type="http://schemas.openxmlformats.org/officeDocument/2006/relationships/hyperlink" Target="https://acad.ro/institutia/cercetare.html"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egislatie.just.ro/Public/DetaliiDocumentAfis/283972" TargetMode="External"/><Relationship Id="rId11" Type="http://schemas.openxmlformats.org/officeDocument/2006/relationships/hyperlink" Target="https://www.research.gov.ro/wp-content/uploads/2025/03/HG-188-27.02.2025.pdf" TargetMode="External"/><Relationship Id="rId5" Type="http://schemas.openxmlformats.org/officeDocument/2006/relationships/hyperlink" Target="https://legislatie.just.ro/Public/DetaliiDocumentAfis/283972" TargetMode="External"/><Relationship Id="rId15" Type="http://schemas.openxmlformats.org/officeDocument/2006/relationships/hyperlink" Target="https://unibuc.ro/despre-ub/organizare/comisii/comisia-de-etica/" TargetMode="External"/><Relationship Id="rId10" Type="http://schemas.openxmlformats.org/officeDocument/2006/relationships/hyperlink" Target="https://cnecsdti.research.gov.ro/codul-national-de-etica/" TargetMode="External"/><Relationship Id="rId19" Type="http://schemas.openxmlformats.org/officeDocument/2006/relationships/hyperlink" Target="https://legislatie.just.ro/Public/DetaliiDocumentAfis/283972" TargetMode="External"/><Relationship Id="rId4" Type="http://schemas.openxmlformats.org/officeDocument/2006/relationships/hyperlink" Target="https://legislatie.just.ro/Public/DetaliiDocumentAfis/283972" TargetMode="External"/><Relationship Id="rId9" Type="http://schemas.openxmlformats.org/officeDocument/2006/relationships/hyperlink" Target="https://www.research.gov.ro/wp-content/uploads/2025/04/OMEC_21343_2025-MO.pdf" TargetMode="External"/><Relationship Id="rId14" Type="http://schemas.openxmlformats.org/officeDocument/2006/relationships/hyperlink" Target="https://edu.ro/sites/default/files/_fi%C8%99iere/Minister/2023/Legi_educatie_Romania_educata/legi_monitor/Legea_invatamantului_superior_nr_19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2075</Words>
  <Characters>11418</Characters>
  <Application>Microsoft Office Word</Application>
  <DocSecurity>0</DocSecurity>
  <Lines>95</Lines>
  <Paragraphs>26</Paragraphs>
  <ScaleCrop>false</ScaleCrop>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2026-04-17T14:02:00Z</dcterms:created>
  <dcterms:modified xsi:type="dcterms:W3CDTF">2026-04-17T14:02:00Z</dcterms:modified>
</cp:coreProperties>
</file>