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5F9E" w14:textId="77777777" w:rsidR="001E1954" w:rsidRPr="001E1954" w:rsidRDefault="001E1954" w:rsidP="001E1954">
      <w:pPr>
        <w:rPr>
          <w:lang w:val="nl-NL"/>
        </w:rPr>
      </w:pPr>
      <w:r w:rsidRPr="001E1954">
        <w:rPr>
          <w:lang w:val="nl-NL"/>
        </w:rPr>
        <w:t xml:space="preserve">Ja — en Zweden blijkt in deze sweep een </w:t>
      </w:r>
      <w:r w:rsidRPr="001E1954">
        <w:rPr>
          <w:b/>
          <w:bCs/>
          <w:lang w:val="nl-NL"/>
        </w:rPr>
        <w:t>heel rijk en sterk juridisch uitgewerkt bronlandschap</w:t>
      </w:r>
      <w:r w:rsidRPr="001E1954">
        <w:rPr>
          <w:lang w:val="nl-NL"/>
        </w:rPr>
        <w:t xml:space="preserve"> te hebben. Mijn voorlopige lezing is dat Zweden werkt met </w:t>
      </w:r>
      <w:r w:rsidRPr="001E1954">
        <w:rPr>
          <w:b/>
          <w:bCs/>
          <w:lang w:val="nl-NL"/>
        </w:rPr>
        <w:t>drie samenhangende lagen</w:t>
      </w:r>
      <w:r w:rsidRPr="001E1954">
        <w:rPr>
          <w:lang w:val="nl-NL"/>
        </w:rPr>
        <w:t xml:space="preserve">: een wettelijk regime voor </w:t>
      </w:r>
      <w:r w:rsidRPr="001E1954">
        <w:rPr>
          <w:b/>
          <w:bCs/>
          <w:lang w:val="nl-NL"/>
        </w:rPr>
        <w:t>good research practice en research misconduct</w:t>
      </w:r>
      <w:r w:rsidRPr="001E1954">
        <w:rPr>
          <w:lang w:val="nl-NL"/>
        </w:rPr>
        <w:t xml:space="preserve">, een apart wettelijk regime voor </w:t>
      </w:r>
      <w:r w:rsidRPr="001E1954">
        <w:rPr>
          <w:b/>
          <w:bCs/>
          <w:lang w:val="nl-NL"/>
        </w:rPr>
        <w:t>ethische toetsing van onderzoek op mensen</w:t>
      </w:r>
      <w:r w:rsidRPr="001E1954">
        <w:rPr>
          <w:lang w:val="nl-NL"/>
        </w:rPr>
        <w:t xml:space="preserve">, en daar omheen een laag van </w:t>
      </w:r>
      <w:r w:rsidRPr="001E1954">
        <w:rPr>
          <w:b/>
          <w:bCs/>
          <w:lang w:val="nl-NL"/>
        </w:rPr>
        <w:t>universiteiten, sectororganisaties, financiers en grensregimes</w:t>
      </w:r>
      <w:r w:rsidRPr="001E1954">
        <w:rPr>
          <w:lang w:val="nl-NL"/>
        </w:rPr>
        <w:t xml:space="preserve"> die preventie, ondersteuning, lokale afhandeling en compliance organiseren. Daarmee is Zweden niet simpelweg “gecentraliseerd” of “decentraal”, maar eerder een </w:t>
      </w:r>
      <w:r w:rsidRPr="001E1954">
        <w:rPr>
          <w:b/>
          <w:bCs/>
          <w:lang w:val="nl-NL"/>
        </w:rPr>
        <w:t>juridisch gedifferentieerd systeem</w:t>
      </w:r>
      <w:r w:rsidRPr="001E1954">
        <w:rPr>
          <w:lang w:val="nl-NL"/>
        </w:rPr>
        <w:t xml:space="preserve"> waarin sommige kwesties nationaal worden getrokken en andere nadrukkelijk lokaal blijven. (</w:t>
      </w:r>
      <w:hyperlink r:id="rId4"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32CF1D92" w14:textId="77777777" w:rsidR="001E1954" w:rsidRPr="001E1954" w:rsidRDefault="001E1954" w:rsidP="001E1954">
      <w:pPr>
        <w:rPr>
          <w:b/>
          <w:bCs/>
          <w:lang w:val="nl-NL"/>
        </w:rPr>
      </w:pPr>
      <w:r w:rsidRPr="001E1954">
        <w:rPr>
          <w:b/>
          <w:bCs/>
          <w:lang w:val="nl-NL"/>
        </w:rPr>
        <w:t>1. Wat Zweden in wezen lijkt te zijn</w:t>
      </w:r>
    </w:p>
    <w:p w14:paraId="4EAE368A" w14:textId="77777777" w:rsidR="001E1954" w:rsidRPr="001E1954" w:rsidRDefault="001E1954" w:rsidP="001E1954">
      <w:pPr>
        <w:rPr>
          <w:lang w:val="nl-NL"/>
        </w:rPr>
      </w:pPr>
      <w:r w:rsidRPr="001E1954">
        <w:rPr>
          <w:lang w:val="nl-NL"/>
        </w:rPr>
        <w:t xml:space="preserve">Als ik Zweden in één zin zou typeren, dan is het voorlopig: </w:t>
      </w:r>
      <w:r w:rsidRPr="001E1954">
        <w:rPr>
          <w:b/>
          <w:bCs/>
          <w:lang w:val="nl-NL"/>
        </w:rPr>
        <w:t>een wettelijk tweesporenmodel voor integriteit</w:t>
      </w:r>
      <w:r w:rsidRPr="001E1954">
        <w:rPr>
          <w:lang w:val="nl-NL"/>
        </w:rPr>
        <w:t xml:space="preserve">, met daarnaast een </w:t>
      </w:r>
      <w:r w:rsidRPr="001E1954">
        <w:rPr>
          <w:b/>
          <w:bCs/>
          <w:lang w:val="nl-NL"/>
        </w:rPr>
        <w:t>aparte nationale ethics-review infrastructuur</w:t>
      </w:r>
      <w:r w:rsidRPr="001E1954">
        <w:rPr>
          <w:lang w:val="nl-NL"/>
        </w:rPr>
        <w:t xml:space="preserve">. De kernwet uit </w:t>
      </w:r>
      <w:r w:rsidRPr="001E1954">
        <w:rPr>
          <w:b/>
          <w:bCs/>
          <w:lang w:val="nl-NL"/>
        </w:rPr>
        <w:t>2019</w:t>
      </w:r>
      <w:r w:rsidRPr="001E1954">
        <w:rPr>
          <w:lang w:val="nl-NL"/>
        </w:rPr>
        <w:t xml:space="preserve"> legt vast dat de onderzoeker zelf verantwoordelijk is voor goede onderzoekspraktijk, maar dat de </w:t>
      </w:r>
      <w:r w:rsidRPr="001E1954">
        <w:rPr>
          <w:b/>
          <w:bCs/>
          <w:lang w:val="nl-NL"/>
        </w:rPr>
        <w:t>onderzoeksverantwoordelijke organisatie</w:t>
      </w:r>
      <w:r w:rsidRPr="001E1954">
        <w:rPr>
          <w:lang w:val="nl-NL"/>
        </w:rPr>
        <w:t xml:space="preserve"> (“research principal</w:t>
      </w:r>
      <w:proofErr w:type="gramStart"/>
      <w:r w:rsidRPr="001E1954">
        <w:rPr>
          <w:lang w:val="nl-NL"/>
        </w:rPr>
        <w:t>” /</w:t>
      </w:r>
      <w:proofErr w:type="gramEnd"/>
      <w:r w:rsidRPr="001E1954">
        <w:rPr>
          <w:lang w:val="nl-NL"/>
        </w:rPr>
        <w:t xml:space="preserve"> </w:t>
      </w:r>
      <w:r w:rsidRPr="001E1954">
        <w:rPr>
          <w:i/>
          <w:iCs/>
          <w:lang w:val="nl-NL"/>
        </w:rPr>
        <w:t>forskningshuvudman</w:t>
      </w:r>
      <w:r w:rsidRPr="001E1954">
        <w:rPr>
          <w:lang w:val="nl-NL"/>
        </w:rPr>
        <w:t xml:space="preserve">) de overkoepelende verantwoordelijkheid draagt. Diezelfde wet definieert </w:t>
      </w:r>
      <w:r w:rsidRPr="001E1954">
        <w:rPr>
          <w:b/>
          <w:bCs/>
          <w:lang w:val="nl-NL"/>
        </w:rPr>
        <w:t>research misconduct</w:t>
      </w:r>
      <w:r w:rsidRPr="001E1954">
        <w:rPr>
          <w:lang w:val="nl-NL"/>
        </w:rPr>
        <w:t xml:space="preserve"> heel scherp als een ernstige afwijking van goede onderzoekspraktijk in de vorm van </w:t>
      </w:r>
      <w:r w:rsidRPr="001E1954">
        <w:rPr>
          <w:b/>
          <w:bCs/>
          <w:lang w:val="nl-NL"/>
        </w:rPr>
        <w:t>fabrication, falsification or plagiarism (FFP)</w:t>
      </w:r>
      <w:r w:rsidRPr="001E1954">
        <w:rPr>
          <w:lang w:val="nl-NL"/>
        </w:rPr>
        <w:t xml:space="preserve">, gepleegd opzettelijk of door grove nalatigheid. Verdachte FFP-zaken gaan naar een </w:t>
      </w:r>
      <w:r w:rsidRPr="001E1954">
        <w:rPr>
          <w:b/>
          <w:bCs/>
          <w:lang w:val="nl-NL"/>
        </w:rPr>
        <w:t>speciaal nationaal orgaan</w:t>
      </w:r>
      <w:r w:rsidRPr="001E1954">
        <w:rPr>
          <w:lang w:val="nl-NL"/>
        </w:rPr>
        <w:t>, terwijl andere afwijkingen van goede onderzoekspraktijk door de instelling zelf moeten worden onderzocht. (</w:t>
      </w:r>
      <w:hyperlink r:id="rId5"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0C6F376F" w14:textId="77777777" w:rsidR="001E1954" w:rsidRPr="001E1954" w:rsidRDefault="001E1954" w:rsidP="001E1954">
      <w:pPr>
        <w:rPr>
          <w:lang w:val="nl-NL"/>
        </w:rPr>
      </w:pPr>
      <w:r w:rsidRPr="001E1954">
        <w:rPr>
          <w:lang w:val="nl-NL"/>
        </w:rPr>
        <w:t xml:space="preserve">Dat maakt Zweden meteen anders dan Nederland en Finland. Waar Nederland sterk op gedragscode + institutionele procedures leunt, en Finland op TENK-gestuurde zelfregulering, lijkt Zweden meer te steunen op </w:t>
      </w:r>
      <w:r w:rsidRPr="001E1954">
        <w:rPr>
          <w:b/>
          <w:bCs/>
          <w:lang w:val="nl-NL"/>
        </w:rPr>
        <w:t>wet + uitvoeringsverordeningen + nationale autoriteiten + lokale plichten</w:t>
      </w:r>
      <w:r w:rsidRPr="001E1954">
        <w:rPr>
          <w:lang w:val="nl-NL"/>
        </w:rPr>
        <w:t xml:space="preserve">. Mijn voorlopige indruk is daarom dat Zweden binnen de Nordics een van de meest </w:t>
      </w:r>
      <w:r w:rsidRPr="001E1954">
        <w:rPr>
          <w:b/>
          <w:bCs/>
          <w:lang w:val="nl-NL"/>
        </w:rPr>
        <w:t>publiekrechtelijk gearticuleerde</w:t>
      </w:r>
      <w:r w:rsidRPr="001E1954">
        <w:rPr>
          <w:lang w:val="nl-NL"/>
        </w:rPr>
        <w:t xml:space="preserve"> research-integrity landschappen heeft. Dat is een interpretatie, maar wel één die direct wordt gedragen door de hoeveelheid formele regelgeving en overheidsgestuurde organen die in dit veld zichtbaar zijn. (</w:t>
      </w:r>
      <w:hyperlink r:id="rId6"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21AE5500" w14:textId="77777777" w:rsidR="001E1954" w:rsidRPr="001E1954" w:rsidRDefault="001E1954" w:rsidP="001E1954">
      <w:pPr>
        <w:rPr>
          <w:b/>
          <w:bCs/>
          <w:lang w:val="nl-NL"/>
        </w:rPr>
      </w:pPr>
      <w:r w:rsidRPr="001E1954">
        <w:rPr>
          <w:b/>
          <w:bCs/>
          <w:lang w:val="nl-NL"/>
        </w:rPr>
        <w:t>2. De nationale juridische ruggengraat</w:t>
      </w:r>
    </w:p>
    <w:p w14:paraId="37FF92E7" w14:textId="77777777" w:rsidR="001E1954" w:rsidRPr="001E1954" w:rsidRDefault="001E1954" w:rsidP="001E1954">
      <w:pPr>
        <w:rPr>
          <w:lang w:val="nl-NL"/>
        </w:rPr>
      </w:pPr>
      <w:r w:rsidRPr="001E1954">
        <w:rPr>
          <w:lang w:val="nl-NL"/>
        </w:rPr>
        <w:t xml:space="preserve">De eerste bronfamilie die je voor Zweden altijd moet verzamelen is de </w:t>
      </w:r>
      <w:r w:rsidRPr="001E1954">
        <w:rPr>
          <w:b/>
          <w:bCs/>
          <w:lang w:val="nl-NL"/>
        </w:rPr>
        <w:t>Lag (2019:504) om ansvar för god forskningssed och prövning av oredlighet i forskning</w:t>
      </w:r>
      <w:r w:rsidRPr="001E1954">
        <w:rPr>
          <w:lang w:val="nl-NL"/>
        </w:rPr>
        <w:t xml:space="preserve">. Dat is hier echt een constituerend document. De wet doet meerdere dingen tegelijk: zij definieert de kernbegrippen, maakt duidelijk wie verantwoordelijk is, bepaalt welke organisaties onder het regime vallen, en schrijft voor dat vermoedens van research misconduct aan een speciaal nationaal orgaan moeten worden doorgegeven. Opvallend is ook dat de reikwijdte breed is: niet alleen universiteiten, maar ook andere overheidsinstanties, </w:t>
      </w:r>
      <w:r w:rsidRPr="001E1954">
        <w:rPr>
          <w:lang w:val="nl-NL"/>
        </w:rPr>
        <w:lastRenderedPageBreak/>
        <w:t>bepaalde staatsbedrijven en -stichtingen, gemeenten, regio’s en sommige private hogeronderwijsaanbieders vallen eronder. (</w:t>
      </w:r>
      <w:hyperlink r:id="rId7"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62B380B5" w14:textId="77777777" w:rsidR="001E1954" w:rsidRPr="001E1954" w:rsidRDefault="001E1954" w:rsidP="001E1954">
      <w:pPr>
        <w:rPr>
          <w:lang w:val="nl-NL"/>
        </w:rPr>
      </w:pPr>
      <w:r w:rsidRPr="001E1954">
        <w:rPr>
          <w:lang w:val="nl-NL"/>
        </w:rPr>
        <w:t xml:space="preserve">Daarboven ligt de </w:t>
      </w:r>
      <w:r w:rsidRPr="001E1954">
        <w:rPr>
          <w:b/>
          <w:bCs/>
          <w:lang w:val="nl-NL"/>
        </w:rPr>
        <w:t>Higher Education Act</w:t>
      </w:r>
      <w:r w:rsidRPr="001E1954">
        <w:rPr>
          <w:lang w:val="nl-NL"/>
        </w:rPr>
        <w:t xml:space="preserve"> en vooral de </w:t>
      </w:r>
      <w:r w:rsidRPr="001E1954">
        <w:rPr>
          <w:b/>
          <w:bCs/>
          <w:lang w:val="nl-NL"/>
        </w:rPr>
        <w:t>Higher Education Ordinance</w:t>
      </w:r>
      <w:r w:rsidRPr="001E1954">
        <w:rPr>
          <w:lang w:val="nl-NL"/>
        </w:rPr>
        <w:t xml:space="preserve">. De wet zegt dat hogeronderwijsinstellingen de </w:t>
      </w:r>
      <w:r w:rsidRPr="001E1954">
        <w:rPr>
          <w:b/>
          <w:bCs/>
          <w:lang w:val="nl-NL"/>
        </w:rPr>
        <w:t>wetenschappelijke geloofwaardigheid en goede onderzoekspraktijk</w:t>
      </w:r>
      <w:r w:rsidRPr="001E1954">
        <w:rPr>
          <w:lang w:val="nl-NL"/>
        </w:rPr>
        <w:t xml:space="preserve"> moeten waarborgen. De verordening werkt dat uit en verplicht universiteiten om ervoor te zorgen dat medewerkers </w:t>
      </w:r>
      <w:r w:rsidRPr="001E1954">
        <w:rPr>
          <w:b/>
          <w:bCs/>
          <w:lang w:val="nl-NL"/>
        </w:rPr>
        <w:t>advies en ondersteuning</w:t>
      </w:r>
      <w:r w:rsidRPr="001E1954">
        <w:rPr>
          <w:lang w:val="nl-NL"/>
        </w:rPr>
        <w:t xml:space="preserve"> kunnen krijgen over goede onderzoekspraktijk, om </w:t>
      </w:r>
      <w:r w:rsidRPr="001E1954">
        <w:rPr>
          <w:b/>
          <w:bCs/>
          <w:lang w:val="nl-NL"/>
        </w:rPr>
        <w:t>andere vermoedelijke afwijkingen</w:t>
      </w:r>
      <w:r w:rsidRPr="001E1954">
        <w:rPr>
          <w:lang w:val="nl-NL"/>
        </w:rPr>
        <w:t xml:space="preserve"> dan de nationaal behandelde misconduct-zaken zelf te onderzoeken, om daarvoor </w:t>
      </w:r>
      <w:r w:rsidRPr="001E1954">
        <w:rPr>
          <w:b/>
          <w:bCs/>
          <w:lang w:val="nl-NL"/>
        </w:rPr>
        <w:t>interne richtlijnen</w:t>
      </w:r>
      <w:r w:rsidRPr="001E1954">
        <w:rPr>
          <w:lang w:val="nl-NL"/>
        </w:rPr>
        <w:t xml:space="preserve"> vast te stellen, en om jaarlijks </w:t>
      </w:r>
      <w:r w:rsidRPr="001E1954">
        <w:rPr>
          <w:b/>
          <w:bCs/>
          <w:lang w:val="nl-NL"/>
        </w:rPr>
        <w:t>geanonimiseerde informatie</w:t>
      </w:r>
      <w:r w:rsidRPr="001E1954">
        <w:rPr>
          <w:lang w:val="nl-NL"/>
        </w:rPr>
        <w:t xml:space="preserve"> over zulke zaken aan de nationale misconductboard te rapporteren. Dat is voor jouw project cruciaal: in Zweden is de lokale integriteitsinfrastructuur niet alleen wenselijk, maar deels gewoon </w:t>
      </w:r>
      <w:r w:rsidRPr="001E1954">
        <w:rPr>
          <w:b/>
          <w:bCs/>
          <w:lang w:val="nl-NL"/>
        </w:rPr>
        <w:t>wettelijk geëist</w:t>
      </w:r>
      <w:r w:rsidRPr="001E1954">
        <w:rPr>
          <w:lang w:val="nl-NL"/>
        </w:rPr>
        <w:t>. (</w:t>
      </w:r>
      <w:hyperlink r:id="rId8" w:tooltip="https://www.riksdagen.se/sv/dokument-och-lagar/dokument/svensk-forfattningssamling/hogskolelag-19921434_sfs-1992-1434/" w:history="1">
        <w:r w:rsidRPr="001E1954">
          <w:rPr>
            <w:rStyle w:val="Hyperlink"/>
            <w:lang w:val="nl-NL"/>
          </w:rPr>
          <w:t>Riksdagen</w:t>
        </w:r>
      </w:hyperlink>
      <w:r w:rsidRPr="001E1954">
        <w:rPr>
          <w:lang w:val="nl-NL"/>
        </w:rPr>
        <w:t>)</w:t>
      </w:r>
    </w:p>
    <w:p w14:paraId="1B5D82F6" w14:textId="77777777" w:rsidR="001E1954" w:rsidRPr="001E1954" w:rsidRDefault="001E1954" w:rsidP="001E1954">
      <w:pPr>
        <w:rPr>
          <w:lang w:val="nl-NL"/>
        </w:rPr>
      </w:pPr>
      <w:r w:rsidRPr="001E1954">
        <w:rPr>
          <w:lang w:val="nl-NL"/>
        </w:rPr>
        <w:t xml:space="preserve">Een extra nuance is dat er ook een </w:t>
      </w:r>
      <w:r w:rsidRPr="001E1954">
        <w:rPr>
          <w:b/>
          <w:bCs/>
          <w:lang w:val="nl-NL"/>
        </w:rPr>
        <w:t>uitzonderingsverordening</w:t>
      </w:r>
      <w:r w:rsidRPr="001E1954">
        <w:rPr>
          <w:lang w:val="nl-NL"/>
        </w:rPr>
        <w:t xml:space="preserve"> bestaat voor delen van het defensie- en veiligheidsdomein wanneer onderzoek gerubriceerde informatie bevat. Dat betekent dat ook in Zweden de research-integrity kaart niet helemaal homogeen is: er zijn nationale uitzonderingen in gevoelige sectoren. (</w:t>
      </w:r>
      <w:hyperlink r:id="rId9" w:tooltip="SFS 2019:1176" w:history="1">
        <w:r w:rsidRPr="001E1954">
          <w:rPr>
            <w:rStyle w:val="Hyperlink"/>
            <w:lang w:val="nl-NL"/>
          </w:rPr>
          <w:t>Svensk Författningssamling</w:t>
        </w:r>
      </w:hyperlink>
      <w:r w:rsidRPr="001E1954">
        <w:rPr>
          <w:lang w:val="nl-NL"/>
        </w:rPr>
        <w:t>)</w:t>
      </w:r>
    </w:p>
    <w:p w14:paraId="6D75DDB9" w14:textId="77777777" w:rsidR="001E1954" w:rsidRPr="001E1954" w:rsidRDefault="001E1954" w:rsidP="001E1954">
      <w:pPr>
        <w:rPr>
          <w:b/>
          <w:bCs/>
          <w:lang w:val="nl-NL"/>
        </w:rPr>
      </w:pPr>
      <w:r w:rsidRPr="001E1954">
        <w:rPr>
          <w:b/>
          <w:bCs/>
          <w:lang w:val="nl-NL"/>
        </w:rPr>
        <w:t>3. De nationale route voor research misconduct: Npof</w:t>
      </w:r>
    </w:p>
    <w:p w14:paraId="5DC7F18D" w14:textId="77777777" w:rsidR="001E1954" w:rsidRPr="001E1954" w:rsidRDefault="001E1954" w:rsidP="001E1954">
      <w:pPr>
        <w:rPr>
          <w:lang w:val="nl-NL"/>
        </w:rPr>
      </w:pPr>
      <w:r w:rsidRPr="001E1954">
        <w:rPr>
          <w:lang w:val="nl-NL"/>
        </w:rPr>
        <w:t xml:space="preserve">De tweede kernbronfamilie draait om </w:t>
      </w:r>
      <w:r w:rsidRPr="001E1954">
        <w:rPr>
          <w:b/>
          <w:bCs/>
          <w:lang w:val="nl-NL"/>
        </w:rPr>
        <w:t>Npof</w:t>
      </w:r>
      <w:r w:rsidRPr="001E1954">
        <w:rPr>
          <w:lang w:val="nl-NL"/>
        </w:rPr>
        <w:t xml:space="preserve"> — de </w:t>
      </w:r>
      <w:r w:rsidRPr="001E1954">
        <w:rPr>
          <w:b/>
          <w:bCs/>
          <w:lang w:val="nl-NL"/>
        </w:rPr>
        <w:t>National Board for Assessment of Research Misconduct</w:t>
      </w:r>
      <w:r w:rsidRPr="001E1954">
        <w:rPr>
          <w:lang w:val="nl-NL"/>
        </w:rPr>
        <w:t xml:space="preserve">. Volgens de officiële bronnen werd Npof op </w:t>
      </w:r>
      <w:r w:rsidRPr="001E1954">
        <w:rPr>
          <w:b/>
          <w:bCs/>
          <w:lang w:val="nl-NL"/>
        </w:rPr>
        <w:t>1 januari 2020</w:t>
      </w:r>
      <w:r w:rsidRPr="001E1954">
        <w:rPr>
          <w:lang w:val="nl-NL"/>
        </w:rPr>
        <w:t xml:space="preserve"> opgericht als centrale overheidsinstantie onder het ministerie, met als enige taak het behandelen van vragen over </w:t>
      </w:r>
      <w:r w:rsidRPr="001E1954">
        <w:rPr>
          <w:b/>
          <w:bCs/>
          <w:lang w:val="nl-NL"/>
        </w:rPr>
        <w:t>research misconduct</w:t>
      </w:r>
      <w:r w:rsidRPr="001E1954">
        <w:rPr>
          <w:lang w:val="nl-NL"/>
        </w:rPr>
        <w:t xml:space="preserve">. De Board bestaat uit een voorzitter en negen leden die door de regering worden benoemd. De jaarlijkse rapportage laat ook zien dat het geen papieren orgaan is: in het jaarverslag over </w:t>
      </w:r>
      <w:r w:rsidRPr="001E1954">
        <w:rPr>
          <w:b/>
          <w:bCs/>
          <w:lang w:val="nl-NL"/>
        </w:rPr>
        <w:t>2024</w:t>
      </w:r>
      <w:r w:rsidRPr="001E1954">
        <w:rPr>
          <w:lang w:val="nl-NL"/>
        </w:rPr>
        <w:t xml:space="preserve"> meldde Npof </w:t>
      </w:r>
      <w:r w:rsidRPr="001E1954">
        <w:rPr>
          <w:b/>
          <w:bCs/>
          <w:lang w:val="nl-NL"/>
        </w:rPr>
        <w:t>32 nieuwe zaken</w:t>
      </w:r>
      <w:r w:rsidRPr="001E1954">
        <w:rPr>
          <w:lang w:val="nl-NL"/>
        </w:rPr>
        <w:t xml:space="preserve">, </w:t>
      </w:r>
      <w:r w:rsidRPr="001E1954">
        <w:rPr>
          <w:b/>
          <w:bCs/>
          <w:lang w:val="nl-NL"/>
        </w:rPr>
        <w:t>42 beslissingen</w:t>
      </w:r>
      <w:r w:rsidRPr="001E1954">
        <w:rPr>
          <w:lang w:val="nl-NL"/>
        </w:rPr>
        <w:t xml:space="preserve"> en </w:t>
      </w:r>
      <w:r w:rsidRPr="001E1954">
        <w:rPr>
          <w:b/>
          <w:bCs/>
          <w:lang w:val="nl-NL"/>
        </w:rPr>
        <w:t>11 gevallen</w:t>
      </w:r>
      <w:r w:rsidRPr="001E1954">
        <w:rPr>
          <w:lang w:val="nl-NL"/>
        </w:rPr>
        <w:t xml:space="preserve"> waarin onderzoekers schuldig werden bevonden aan research misconduct. (</w:t>
      </w:r>
      <w:hyperlink r:id="rId10" w:tooltip="https://npof.se/en/about-us/" w:history="1">
        <w:r w:rsidRPr="001E1954">
          <w:rPr>
            <w:rStyle w:val="Hyperlink"/>
            <w:lang w:val="nl-NL"/>
          </w:rPr>
          <w:t>npof.se</w:t>
        </w:r>
      </w:hyperlink>
      <w:r w:rsidRPr="001E1954">
        <w:rPr>
          <w:lang w:val="nl-NL"/>
        </w:rPr>
        <w:t>)</w:t>
      </w:r>
    </w:p>
    <w:p w14:paraId="5A8A8510" w14:textId="77777777" w:rsidR="001E1954" w:rsidRPr="001E1954" w:rsidRDefault="001E1954" w:rsidP="001E1954">
      <w:pPr>
        <w:rPr>
          <w:lang w:val="nl-NL"/>
        </w:rPr>
      </w:pPr>
      <w:r w:rsidRPr="001E1954">
        <w:rPr>
          <w:lang w:val="nl-NL"/>
        </w:rPr>
        <w:t xml:space="preserve">De wet en de uitvoeringsverordening maken Npof methodologisch extra interessant. Zaken kunnen bij Npof komen via doorzending door een instelling, via een klacht die direct bij Npof wordt ingediend, of doordat Npof een zaak </w:t>
      </w:r>
      <w:r w:rsidRPr="001E1954">
        <w:rPr>
          <w:b/>
          <w:bCs/>
          <w:lang w:val="nl-NL"/>
        </w:rPr>
        <w:t>ambtshalve</w:t>
      </w:r>
      <w:r w:rsidRPr="001E1954">
        <w:rPr>
          <w:lang w:val="nl-NL"/>
        </w:rPr>
        <w:t xml:space="preserve"> oppakt. Als Npof oordeelt dat iets geen FFP-misconduct is, maar wel mogelijk een andere afwijking van goede onderzoekspraktijk, moet het dossier naar de instelling terug. De instelling moet na een definitieve beslissing bovendien binnen zes maanden aan Npof melden welke maatregelen zijn genomen, en ook relevante financiers, autoriteiten, tijdschriften of andere betrokkenen informeren. Alleen bepaalde beslissingen zijn appellabel, en beroep loopt via de </w:t>
      </w:r>
      <w:r w:rsidRPr="001E1954">
        <w:rPr>
          <w:b/>
          <w:bCs/>
          <w:lang w:val="nl-NL"/>
        </w:rPr>
        <w:t>Administrative Court in Uppsala</w:t>
      </w:r>
      <w:r w:rsidRPr="001E1954">
        <w:rPr>
          <w:lang w:val="nl-NL"/>
        </w:rPr>
        <w:t xml:space="preserve">. Dat geeft je voor Zweden een prachtige combinatie van </w:t>
      </w:r>
      <w:r w:rsidRPr="001E1954">
        <w:rPr>
          <w:b/>
          <w:bCs/>
          <w:lang w:val="nl-NL"/>
        </w:rPr>
        <w:t>constituerende documenten, procesdocumenten, beslissingen en follow-up documentatie</w:t>
      </w:r>
      <w:r w:rsidRPr="001E1954">
        <w:rPr>
          <w:lang w:val="nl-NL"/>
        </w:rPr>
        <w:t>. (</w:t>
      </w:r>
      <w:hyperlink r:id="rId11"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0F1FA4A9" w14:textId="77777777" w:rsidR="001E1954" w:rsidRPr="001E1954" w:rsidRDefault="001E1954" w:rsidP="001E1954">
      <w:r w:rsidRPr="001E1954">
        <w:rPr>
          <w:lang w:val="nl-NL"/>
        </w:rPr>
        <w:t xml:space="preserve">Belangrijk voor jouw bronkaart is ook dat Npof niet het hele integriteitslandschap afdekt. Het behandelt alleen de wettelijk afgebakende FFP-zaken. Daardoor moet je in </w:t>
      </w:r>
      <w:r w:rsidRPr="001E1954">
        <w:rPr>
          <w:lang w:val="nl-NL"/>
        </w:rPr>
        <w:lastRenderedPageBreak/>
        <w:t xml:space="preserve">Zweden altijd twee vragen tegelijk stellen: </w:t>
      </w:r>
      <w:r w:rsidRPr="001E1954">
        <w:rPr>
          <w:b/>
          <w:bCs/>
          <w:lang w:val="nl-NL"/>
        </w:rPr>
        <w:t>wat gaat naar Npof?</w:t>
      </w:r>
      <w:r w:rsidRPr="001E1954">
        <w:rPr>
          <w:lang w:val="nl-NL"/>
        </w:rPr>
        <w:t xml:space="preserve"> </w:t>
      </w:r>
      <w:proofErr w:type="gramStart"/>
      <w:r w:rsidRPr="001E1954">
        <w:rPr>
          <w:lang w:val="nl-NL"/>
        </w:rPr>
        <w:t>en</w:t>
      </w:r>
      <w:proofErr w:type="gramEnd"/>
      <w:r w:rsidRPr="001E1954">
        <w:rPr>
          <w:lang w:val="nl-NL"/>
        </w:rPr>
        <w:t xml:space="preserve"> </w:t>
      </w:r>
      <w:r w:rsidRPr="001E1954">
        <w:rPr>
          <w:b/>
          <w:bCs/>
          <w:lang w:val="nl-NL"/>
        </w:rPr>
        <w:t>wat blijft bij de instelling?</w:t>
      </w:r>
      <w:r w:rsidRPr="001E1954">
        <w:rPr>
          <w:lang w:val="nl-NL"/>
        </w:rPr>
        <w:t xml:space="preserve">. Die scheiding is waarschijnlijk een van de meest onderscheidende kenmerken van het Zweedse systeem. </w:t>
      </w:r>
      <w:r w:rsidRPr="001E1954">
        <w:t>(</w:t>
      </w:r>
      <w:hyperlink r:id="rId12" w:tooltip="https://www.riksdagen.se/sv/dokument-och-lagar/dokument/svensk-forfattningssamling/lag-2019504-om-ansvar-for-god-forskningssed-och_sfs-2019-504/" w:history="1">
        <w:r w:rsidRPr="001E1954">
          <w:rPr>
            <w:rStyle w:val="Hyperlink"/>
          </w:rPr>
          <w:t>Riksdagen</w:t>
        </w:r>
      </w:hyperlink>
      <w:r w:rsidRPr="001E1954">
        <w:t>)</w:t>
      </w:r>
    </w:p>
    <w:p w14:paraId="4BFCA5CF" w14:textId="77777777" w:rsidR="001E1954" w:rsidRPr="001E1954" w:rsidRDefault="001E1954" w:rsidP="001E1954">
      <w:pPr>
        <w:rPr>
          <w:b/>
          <w:bCs/>
        </w:rPr>
      </w:pPr>
      <w:r w:rsidRPr="001E1954">
        <w:rPr>
          <w:b/>
          <w:bCs/>
        </w:rPr>
        <w:t>4. De lokale route: “other deviations from good research practice”</w:t>
      </w:r>
    </w:p>
    <w:p w14:paraId="3671DBCE" w14:textId="77777777" w:rsidR="001E1954" w:rsidRPr="001E1954" w:rsidRDefault="001E1954" w:rsidP="001E1954">
      <w:pPr>
        <w:rPr>
          <w:lang w:val="nl-NL"/>
        </w:rPr>
      </w:pPr>
      <w:r w:rsidRPr="001E1954">
        <w:rPr>
          <w:lang w:val="nl-NL"/>
        </w:rPr>
        <w:t xml:space="preserve">De </w:t>
      </w:r>
      <w:r w:rsidRPr="001E1954">
        <w:rPr>
          <w:b/>
          <w:bCs/>
          <w:lang w:val="nl-NL"/>
        </w:rPr>
        <w:t>lokale universiteitslaag</w:t>
      </w:r>
      <w:r w:rsidRPr="001E1954">
        <w:rPr>
          <w:lang w:val="nl-NL"/>
        </w:rPr>
        <w:t xml:space="preserve"> is in Zweden dus niet secundair, maar essentieel. De Higher Education Ordinance verplicht universiteiten om andere vermoedelijke afwijkingen van goede onderzoekspraktijk te behandelen en om daar richtlijnen voor te hebben. </w:t>
      </w:r>
      <w:r w:rsidRPr="001E1954">
        <w:t xml:space="preserve">De sectororganisatie </w:t>
      </w:r>
      <w:r w:rsidRPr="001E1954">
        <w:rPr>
          <w:b/>
          <w:bCs/>
        </w:rPr>
        <w:t>SUHF</w:t>
      </w:r>
      <w:r w:rsidRPr="001E1954">
        <w:t xml:space="preserve"> heeft daar in </w:t>
      </w:r>
      <w:r w:rsidRPr="001E1954">
        <w:rPr>
          <w:b/>
          <w:bCs/>
        </w:rPr>
        <w:t>2023</w:t>
      </w:r>
      <w:r w:rsidRPr="001E1954">
        <w:t xml:space="preserve"> een heel belangrijke guidance voor gepubliceerd: </w:t>
      </w:r>
      <w:r w:rsidRPr="001E1954">
        <w:rPr>
          <w:i/>
          <w:iCs/>
        </w:rPr>
        <w:t>Guidance for higher education institutions’ efforts to prevent, manage and follow up on suspected deviations from good research practice</w:t>
      </w:r>
      <w:r w:rsidRPr="001E1954">
        <w:t xml:space="preserve">. </w:t>
      </w:r>
      <w:r w:rsidRPr="001E1954">
        <w:rPr>
          <w:lang w:val="nl-NL"/>
        </w:rPr>
        <w:t xml:space="preserve">Die guidance zegt expliciet dat instellingen zowel aan de misconductwet als aan de verordening moeten voldoen, dat Npof de FFP-zaken behandelt, en dat instellingen verplicht zijn de overige afwijkingen te onderzoeken. SUHF koppelt die guidance bovendien niet alleen aan Zweedse wetgeving, maar ook aan de </w:t>
      </w:r>
      <w:r w:rsidRPr="001E1954">
        <w:rPr>
          <w:b/>
          <w:bCs/>
          <w:lang w:val="nl-NL"/>
        </w:rPr>
        <w:t>ALLEA Code</w:t>
      </w:r>
      <w:r w:rsidRPr="001E1954">
        <w:rPr>
          <w:lang w:val="nl-NL"/>
        </w:rPr>
        <w:t>. (</w:t>
      </w:r>
      <w:hyperlink r:id="rId13" w:tooltip="https://www.riksdagen.se/sv/dokument-och-lagar/dokument/svensk-forfattningssamling/hogskoleforordning-1993100_sfs-1993-100/" w:history="1">
        <w:r w:rsidRPr="001E1954">
          <w:rPr>
            <w:rStyle w:val="Hyperlink"/>
            <w:lang w:val="nl-NL"/>
          </w:rPr>
          <w:t>Riksdagen</w:t>
        </w:r>
      </w:hyperlink>
      <w:r w:rsidRPr="001E1954">
        <w:rPr>
          <w:lang w:val="nl-NL"/>
        </w:rPr>
        <w:t>)</w:t>
      </w:r>
    </w:p>
    <w:p w14:paraId="490A2D00" w14:textId="77777777" w:rsidR="001E1954" w:rsidRPr="001E1954" w:rsidRDefault="001E1954" w:rsidP="001E1954">
      <w:pPr>
        <w:rPr>
          <w:lang w:val="nl-NL"/>
        </w:rPr>
      </w:pPr>
      <w:r w:rsidRPr="001E1954">
        <w:rPr>
          <w:lang w:val="nl-NL"/>
        </w:rPr>
        <w:t xml:space="preserve">Dat maakt SUHF voor jouw project tot een heel interessant documenttype: geen wet, geen universiteitsregeling, maar een </w:t>
      </w:r>
      <w:r w:rsidRPr="001E1954">
        <w:rPr>
          <w:b/>
          <w:bCs/>
          <w:lang w:val="nl-NL"/>
        </w:rPr>
        <w:t>sectorale vertaling van het nationale kader naar uitvoerbare praktijk</w:t>
      </w:r>
      <w:r w:rsidRPr="001E1954">
        <w:rPr>
          <w:lang w:val="nl-NL"/>
        </w:rPr>
        <w:t xml:space="preserve">. De guidance behandelt preventie, omgang met vermoedens, doorverwijzing naar andere bevoegde autoriteiten wanneer een kwestie eigenlijk in een ander regime thuishoort, en follow-up. Ook benadrukt SUHF dat de overheid training belangrijk vindt en noemt het goede voorbeelden van cursussen en trainingsmateriaal. In brontermen is dit dus een </w:t>
      </w:r>
      <w:r w:rsidRPr="001E1954">
        <w:rPr>
          <w:b/>
          <w:bCs/>
          <w:lang w:val="nl-NL"/>
        </w:rPr>
        <w:t>meta-document</w:t>
      </w:r>
      <w:r w:rsidRPr="001E1954">
        <w:rPr>
          <w:lang w:val="nl-NL"/>
        </w:rPr>
        <w:t xml:space="preserve"> dat laat zien hoe Zweden het lokale integriteitswerk bestuurlijk probeert te harmoniseren zonder alles nationaal dicht te regelen. (</w:t>
      </w:r>
      <w:hyperlink r:id="rId14" w:tooltip="https://suhf.se/app/uploads/2024/05/REK-2020-3-REV-Guidance-for-HEIs-efforts-to-prevent-manage-and-follow-up-on-suspected-deviations-from-good-research-practice-30-08-23-1.pdf" w:history="1">
        <w:r w:rsidRPr="001E1954">
          <w:rPr>
            <w:rStyle w:val="Hyperlink"/>
            <w:lang w:val="nl-NL"/>
          </w:rPr>
          <w:t>SUHF</w:t>
        </w:r>
      </w:hyperlink>
      <w:r w:rsidRPr="001E1954">
        <w:rPr>
          <w:lang w:val="nl-NL"/>
        </w:rPr>
        <w:t>)</w:t>
      </w:r>
    </w:p>
    <w:p w14:paraId="266D3790" w14:textId="77777777" w:rsidR="001E1954" w:rsidRPr="001E1954" w:rsidRDefault="001E1954" w:rsidP="001E1954">
      <w:pPr>
        <w:rPr>
          <w:b/>
          <w:bCs/>
          <w:lang w:val="nl-NL"/>
        </w:rPr>
      </w:pPr>
      <w:r w:rsidRPr="001E1954">
        <w:rPr>
          <w:b/>
          <w:bCs/>
          <w:lang w:val="nl-NL"/>
        </w:rPr>
        <w:t>5. De aparte nationale ethics-review infrastructuur voor onderzoek op mensen</w:t>
      </w:r>
    </w:p>
    <w:p w14:paraId="46F94BA1" w14:textId="77777777" w:rsidR="001E1954" w:rsidRPr="001E1954" w:rsidRDefault="001E1954" w:rsidP="001E1954">
      <w:pPr>
        <w:rPr>
          <w:lang w:val="nl-NL"/>
        </w:rPr>
      </w:pPr>
      <w:r w:rsidRPr="001E1954">
        <w:rPr>
          <w:lang w:val="nl-NL"/>
        </w:rPr>
        <w:t xml:space="preserve">Naast het misconduct-spoor heeft Zweden een tweede, zeer belangrijke nationale infrastructuur: de </w:t>
      </w:r>
      <w:r w:rsidRPr="001E1954">
        <w:rPr>
          <w:b/>
          <w:bCs/>
          <w:lang w:val="nl-NL"/>
        </w:rPr>
        <w:t>Ethical Review Act</w:t>
      </w:r>
      <w:r w:rsidRPr="001E1954">
        <w:rPr>
          <w:lang w:val="nl-NL"/>
        </w:rPr>
        <w:t xml:space="preserve"> en de daarbij horende autoriteiten. De </w:t>
      </w:r>
      <w:r w:rsidRPr="001E1954">
        <w:rPr>
          <w:b/>
          <w:bCs/>
          <w:lang w:val="nl-NL"/>
        </w:rPr>
        <w:t>Ethical Review Act (2003:460)</w:t>
      </w:r>
      <w:r w:rsidRPr="001E1954">
        <w:rPr>
          <w:lang w:val="nl-NL"/>
        </w:rPr>
        <w:t xml:space="preserve"> heeft als doel het beschermen van de individuele mens en het waarborgen van respect voor de menselijke waardigheid. Zij geldt voor onderzoek op mensen, op menselijk biologisch materiaal, en voor onderzoek waarbij gevoelige persoonsgegevens of gegevens over strafrechtelijke veroordelingen worden verwerkt. Ook onderzoek met fysieke interventies of methoden die deelnemers lichamelijk of psychisch kunnen beïnvloeden valt eronder. (</w:t>
      </w:r>
      <w:hyperlink r:id="rId15" w:tooltip="https://www.riksdagen.se/sv/dokument-och-lagar/dokument/svensk-forfattningssamling/lag-2003460-om-etikprovning-av-forskning-som_sfs-2003-460/" w:history="1">
        <w:r w:rsidRPr="001E1954">
          <w:rPr>
            <w:rStyle w:val="Hyperlink"/>
            <w:lang w:val="nl-NL"/>
          </w:rPr>
          <w:t>Riksdagen</w:t>
        </w:r>
      </w:hyperlink>
      <w:r w:rsidRPr="001E1954">
        <w:rPr>
          <w:lang w:val="nl-NL"/>
        </w:rPr>
        <w:t>)</w:t>
      </w:r>
    </w:p>
    <w:p w14:paraId="64D741CB" w14:textId="77777777" w:rsidR="001E1954" w:rsidRPr="001E1954" w:rsidRDefault="001E1954" w:rsidP="001E1954">
      <w:pPr>
        <w:rPr>
          <w:lang w:val="nl-NL"/>
        </w:rPr>
      </w:pPr>
      <w:r w:rsidRPr="001E1954">
        <w:rPr>
          <w:lang w:val="nl-NL"/>
        </w:rPr>
        <w:t xml:space="preserve">De eerste instantie hier is de </w:t>
      </w:r>
      <w:r w:rsidRPr="001E1954">
        <w:rPr>
          <w:b/>
          <w:bCs/>
          <w:lang w:val="nl-NL"/>
        </w:rPr>
        <w:t>Swedish Ethical Review Authority (EPM)</w:t>
      </w:r>
      <w:r w:rsidRPr="001E1954">
        <w:rPr>
          <w:lang w:val="nl-NL"/>
        </w:rPr>
        <w:t xml:space="preserve">. Sinds </w:t>
      </w:r>
      <w:r w:rsidRPr="001E1954">
        <w:rPr>
          <w:b/>
          <w:bCs/>
          <w:lang w:val="nl-NL"/>
        </w:rPr>
        <w:t>1 januari 2019</w:t>
      </w:r>
      <w:r w:rsidRPr="001E1954">
        <w:rPr>
          <w:lang w:val="nl-NL"/>
        </w:rPr>
        <w:t xml:space="preserve"> zijn de vroegere regionale boards samengevoegd tot één nationale autoriteit, gevestigd in Uppsala, maar werkend via zes locaties: </w:t>
      </w:r>
      <w:r w:rsidRPr="001E1954">
        <w:rPr>
          <w:b/>
          <w:bCs/>
          <w:lang w:val="nl-NL"/>
        </w:rPr>
        <w:t>Gothenburg, Linköping, Lund, Stockholm, Umeå en Uppsala</w:t>
      </w:r>
      <w:r w:rsidRPr="001E1954">
        <w:rPr>
          <w:lang w:val="nl-NL"/>
        </w:rPr>
        <w:t xml:space="preserve">. De autoriteit meldt zelf dat zij ongeveer </w:t>
      </w:r>
      <w:r w:rsidRPr="001E1954">
        <w:rPr>
          <w:b/>
          <w:bCs/>
          <w:lang w:val="nl-NL"/>
        </w:rPr>
        <w:t>450 leden en experts</w:t>
      </w:r>
      <w:r w:rsidRPr="001E1954">
        <w:rPr>
          <w:lang w:val="nl-NL"/>
        </w:rPr>
        <w:t xml:space="preserve"> heeft en duizenden aanvragen per jaar behandelt. De actuele </w:t>
      </w:r>
      <w:r w:rsidRPr="001E1954">
        <w:rPr>
          <w:lang w:val="nl-NL"/>
        </w:rPr>
        <w:lastRenderedPageBreak/>
        <w:t xml:space="preserve">voorlichtingspagina’s laten zien dat EPM niet alleen medische studies behandelt, maar ook veel niet-medische aanvragen, en dat de aanvraag via het systeem </w:t>
      </w:r>
      <w:r w:rsidRPr="001E1954">
        <w:rPr>
          <w:b/>
          <w:bCs/>
          <w:lang w:val="nl-NL"/>
        </w:rPr>
        <w:t>Ethix</w:t>
      </w:r>
      <w:r w:rsidRPr="001E1954">
        <w:rPr>
          <w:lang w:val="nl-NL"/>
        </w:rPr>
        <w:t xml:space="preserve"> loopt. Ook praktisch relevant: EPM eist dat de stukken in het </w:t>
      </w:r>
      <w:r w:rsidRPr="001E1954">
        <w:rPr>
          <w:b/>
          <w:bCs/>
          <w:lang w:val="nl-NL"/>
        </w:rPr>
        <w:t>Zweeds</w:t>
      </w:r>
      <w:r w:rsidRPr="001E1954">
        <w:rPr>
          <w:lang w:val="nl-NL"/>
        </w:rPr>
        <w:t xml:space="preserve"> worden ingediend, mede omdat lekenleden ze moeten kunnen lezen. (</w:t>
      </w:r>
      <w:hyperlink r:id="rId16" w:tooltip="https://etikprovningsmyndigheten.se/en/" w:history="1">
        <w:r w:rsidRPr="001E1954">
          <w:rPr>
            <w:rStyle w:val="Hyperlink"/>
            <w:lang w:val="nl-NL"/>
          </w:rPr>
          <w:t>Etikprövningsmyndigheten</w:t>
        </w:r>
      </w:hyperlink>
      <w:r w:rsidRPr="001E1954">
        <w:rPr>
          <w:lang w:val="nl-NL"/>
        </w:rPr>
        <w:t>)</w:t>
      </w:r>
    </w:p>
    <w:p w14:paraId="3103EE93" w14:textId="77777777" w:rsidR="001E1954" w:rsidRPr="001E1954" w:rsidRDefault="001E1954" w:rsidP="001E1954">
      <w:pPr>
        <w:rPr>
          <w:lang w:val="nl-NL"/>
        </w:rPr>
      </w:pPr>
      <w:r w:rsidRPr="001E1954">
        <w:rPr>
          <w:lang w:val="nl-NL"/>
        </w:rPr>
        <w:t xml:space="preserve">Daarboven staat de </w:t>
      </w:r>
      <w:r w:rsidRPr="001E1954">
        <w:rPr>
          <w:b/>
          <w:bCs/>
          <w:lang w:val="nl-NL"/>
        </w:rPr>
        <w:t>Ethics Review Appeals Board (ÖNEP)</w:t>
      </w:r>
      <w:r w:rsidRPr="001E1954">
        <w:rPr>
          <w:lang w:val="nl-NL"/>
        </w:rPr>
        <w:t xml:space="preserve">. ÖNEP behandelt beroepen tegen EPM-besluiten, lost gevallen op waarin afdelingen van EPM het niet eens worden, en heeft bovendien </w:t>
      </w:r>
      <w:r w:rsidRPr="001E1954">
        <w:rPr>
          <w:b/>
          <w:bCs/>
          <w:lang w:val="nl-NL"/>
        </w:rPr>
        <w:t>toezicht op de naleving van de Ethical Review Act en de aan besluiten verbonden voorwaarden</w:t>
      </w:r>
      <w:r w:rsidRPr="001E1954">
        <w:rPr>
          <w:lang w:val="nl-NL"/>
        </w:rPr>
        <w:t xml:space="preserve">. Sinds </w:t>
      </w:r>
      <w:r w:rsidRPr="001E1954">
        <w:rPr>
          <w:b/>
          <w:bCs/>
          <w:lang w:val="nl-NL"/>
        </w:rPr>
        <w:t>1 januari 2020</w:t>
      </w:r>
      <w:r w:rsidRPr="001E1954">
        <w:rPr>
          <w:lang w:val="nl-NL"/>
        </w:rPr>
        <w:t xml:space="preserve"> is die toezichtstaak niet in tijd beperkt. ÖNEP kan daarbij bevelen en verboden uitvaardigen. Dat maakt ÖNEP methodologisch heel belangrijk: het is niet alleen een beroepsorgaan, maar ook een </w:t>
      </w:r>
      <w:r w:rsidRPr="001E1954">
        <w:rPr>
          <w:b/>
          <w:bCs/>
          <w:lang w:val="nl-NL"/>
        </w:rPr>
        <w:t>supervisory authority</w:t>
      </w:r>
      <w:r w:rsidRPr="001E1954">
        <w:rPr>
          <w:lang w:val="nl-NL"/>
        </w:rPr>
        <w:t xml:space="preserve"> voor dit deel van het systeem. (</w:t>
      </w:r>
      <w:hyperlink r:id="rId17" w:tooltip="https://www.onep.se/en/the-ethics-review-appeals-board/" w:history="1">
        <w:r w:rsidRPr="001E1954">
          <w:rPr>
            <w:rStyle w:val="Hyperlink"/>
            <w:lang w:val="nl-NL"/>
          </w:rPr>
          <w:t>Onep</w:t>
        </w:r>
      </w:hyperlink>
      <w:r w:rsidRPr="001E1954">
        <w:rPr>
          <w:lang w:val="nl-NL"/>
        </w:rPr>
        <w:t>)</w:t>
      </w:r>
    </w:p>
    <w:p w14:paraId="7EE45178" w14:textId="77777777" w:rsidR="001E1954" w:rsidRPr="001E1954" w:rsidRDefault="001E1954" w:rsidP="001E1954">
      <w:pPr>
        <w:rPr>
          <w:b/>
          <w:bCs/>
          <w:lang w:val="nl-NL"/>
        </w:rPr>
      </w:pPr>
      <w:r w:rsidRPr="001E1954">
        <w:rPr>
          <w:b/>
          <w:bCs/>
          <w:lang w:val="nl-NL"/>
        </w:rPr>
        <w:t>6. Mensgebonden ethiek is dus geen “onderdeel” van misconduct, maar een parallel regime</w:t>
      </w:r>
    </w:p>
    <w:p w14:paraId="18166128" w14:textId="77777777" w:rsidR="001E1954" w:rsidRPr="001E1954" w:rsidRDefault="001E1954" w:rsidP="001E1954">
      <w:pPr>
        <w:rPr>
          <w:lang w:val="nl-NL"/>
        </w:rPr>
      </w:pPr>
      <w:r w:rsidRPr="001E1954">
        <w:rPr>
          <w:lang w:val="nl-NL"/>
        </w:rPr>
        <w:t xml:space="preserve">Voor jouw bronarchitectuur is het heel belangrijk om niet alles onder research integrity te scharen. In Zweden lijkt de </w:t>
      </w:r>
      <w:r w:rsidRPr="001E1954">
        <w:rPr>
          <w:b/>
          <w:bCs/>
          <w:lang w:val="nl-NL"/>
        </w:rPr>
        <w:t>ethische toetsing van mensgebonden onderzoek</w:t>
      </w:r>
      <w:r w:rsidRPr="001E1954">
        <w:rPr>
          <w:lang w:val="nl-NL"/>
        </w:rPr>
        <w:t xml:space="preserve"> een eigen, zwaar gereguleerd regime te zijn met eigen wet, eigen autoriteit, eigen beroepsinstantie en eigen gidsdocumenten. De nieuwe </w:t>
      </w:r>
      <w:r w:rsidRPr="001E1954">
        <w:rPr>
          <w:b/>
          <w:bCs/>
          <w:lang w:val="nl-NL"/>
        </w:rPr>
        <w:t>Guide to ethical review 2024</w:t>
      </w:r>
      <w:r w:rsidRPr="001E1954">
        <w:rPr>
          <w:lang w:val="nl-NL"/>
        </w:rPr>
        <w:t xml:space="preserve"> is daarbij een belangrijk documenttype: een door de overheid geïnitieerde uitlegbron die onderzoekers en onderzoeksverantwoordelijke organisaties helpt begrijpen hoe de wet en de aanvraagprocedure werken. Dat soort gidsen zijn precies de documenten die je ook in andere landen moet gaan zoeken, omdat ze vaak veel beter laten zien </w:t>
      </w:r>
      <w:r w:rsidRPr="001E1954">
        <w:rPr>
          <w:b/>
          <w:bCs/>
          <w:lang w:val="nl-NL"/>
        </w:rPr>
        <w:t>hoe een systeem werkelijk functioneert</w:t>
      </w:r>
      <w:r w:rsidRPr="001E1954">
        <w:rPr>
          <w:lang w:val="nl-NL"/>
        </w:rPr>
        <w:t xml:space="preserve"> dan de wet alleen. (</w:t>
      </w:r>
      <w:hyperlink r:id="rId18" w:tooltip="https://etikprovningsmyndigheten.se/wp-content/uploads/2024/05/Guide-to-the-ethical-review_webb.pdf" w:history="1">
        <w:r w:rsidRPr="001E1954">
          <w:rPr>
            <w:rStyle w:val="Hyperlink"/>
            <w:lang w:val="nl-NL"/>
          </w:rPr>
          <w:t>Etikprövningsmyndigheten</w:t>
        </w:r>
      </w:hyperlink>
      <w:r w:rsidRPr="001E1954">
        <w:rPr>
          <w:lang w:val="nl-NL"/>
        </w:rPr>
        <w:t>)</w:t>
      </w:r>
    </w:p>
    <w:p w14:paraId="2D99F90D" w14:textId="77777777" w:rsidR="001E1954" w:rsidRPr="001E1954" w:rsidRDefault="001E1954" w:rsidP="001E1954">
      <w:pPr>
        <w:rPr>
          <w:b/>
          <w:bCs/>
          <w:lang w:val="nl-NL"/>
        </w:rPr>
      </w:pPr>
      <w:r w:rsidRPr="001E1954">
        <w:rPr>
          <w:b/>
          <w:bCs/>
          <w:lang w:val="nl-NL"/>
        </w:rPr>
        <w:t>7. De dierexperimentele laag</w:t>
      </w:r>
    </w:p>
    <w:p w14:paraId="06F42013" w14:textId="77777777" w:rsidR="001E1954" w:rsidRPr="001E1954" w:rsidRDefault="001E1954" w:rsidP="001E1954">
      <w:pPr>
        <w:rPr>
          <w:lang w:val="nl-NL"/>
        </w:rPr>
      </w:pPr>
      <w:r w:rsidRPr="001E1954">
        <w:rPr>
          <w:lang w:val="nl-NL"/>
        </w:rPr>
        <w:t xml:space="preserve">Zweden heeft daarnaast een eigen nationaal dierethisch regime. De </w:t>
      </w:r>
      <w:r w:rsidRPr="001E1954">
        <w:rPr>
          <w:b/>
          <w:bCs/>
          <w:lang w:val="nl-NL"/>
        </w:rPr>
        <w:t>Swedish Board of Agriculture</w:t>
      </w:r>
      <w:r w:rsidRPr="001E1954">
        <w:rPr>
          <w:lang w:val="nl-NL"/>
        </w:rPr>
        <w:t xml:space="preserve"> is verantwoordelijk voor de </w:t>
      </w:r>
      <w:r w:rsidRPr="001E1954">
        <w:rPr>
          <w:b/>
          <w:bCs/>
          <w:lang w:val="nl-NL"/>
        </w:rPr>
        <w:t>zes regional animal ethics committees</w:t>
      </w:r>
      <w:r w:rsidRPr="001E1954">
        <w:rPr>
          <w:lang w:val="nl-NL"/>
        </w:rPr>
        <w:t xml:space="preserve">, en daarnaast bestaat er een </w:t>
      </w:r>
      <w:r w:rsidRPr="001E1954">
        <w:rPr>
          <w:b/>
          <w:bCs/>
          <w:lang w:val="nl-NL"/>
        </w:rPr>
        <w:t>National Committee</w:t>
      </w:r>
      <w:r w:rsidRPr="001E1954">
        <w:rPr>
          <w:lang w:val="nl-NL"/>
        </w:rPr>
        <w:t xml:space="preserve"> en een </w:t>
      </w:r>
      <w:r w:rsidRPr="001E1954">
        <w:rPr>
          <w:b/>
          <w:bCs/>
          <w:lang w:val="nl-NL"/>
        </w:rPr>
        <w:t>Swedish 3Rs Center</w:t>
      </w:r>
      <w:r w:rsidRPr="001E1954">
        <w:rPr>
          <w:lang w:val="nl-NL"/>
        </w:rPr>
        <w:t xml:space="preserve">. Voor dierproeven is zowel een vergunning voor het gebruik van proefdieren nodig als een voorafgaande goedkeuring van een ethische commissie; een dierproef mag niet worden goedgekeurd als er alternatieve methoden bestaan die een gelijkwaardige of betere kenniswinst opleveren met minder of geen dierenleed. Het 3Rs Center functioneert nationaal als kennis- en ontwikkelplatform rond </w:t>
      </w:r>
      <w:r w:rsidRPr="001E1954">
        <w:rPr>
          <w:b/>
          <w:bCs/>
          <w:lang w:val="nl-NL"/>
        </w:rPr>
        <w:t>replacement, reduction and refinement</w:t>
      </w:r>
      <w:r w:rsidRPr="001E1954">
        <w:rPr>
          <w:lang w:val="nl-NL"/>
        </w:rPr>
        <w:t>. (</w:t>
      </w:r>
      <w:hyperlink r:id="rId19" w:tooltip="https://jordbruksverket.se/download/18.29670b818d10396dde20bd0/1705933519423/National-committee-annual-report-2023-tga.pdf" w:history="1">
        <w:r w:rsidRPr="001E1954">
          <w:rPr>
            <w:rStyle w:val="Hyperlink"/>
            <w:lang w:val="nl-NL"/>
          </w:rPr>
          <w:t>jordbruksverket.se</w:t>
        </w:r>
      </w:hyperlink>
      <w:r w:rsidRPr="001E1954">
        <w:rPr>
          <w:lang w:val="nl-NL"/>
        </w:rPr>
        <w:t>)</w:t>
      </w:r>
    </w:p>
    <w:p w14:paraId="5E7F1CCB" w14:textId="77777777" w:rsidR="001E1954" w:rsidRPr="001E1954" w:rsidRDefault="001E1954" w:rsidP="001E1954">
      <w:pPr>
        <w:rPr>
          <w:lang w:val="nl-NL"/>
        </w:rPr>
      </w:pPr>
      <w:r w:rsidRPr="001E1954">
        <w:rPr>
          <w:lang w:val="nl-NL"/>
        </w:rPr>
        <w:t xml:space="preserve">Dit is relevant omdat het Zweedse landschap daardoor niet alleen een </w:t>
      </w:r>
      <w:r w:rsidRPr="001E1954">
        <w:rPr>
          <w:b/>
          <w:bCs/>
          <w:lang w:val="nl-NL"/>
        </w:rPr>
        <w:t>integriteitslaag</w:t>
      </w:r>
      <w:r w:rsidRPr="001E1954">
        <w:rPr>
          <w:lang w:val="nl-NL"/>
        </w:rPr>
        <w:t xml:space="preserve"> en een </w:t>
      </w:r>
      <w:r w:rsidRPr="001E1954">
        <w:rPr>
          <w:b/>
          <w:bCs/>
          <w:lang w:val="nl-NL"/>
        </w:rPr>
        <w:t>mensethieklag</w:t>
      </w:r>
      <w:r w:rsidRPr="001E1954">
        <w:rPr>
          <w:lang w:val="nl-NL"/>
        </w:rPr>
        <w:t xml:space="preserve"> heeft, maar ook een duidelijk geformaliseerde </w:t>
      </w:r>
      <w:r w:rsidRPr="001E1954">
        <w:rPr>
          <w:b/>
          <w:bCs/>
          <w:lang w:val="nl-NL"/>
        </w:rPr>
        <w:t>dierethische laag</w:t>
      </w:r>
      <w:r w:rsidRPr="001E1954">
        <w:rPr>
          <w:lang w:val="nl-NL"/>
        </w:rPr>
        <w:t xml:space="preserve">. In jouw mapstructuur moet Zweden dus zeker een aparte map krijgen voor </w:t>
      </w:r>
      <w:r w:rsidRPr="001E1954">
        <w:rPr>
          <w:b/>
          <w:bCs/>
          <w:lang w:val="nl-NL"/>
        </w:rPr>
        <w:t>animal research ethics</w:t>
      </w:r>
      <w:r w:rsidRPr="001E1954">
        <w:rPr>
          <w:lang w:val="nl-NL"/>
        </w:rPr>
        <w:t>, niet als voetnoot maar als volwaardig grensregime. (</w:t>
      </w:r>
      <w:hyperlink r:id="rId20" w:tooltip="https://jordbruksverket.se/download/18.29670b818d10396dde20bd0/1705933519423/National-committee-annual-report-2023-tga.pdf" w:history="1">
        <w:r w:rsidRPr="001E1954">
          <w:rPr>
            <w:rStyle w:val="Hyperlink"/>
            <w:lang w:val="nl-NL"/>
          </w:rPr>
          <w:t>jordbruksverket.se</w:t>
        </w:r>
      </w:hyperlink>
      <w:r w:rsidRPr="001E1954">
        <w:rPr>
          <w:lang w:val="nl-NL"/>
        </w:rPr>
        <w:t>)</w:t>
      </w:r>
    </w:p>
    <w:p w14:paraId="4D8071CF" w14:textId="77777777" w:rsidR="001E1954" w:rsidRPr="001E1954" w:rsidRDefault="001E1954" w:rsidP="001E1954">
      <w:pPr>
        <w:rPr>
          <w:b/>
          <w:bCs/>
          <w:lang w:val="nl-NL"/>
        </w:rPr>
      </w:pPr>
      <w:r w:rsidRPr="001E1954">
        <w:rPr>
          <w:b/>
          <w:bCs/>
          <w:lang w:val="nl-NL"/>
        </w:rPr>
        <w:lastRenderedPageBreak/>
        <w:t>8. De nationale normatieve “soft law”-laag</w:t>
      </w:r>
    </w:p>
    <w:p w14:paraId="539AF8C6" w14:textId="77777777" w:rsidR="001E1954" w:rsidRPr="001E1954" w:rsidRDefault="001E1954" w:rsidP="001E1954">
      <w:pPr>
        <w:rPr>
          <w:lang w:val="nl-NL"/>
        </w:rPr>
      </w:pPr>
      <w:r w:rsidRPr="001E1954">
        <w:rPr>
          <w:lang w:val="nl-NL"/>
        </w:rPr>
        <w:t xml:space="preserve">In het materiaal dat ik heb gevonden, is de meest zichtbare Zweedse nationale soft-law bron </w:t>
      </w:r>
      <w:r w:rsidRPr="001E1954">
        <w:rPr>
          <w:b/>
          <w:bCs/>
          <w:lang w:val="nl-NL"/>
        </w:rPr>
        <w:t>niet één cross-sector gedragscode zoals NGWI of TENK</w:t>
      </w:r>
      <w:r w:rsidRPr="001E1954">
        <w:rPr>
          <w:lang w:val="nl-NL"/>
        </w:rPr>
        <w:t xml:space="preserve">, maar eerder de documentfamilie rond de </w:t>
      </w:r>
      <w:r w:rsidRPr="001E1954">
        <w:rPr>
          <w:b/>
          <w:bCs/>
          <w:lang w:val="nl-NL"/>
        </w:rPr>
        <w:t>Swedish Research Council (Vetenskapsrådet, VR)</w:t>
      </w:r>
      <w:r w:rsidRPr="001E1954">
        <w:rPr>
          <w:lang w:val="nl-NL"/>
        </w:rPr>
        <w:t xml:space="preserve">. VR is de grootste publieke onderzoekfinancier in Zweden en heeft ook een formele opdracht om initiatieven te nemen zodat ethische kwesties in onderzoek worden onderkend en om informatie over ethiek te verspreiden. In die rol publiceert VR het document </w:t>
      </w:r>
      <w:r w:rsidRPr="001E1954">
        <w:rPr>
          <w:b/>
          <w:bCs/>
          <w:lang w:val="nl-NL"/>
        </w:rPr>
        <w:t>Good Research Practice</w:t>
      </w:r>
      <w:r w:rsidRPr="001E1954">
        <w:rPr>
          <w:lang w:val="nl-NL"/>
        </w:rPr>
        <w:t xml:space="preserve">, waarvan in </w:t>
      </w:r>
      <w:r w:rsidRPr="001E1954">
        <w:rPr>
          <w:b/>
          <w:bCs/>
          <w:lang w:val="nl-NL"/>
        </w:rPr>
        <w:t>2024/2025</w:t>
      </w:r>
      <w:r w:rsidRPr="001E1954">
        <w:rPr>
          <w:lang w:val="nl-NL"/>
        </w:rPr>
        <w:t xml:space="preserve"> een herwerkte editie beschikbaar is. Die publicatie beschrijft goede onderzoekspraktijk, moet een ethische mindset bevorderen en is bedoeld om onderzoekers in alle fasen van het onderzoeksproces te ondersteunen, ook bij subsidieaanvragen. (</w:t>
      </w:r>
      <w:hyperlink r:id="rId21" w:tooltip="https://www.vr.se/english.html" w:history="1">
        <w:r w:rsidRPr="001E1954">
          <w:rPr>
            <w:rStyle w:val="Hyperlink"/>
            <w:lang w:val="nl-NL"/>
          </w:rPr>
          <w:t>VR</w:t>
        </w:r>
      </w:hyperlink>
      <w:r w:rsidRPr="001E1954">
        <w:rPr>
          <w:lang w:val="nl-NL"/>
        </w:rPr>
        <w:t>)</w:t>
      </w:r>
    </w:p>
    <w:p w14:paraId="7B46B751" w14:textId="77777777" w:rsidR="001E1954" w:rsidRPr="001E1954" w:rsidRDefault="001E1954" w:rsidP="001E1954">
      <w:pPr>
        <w:rPr>
          <w:lang w:val="nl-NL"/>
        </w:rPr>
      </w:pPr>
      <w:r w:rsidRPr="001E1954">
        <w:rPr>
          <w:lang w:val="nl-NL"/>
        </w:rPr>
        <w:t xml:space="preserve">Dit document lijkt voor Zweden heel belangrijk als </w:t>
      </w:r>
      <w:r w:rsidRPr="001E1954">
        <w:rPr>
          <w:b/>
          <w:bCs/>
          <w:lang w:val="nl-NL"/>
        </w:rPr>
        <w:t>nationale referentietekst</w:t>
      </w:r>
      <w:r w:rsidRPr="001E1954">
        <w:rPr>
          <w:lang w:val="nl-NL"/>
        </w:rPr>
        <w:t xml:space="preserve">. Het is geen wet, maar ook geen vrijblijvende brochure: het staat in directe relatie tot VR’s wettelijke opdracht, bouwt voort op eerdere edities uit </w:t>
      </w:r>
      <w:r w:rsidRPr="001E1954">
        <w:rPr>
          <w:b/>
          <w:bCs/>
          <w:lang w:val="nl-NL"/>
        </w:rPr>
        <w:t>2005, 2011 en 2017</w:t>
      </w:r>
      <w:r w:rsidRPr="001E1954">
        <w:rPr>
          <w:lang w:val="nl-NL"/>
        </w:rPr>
        <w:t xml:space="preserve">, en is in recente communicatie expliciet gekoppeld aan veranderende kaders zoals een geactualiseerde </w:t>
      </w:r>
      <w:r w:rsidRPr="001E1954">
        <w:rPr>
          <w:b/>
          <w:bCs/>
          <w:lang w:val="nl-NL"/>
        </w:rPr>
        <w:t>ALLEA Code</w:t>
      </w:r>
      <w:r w:rsidRPr="001E1954">
        <w:rPr>
          <w:lang w:val="nl-NL"/>
        </w:rPr>
        <w:t xml:space="preserve"> en nieuwe agentschappen. Voor jouw vergelijkende project betekent dit dat Zweden waarschijnlijk een iets ander normatief profiel heeft dan Finland of Noorwegen: minder één formeel nationaal integriteitscharter, en meer een combinatie van </w:t>
      </w:r>
      <w:r w:rsidRPr="001E1954">
        <w:rPr>
          <w:b/>
          <w:bCs/>
          <w:lang w:val="nl-NL"/>
        </w:rPr>
        <w:t>wet + VR-guidance + sectorale guidance + ALLEA-referenties</w:t>
      </w:r>
      <w:r w:rsidRPr="001E1954">
        <w:rPr>
          <w:lang w:val="nl-NL"/>
        </w:rPr>
        <w:t>. Dat is een interpretatie, maar wel een onderbouwde. (</w:t>
      </w:r>
      <w:hyperlink r:id="rId22" w:tooltip="https://www.vr.se/english/just-now/news/news-archive/2024-10-02-new-edition-of-the-swedish-research-councils-publication-good-research-practice.html" w:history="1">
        <w:r w:rsidRPr="001E1954">
          <w:rPr>
            <w:rStyle w:val="Hyperlink"/>
            <w:lang w:val="nl-NL"/>
          </w:rPr>
          <w:t>VR</w:t>
        </w:r>
      </w:hyperlink>
      <w:r w:rsidRPr="001E1954">
        <w:rPr>
          <w:lang w:val="nl-NL"/>
        </w:rPr>
        <w:t>)</w:t>
      </w:r>
    </w:p>
    <w:p w14:paraId="62F39423" w14:textId="77777777" w:rsidR="001E1954" w:rsidRPr="001E1954" w:rsidRDefault="001E1954" w:rsidP="001E1954">
      <w:pPr>
        <w:rPr>
          <w:b/>
          <w:bCs/>
          <w:lang w:val="nl-NL"/>
        </w:rPr>
      </w:pPr>
      <w:r w:rsidRPr="001E1954">
        <w:rPr>
          <w:b/>
          <w:bCs/>
          <w:lang w:val="nl-NL"/>
        </w:rPr>
        <w:t>9. Financiers als integriteitsactoren</w:t>
      </w:r>
    </w:p>
    <w:p w14:paraId="3586EA57" w14:textId="77777777" w:rsidR="001E1954" w:rsidRPr="001E1954" w:rsidRDefault="001E1954" w:rsidP="001E1954">
      <w:pPr>
        <w:rPr>
          <w:lang w:val="nl-NL"/>
        </w:rPr>
      </w:pPr>
      <w:r w:rsidRPr="001E1954">
        <w:rPr>
          <w:lang w:val="nl-NL"/>
        </w:rPr>
        <w:t xml:space="preserve">De financiers vormen in Zweden een duidelijke tweede normlaag. </w:t>
      </w:r>
      <w:r w:rsidRPr="001E1954">
        <w:rPr>
          <w:b/>
          <w:bCs/>
          <w:lang w:val="nl-NL"/>
        </w:rPr>
        <w:t>VR</w:t>
      </w:r>
      <w:r w:rsidRPr="001E1954">
        <w:rPr>
          <w:lang w:val="nl-NL"/>
        </w:rPr>
        <w:t xml:space="preserve"> vraagt bij subsidieaanvragen dat aanvragers uitleggen hoe zij omgaan met relevante wetgeving, vergunningen en ethische aspecten van het project. </w:t>
      </w:r>
      <w:r w:rsidRPr="001E1954">
        <w:rPr>
          <w:b/>
          <w:bCs/>
          <w:lang w:val="nl-NL"/>
        </w:rPr>
        <w:t>Formas</w:t>
      </w:r>
      <w:r w:rsidRPr="001E1954">
        <w:rPr>
          <w:lang w:val="nl-NL"/>
        </w:rPr>
        <w:t xml:space="preserve"> zegt in calls dat projecten die ethische beoordeling vereisen de noodzakelijke goedkeuring moeten hebben voordat het project start en heeft daarnaast eigen ethische beleids- en guideline-documenten voor zijn processen. </w:t>
      </w:r>
      <w:r w:rsidRPr="001E1954">
        <w:rPr>
          <w:b/>
          <w:bCs/>
          <w:lang w:val="nl-NL"/>
        </w:rPr>
        <w:t>Forte</w:t>
      </w:r>
      <w:r w:rsidRPr="001E1954">
        <w:rPr>
          <w:lang w:val="nl-NL"/>
        </w:rPr>
        <w:t xml:space="preserve"> verlangt in callteksten dat onderzoek ethisch wordt uitgevoerd en dat de aanvraag de ethische overwegingen en de omgang daarmee beschrijft. </w:t>
      </w:r>
      <w:r w:rsidRPr="001E1954">
        <w:rPr>
          <w:b/>
          <w:bCs/>
          <w:lang w:val="nl-NL"/>
        </w:rPr>
        <w:t>Vinnova</w:t>
      </w:r>
      <w:r w:rsidRPr="001E1954">
        <w:rPr>
          <w:lang w:val="nl-NL"/>
        </w:rPr>
        <w:t xml:space="preserve"> is vooral een innovatie-autoriteit met algemene subsidievoorwaarden en minder expliciet een research-integrity actor, maar hoort wel in de bredere governancekaart thuis omdat ook daar compliancevoorwaarden en projectverantwoordelijkheden worden vastgelegd. (</w:t>
      </w:r>
      <w:hyperlink r:id="rId23" w:tooltip="https://www.vr.se/english/applying-for-funding/requirements-terms-and-conditions/conducting-ethical-research.html" w:history="1">
        <w:r w:rsidRPr="001E1954">
          <w:rPr>
            <w:rStyle w:val="Hyperlink"/>
            <w:lang w:val="nl-NL"/>
          </w:rPr>
          <w:t>VR</w:t>
        </w:r>
      </w:hyperlink>
      <w:r w:rsidRPr="001E1954">
        <w:rPr>
          <w:lang w:val="nl-NL"/>
        </w:rPr>
        <w:t>)</w:t>
      </w:r>
    </w:p>
    <w:p w14:paraId="13D8ED77" w14:textId="77777777" w:rsidR="001E1954" w:rsidRPr="001E1954" w:rsidRDefault="001E1954" w:rsidP="001E1954">
      <w:pPr>
        <w:rPr>
          <w:lang w:val="nl-NL"/>
        </w:rPr>
      </w:pPr>
      <w:r w:rsidRPr="001E1954">
        <w:rPr>
          <w:lang w:val="nl-NL"/>
        </w:rPr>
        <w:t xml:space="preserve">Voor jouw bronlandschap is hier vooral van belang dat Zweden niet alleen normering “van bovenaf” via wet organiseert, maar ook via </w:t>
      </w:r>
      <w:r w:rsidRPr="001E1954">
        <w:rPr>
          <w:b/>
          <w:bCs/>
          <w:lang w:val="nl-NL"/>
        </w:rPr>
        <w:t>financieringsvoorwaarden</w:t>
      </w:r>
      <w:r w:rsidRPr="001E1954">
        <w:rPr>
          <w:lang w:val="nl-NL"/>
        </w:rPr>
        <w:t xml:space="preserve">. De financieringslaag koppelt integriteit aan aanvraagkwaliteit, vergunningen, ethische toetsing en projectuitvoering. Daardoor moet je voor Zweden financiers niet alleen als betalende organisaties labelen, maar als </w:t>
      </w:r>
      <w:r w:rsidRPr="001E1954">
        <w:rPr>
          <w:b/>
          <w:bCs/>
          <w:lang w:val="nl-NL"/>
        </w:rPr>
        <w:t>compliance-producers</w:t>
      </w:r>
      <w:r w:rsidRPr="001E1954">
        <w:rPr>
          <w:lang w:val="nl-NL"/>
        </w:rPr>
        <w:t>. (</w:t>
      </w:r>
      <w:hyperlink r:id="rId24" w:tooltip="https://www.vr.se/english/applying-for-funding/requirements-terms-and-conditions/conducting-ethical-research.html" w:history="1">
        <w:r w:rsidRPr="001E1954">
          <w:rPr>
            <w:rStyle w:val="Hyperlink"/>
            <w:lang w:val="nl-NL"/>
          </w:rPr>
          <w:t>VR</w:t>
        </w:r>
      </w:hyperlink>
      <w:r w:rsidRPr="001E1954">
        <w:rPr>
          <w:lang w:val="nl-NL"/>
        </w:rPr>
        <w:t>)</w:t>
      </w:r>
    </w:p>
    <w:p w14:paraId="041AAA41" w14:textId="77777777" w:rsidR="001E1954" w:rsidRPr="001E1954" w:rsidRDefault="001E1954" w:rsidP="001E1954">
      <w:pPr>
        <w:rPr>
          <w:b/>
          <w:bCs/>
          <w:lang w:val="nl-NL"/>
        </w:rPr>
      </w:pPr>
      <w:r w:rsidRPr="001E1954">
        <w:rPr>
          <w:b/>
          <w:bCs/>
          <w:lang w:val="nl-NL"/>
        </w:rPr>
        <w:t>10. De institutionele laag: hoe universiteiten het lokaal organiseren</w:t>
      </w:r>
    </w:p>
    <w:p w14:paraId="0E021FB0" w14:textId="77777777" w:rsidR="001E1954" w:rsidRPr="001E1954" w:rsidRDefault="001E1954" w:rsidP="001E1954">
      <w:pPr>
        <w:rPr>
          <w:lang w:val="nl-NL"/>
        </w:rPr>
      </w:pPr>
      <w:r w:rsidRPr="001E1954">
        <w:rPr>
          <w:lang w:val="nl-NL"/>
        </w:rPr>
        <w:lastRenderedPageBreak/>
        <w:t xml:space="preserve">De lokale universiteitslaag is in Zweden rijk en zichtbaar. </w:t>
      </w:r>
      <w:r w:rsidRPr="001E1954">
        <w:rPr>
          <w:b/>
          <w:bCs/>
          <w:lang w:val="nl-NL"/>
        </w:rPr>
        <w:t>Karolinska Institutet</w:t>
      </w:r>
      <w:r w:rsidRPr="001E1954">
        <w:rPr>
          <w:lang w:val="nl-NL"/>
        </w:rPr>
        <w:t xml:space="preserve"> heeft bijvoorbeeld een </w:t>
      </w:r>
      <w:r w:rsidRPr="001E1954">
        <w:rPr>
          <w:b/>
          <w:bCs/>
          <w:lang w:val="nl-NL"/>
        </w:rPr>
        <w:t>Council for the Examination of Deviations from Good Research Practice</w:t>
      </w:r>
      <w:r w:rsidRPr="001E1954">
        <w:rPr>
          <w:lang w:val="nl-NL"/>
        </w:rPr>
        <w:t xml:space="preserve"> die de president ondersteunt; KI maakt expliciet onderscheid tussen zaken die als mogelijk research misconduct naar Npof moeten en zaken die intern als andere deviations worden behandeld. </w:t>
      </w:r>
      <w:r w:rsidRPr="001E1954">
        <w:rPr>
          <w:b/>
          <w:bCs/>
          <w:lang w:val="nl-NL"/>
        </w:rPr>
        <w:t>Lund University</w:t>
      </w:r>
      <w:r w:rsidRPr="001E1954">
        <w:rPr>
          <w:lang w:val="nl-NL"/>
        </w:rPr>
        <w:t xml:space="preserve"> heeft een eigen </w:t>
      </w:r>
      <w:r w:rsidRPr="001E1954">
        <w:rPr>
          <w:b/>
          <w:bCs/>
          <w:lang w:val="nl-NL"/>
        </w:rPr>
        <w:t>Deviations from Good Research Practice Review Board</w:t>
      </w:r>
      <w:r w:rsidRPr="001E1954">
        <w:rPr>
          <w:lang w:val="nl-NL"/>
        </w:rPr>
        <w:t xml:space="preserve"> en beschrijft op haar website ook categorieën van “andere afwijkingen”, zoals onjuiste authorship/publicatiepraktijken, belemmering van controle en transparantie, ongepaste beïnvloeding of represailles, en schendingen van contract, licentie of vertrouwen. </w:t>
      </w:r>
      <w:r w:rsidRPr="001E1954">
        <w:rPr>
          <w:b/>
          <w:bCs/>
          <w:lang w:val="nl-NL"/>
        </w:rPr>
        <w:t>Uppsala University</w:t>
      </w:r>
      <w:r w:rsidRPr="001E1954">
        <w:rPr>
          <w:lang w:val="nl-NL"/>
        </w:rPr>
        <w:t xml:space="preserve"> heeft een formele richtlijn voor suspected deviations en behandelt klachten via een vast lokaal proces. (</w:t>
      </w:r>
      <w:hyperlink r:id="rId25" w:tooltip="https://ki.se/en/about-ki/organisation-and-management/council-for-the-examination-of-departures-from-good-research-practice" w:history="1">
        <w:r w:rsidRPr="001E1954">
          <w:rPr>
            <w:rStyle w:val="Hyperlink"/>
            <w:lang w:val="nl-NL"/>
          </w:rPr>
          <w:t>Karolinska Institutet</w:t>
        </w:r>
      </w:hyperlink>
      <w:r w:rsidRPr="001E1954">
        <w:rPr>
          <w:lang w:val="nl-NL"/>
        </w:rPr>
        <w:t>)</w:t>
      </w:r>
    </w:p>
    <w:p w14:paraId="02864C87" w14:textId="77777777" w:rsidR="001E1954" w:rsidRPr="001E1954" w:rsidRDefault="001E1954" w:rsidP="001E1954">
      <w:pPr>
        <w:rPr>
          <w:lang w:val="nl-NL"/>
        </w:rPr>
      </w:pPr>
      <w:r w:rsidRPr="001E1954">
        <w:rPr>
          <w:lang w:val="nl-NL"/>
        </w:rPr>
        <w:t xml:space="preserve">Andere universiteiten laten weer andere rollen zien. </w:t>
      </w:r>
      <w:r w:rsidRPr="001E1954">
        <w:rPr>
          <w:b/>
          <w:bCs/>
          <w:lang w:val="nl-NL"/>
        </w:rPr>
        <w:t>University of Gothenburg</w:t>
      </w:r>
      <w:r w:rsidRPr="001E1954">
        <w:rPr>
          <w:lang w:val="nl-NL"/>
        </w:rPr>
        <w:t xml:space="preserve"> heeft een research-ethics portal en verwijst expliciet naar wetten, ethische codes en andere regels, inclusief de </w:t>
      </w:r>
      <w:r w:rsidRPr="001E1954">
        <w:rPr>
          <w:b/>
          <w:bCs/>
          <w:lang w:val="nl-NL"/>
        </w:rPr>
        <w:t>ALLEA Code</w:t>
      </w:r>
      <w:r w:rsidRPr="001E1954">
        <w:rPr>
          <w:lang w:val="nl-NL"/>
        </w:rPr>
        <w:t xml:space="preserve"> als uitdrukking van fundamentele beginselen. </w:t>
      </w:r>
      <w:r w:rsidRPr="001E1954">
        <w:rPr>
          <w:b/>
          <w:bCs/>
        </w:rPr>
        <w:t>Stockholm University</w:t>
      </w:r>
      <w:r w:rsidRPr="001E1954">
        <w:t xml:space="preserve"> heeft een ethics support function en een policy over research integrity and ethics. </w:t>
      </w:r>
      <w:r w:rsidRPr="001E1954">
        <w:rPr>
          <w:b/>
          <w:bCs/>
          <w:lang w:val="nl-NL"/>
        </w:rPr>
        <w:t>KTH</w:t>
      </w:r>
      <w:r w:rsidRPr="001E1954">
        <w:rPr>
          <w:lang w:val="nl-NL"/>
        </w:rPr>
        <w:t xml:space="preserve"> heeft een </w:t>
      </w:r>
      <w:r w:rsidRPr="001E1954">
        <w:rPr>
          <w:b/>
          <w:bCs/>
          <w:lang w:val="nl-NL"/>
        </w:rPr>
        <w:t>Research Ethics Advisor</w:t>
      </w:r>
      <w:r w:rsidRPr="001E1954">
        <w:rPr>
          <w:lang w:val="nl-NL"/>
        </w:rPr>
        <w:t xml:space="preserve">, een Research Support Office en een interne </w:t>
      </w:r>
      <w:r w:rsidRPr="001E1954">
        <w:rPr>
          <w:b/>
          <w:bCs/>
          <w:lang w:val="nl-NL"/>
        </w:rPr>
        <w:t>Ethics Committee</w:t>
      </w:r>
      <w:r w:rsidRPr="001E1954">
        <w:rPr>
          <w:lang w:val="nl-NL"/>
        </w:rPr>
        <w:t xml:space="preserve"> die schriftelijke beoordelingen voor specifieke projecten kan geven. </w:t>
      </w:r>
      <w:r w:rsidRPr="001E1954">
        <w:rPr>
          <w:b/>
          <w:bCs/>
          <w:lang w:val="nl-NL"/>
        </w:rPr>
        <w:t>Umeå University</w:t>
      </w:r>
      <w:r w:rsidRPr="001E1954">
        <w:rPr>
          <w:lang w:val="nl-NL"/>
        </w:rPr>
        <w:t xml:space="preserve"> heeft openbare procedures voor suspected deviations en maakt ook duidelijk dat vermoedens van research misconduct rechtstreeks bij Npof kunnen worden gemeld. Dat laat zien dat Zweden lokaal niet één standaardrol kent, maar een verzameling van functies zoals </w:t>
      </w:r>
      <w:r w:rsidRPr="001E1954">
        <w:rPr>
          <w:b/>
          <w:bCs/>
          <w:lang w:val="nl-NL"/>
        </w:rPr>
        <w:t>vice-chancellor/president, internal review board, ethics support, research advisor en ethics committee</w:t>
      </w:r>
      <w:r w:rsidRPr="001E1954">
        <w:rPr>
          <w:lang w:val="nl-NL"/>
        </w:rPr>
        <w:t>. (</w:t>
      </w:r>
      <w:hyperlink r:id="rId26" w:tooltip="https://www.gu.se/en/research/research-ethics" w:history="1">
        <w:r w:rsidRPr="001E1954">
          <w:rPr>
            <w:rStyle w:val="Hyperlink"/>
            <w:lang w:val="nl-NL"/>
          </w:rPr>
          <w:t>Göteborgs universitet</w:t>
        </w:r>
      </w:hyperlink>
      <w:r w:rsidRPr="001E1954">
        <w:rPr>
          <w:lang w:val="nl-NL"/>
        </w:rPr>
        <w:t>)</w:t>
      </w:r>
    </w:p>
    <w:p w14:paraId="7532833F" w14:textId="77777777" w:rsidR="001E1954" w:rsidRPr="001E1954" w:rsidRDefault="001E1954" w:rsidP="001E1954">
      <w:pPr>
        <w:rPr>
          <w:b/>
          <w:bCs/>
          <w:lang w:val="nl-NL"/>
        </w:rPr>
      </w:pPr>
      <w:r w:rsidRPr="001E1954">
        <w:rPr>
          <w:b/>
          <w:bCs/>
          <w:lang w:val="nl-NL"/>
        </w:rPr>
        <w:t>11. De grenslagen: data, biobanken en klinische studies</w:t>
      </w:r>
    </w:p>
    <w:p w14:paraId="2DE20E89" w14:textId="77777777" w:rsidR="001E1954" w:rsidRPr="001E1954" w:rsidRDefault="001E1954" w:rsidP="001E1954">
      <w:pPr>
        <w:rPr>
          <w:lang w:val="nl-NL"/>
        </w:rPr>
      </w:pPr>
      <w:r w:rsidRPr="001E1954">
        <w:rPr>
          <w:lang w:val="nl-NL"/>
        </w:rPr>
        <w:t xml:space="preserve">Voor gegevensbescherming is de </w:t>
      </w:r>
      <w:r w:rsidRPr="001E1954">
        <w:rPr>
          <w:b/>
          <w:bCs/>
          <w:lang w:val="nl-NL"/>
        </w:rPr>
        <w:t>Integritetsskyddsmyndigheten (IMY)</w:t>
      </w:r>
      <w:r w:rsidRPr="001E1954">
        <w:rPr>
          <w:lang w:val="nl-NL"/>
        </w:rPr>
        <w:t xml:space="preserve"> de nationale toezichthouder voor persoonsgegevens. De IMY benadrukt dat de </w:t>
      </w:r>
      <w:r w:rsidRPr="001E1954">
        <w:rPr>
          <w:b/>
          <w:bCs/>
          <w:lang w:val="nl-NL"/>
        </w:rPr>
        <w:t>data controller</w:t>
      </w:r>
      <w:r w:rsidRPr="001E1954">
        <w:rPr>
          <w:lang w:val="nl-NL"/>
        </w:rPr>
        <w:t xml:space="preserve"> altijd verantwoordelijk blijft voor de verwerking van persoonsgegevens in onderzoek. Tegelijk bestaat er met de </w:t>
      </w:r>
      <w:r w:rsidRPr="001E1954">
        <w:rPr>
          <w:b/>
          <w:bCs/>
          <w:lang w:val="nl-NL"/>
        </w:rPr>
        <w:t>Swedish National Data Service (SND)</w:t>
      </w:r>
      <w:r w:rsidRPr="001E1954">
        <w:rPr>
          <w:lang w:val="nl-NL"/>
        </w:rPr>
        <w:t xml:space="preserve"> een nationale infrastructuur die onderzoekers helpt om digitale onderzoeksdata toegankelijk en beheersbaar te maken, inclusief een Zweedse checklist voor </w:t>
      </w:r>
      <w:proofErr w:type="gramStart"/>
      <w:r w:rsidRPr="001E1954">
        <w:rPr>
          <w:b/>
          <w:bCs/>
          <w:lang w:val="nl-NL"/>
        </w:rPr>
        <w:t>data management</w:t>
      </w:r>
      <w:proofErr w:type="gramEnd"/>
      <w:r w:rsidRPr="001E1954">
        <w:rPr>
          <w:b/>
          <w:bCs/>
          <w:lang w:val="nl-NL"/>
        </w:rPr>
        <w:t xml:space="preserve"> plans</w:t>
      </w:r>
      <w:r w:rsidRPr="001E1954">
        <w:rPr>
          <w:lang w:val="nl-NL"/>
        </w:rPr>
        <w:t xml:space="preserve">. Dat betekent dat de Zweedse integriteitskaart ook een duidelijke </w:t>
      </w:r>
      <w:r w:rsidRPr="001E1954">
        <w:rPr>
          <w:b/>
          <w:bCs/>
          <w:lang w:val="nl-NL"/>
        </w:rPr>
        <w:t>data governance</w:t>
      </w:r>
      <w:r w:rsidRPr="001E1954">
        <w:rPr>
          <w:lang w:val="nl-NL"/>
        </w:rPr>
        <w:t>-laag heeft, waarin compliance en infrastructuur samenkomen. (</w:t>
      </w:r>
      <w:hyperlink r:id="rId27" w:tooltip="https://www.imy.se/en/about-us/swedish-authority-for-privacy-protections-assignment/" w:history="1">
        <w:r w:rsidRPr="001E1954">
          <w:rPr>
            <w:rStyle w:val="Hyperlink"/>
            <w:lang w:val="nl-NL"/>
          </w:rPr>
          <w:t>IMY</w:t>
        </w:r>
      </w:hyperlink>
      <w:r w:rsidRPr="001E1954">
        <w:rPr>
          <w:lang w:val="nl-NL"/>
        </w:rPr>
        <w:t>)</w:t>
      </w:r>
    </w:p>
    <w:p w14:paraId="545477E8" w14:textId="77777777" w:rsidR="001E1954" w:rsidRPr="001E1954" w:rsidRDefault="001E1954" w:rsidP="001E1954">
      <w:pPr>
        <w:rPr>
          <w:lang w:val="nl-NL"/>
        </w:rPr>
      </w:pPr>
      <w:r w:rsidRPr="001E1954">
        <w:rPr>
          <w:lang w:val="nl-NL"/>
        </w:rPr>
        <w:t xml:space="preserve">Voor menselijk biologisch materiaal is de </w:t>
      </w:r>
      <w:r w:rsidRPr="001E1954">
        <w:rPr>
          <w:b/>
          <w:bCs/>
          <w:lang w:val="nl-NL"/>
        </w:rPr>
        <w:t>Biobank Act (2023:38)</w:t>
      </w:r>
      <w:r w:rsidRPr="001E1954">
        <w:rPr>
          <w:lang w:val="nl-NL"/>
        </w:rPr>
        <w:t xml:space="preserve"> belangrijk. Die trad in werking op </w:t>
      </w:r>
      <w:r w:rsidRPr="001E1954">
        <w:rPr>
          <w:b/>
          <w:bCs/>
          <w:lang w:val="nl-NL"/>
        </w:rPr>
        <w:t>1 juli 2023</w:t>
      </w:r>
      <w:r w:rsidRPr="001E1954">
        <w:rPr>
          <w:lang w:val="nl-NL"/>
        </w:rPr>
        <w:t xml:space="preserve">, verving de oudere wet uit 2003, en regelt het verzamelen, bewaren en gebruiken van menselijk biologisch materiaal dat aan een persoon kan worden gekoppeld. De doelstelling is expliciet dubbel: de integriteit van donoren beschermen en tegelijk gezondheidszorg en onderzoek mogelijk maken. Voor </w:t>
      </w:r>
      <w:r w:rsidRPr="001E1954">
        <w:rPr>
          <w:b/>
          <w:bCs/>
          <w:lang w:val="nl-NL"/>
        </w:rPr>
        <w:t>klinische trials met geneesmiddelen</w:t>
      </w:r>
      <w:r w:rsidRPr="001E1954">
        <w:rPr>
          <w:lang w:val="nl-NL"/>
        </w:rPr>
        <w:t xml:space="preserve"> geldt daarnaast een aparte combinatie van </w:t>
      </w:r>
      <w:r w:rsidRPr="001E1954">
        <w:rPr>
          <w:b/>
          <w:bCs/>
          <w:lang w:val="nl-NL"/>
        </w:rPr>
        <w:t>wetenschappelijke en ethische beoordeling</w:t>
      </w:r>
      <w:r w:rsidRPr="001E1954">
        <w:rPr>
          <w:lang w:val="nl-NL"/>
        </w:rPr>
        <w:t xml:space="preserve"> en autorisatie via zowel de </w:t>
      </w:r>
      <w:r w:rsidRPr="001E1954">
        <w:rPr>
          <w:b/>
          <w:bCs/>
          <w:lang w:val="nl-NL"/>
        </w:rPr>
        <w:t xml:space="preserve">Medical </w:t>
      </w:r>
      <w:r w:rsidRPr="001E1954">
        <w:rPr>
          <w:b/>
          <w:bCs/>
          <w:lang w:val="nl-NL"/>
        </w:rPr>
        <w:lastRenderedPageBreak/>
        <w:t>Products Agency</w:t>
      </w:r>
      <w:r w:rsidRPr="001E1954">
        <w:rPr>
          <w:lang w:val="nl-NL"/>
        </w:rPr>
        <w:t xml:space="preserve"> als de </w:t>
      </w:r>
      <w:r w:rsidRPr="001E1954">
        <w:rPr>
          <w:b/>
          <w:bCs/>
          <w:lang w:val="nl-NL"/>
        </w:rPr>
        <w:t>Ethical Review Authority</w:t>
      </w:r>
      <w:r w:rsidRPr="001E1954">
        <w:rPr>
          <w:lang w:val="nl-NL"/>
        </w:rPr>
        <w:t>. Ook dit zijn dus geen randzaken, maar belangrijke grensdocumenten rond de praktische integriteit van onderzoek. (</w:t>
      </w:r>
      <w:hyperlink r:id="rId28" w:tooltip="https://biobanksverige.se/en/the-swedish-biobank-act/" w:history="1">
        <w:r w:rsidRPr="001E1954">
          <w:rPr>
            <w:rStyle w:val="Hyperlink"/>
            <w:lang w:val="nl-NL"/>
          </w:rPr>
          <w:t>Biobank Sverige</w:t>
        </w:r>
      </w:hyperlink>
      <w:r w:rsidRPr="001E1954">
        <w:rPr>
          <w:lang w:val="nl-NL"/>
        </w:rPr>
        <w:t>)</w:t>
      </w:r>
    </w:p>
    <w:p w14:paraId="4788ECD4" w14:textId="77777777" w:rsidR="001E1954" w:rsidRPr="001E1954" w:rsidRDefault="001E1954" w:rsidP="001E1954">
      <w:pPr>
        <w:rPr>
          <w:b/>
          <w:bCs/>
          <w:lang w:val="nl-NL"/>
        </w:rPr>
      </w:pPr>
      <w:r w:rsidRPr="001E1954">
        <w:rPr>
          <w:b/>
          <w:bCs/>
          <w:lang w:val="nl-NL"/>
        </w:rPr>
        <w:t>12. De historische en vormende documenten</w:t>
      </w:r>
    </w:p>
    <w:p w14:paraId="6AF249EB" w14:textId="77777777" w:rsidR="001E1954" w:rsidRPr="001E1954" w:rsidRDefault="001E1954" w:rsidP="001E1954">
      <w:pPr>
        <w:rPr>
          <w:lang w:val="nl-NL"/>
        </w:rPr>
      </w:pPr>
      <w:r w:rsidRPr="001E1954">
        <w:rPr>
          <w:lang w:val="nl-NL"/>
        </w:rPr>
        <w:t xml:space="preserve">Als je in Zweden ook de “vormende documenten” wilt verzamelen, dan is de belangrijkste documentlijn waarschijnlijk niet één beroemd incident, maar de </w:t>
      </w:r>
      <w:r w:rsidRPr="001E1954">
        <w:rPr>
          <w:b/>
          <w:bCs/>
          <w:lang w:val="nl-NL"/>
        </w:rPr>
        <w:t>reform trail</w:t>
      </w:r>
      <w:r w:rsidRPr="001E1954">
        <w:rPr>
          <w:lang w:val="nl-NL"/>
        </w:rPr>
        <w:t xml:space="preserve"> van officiële rapporten en wetsvoorstellen. Daar horen in elk geval de oudere overheidsrapporten zoals </w:t>
      </w:r>
      <w:r w:rsidRPr="001E1954">
        <w:rPr>
          <w:b/>
          <w:bCs/>
          <w:lang w:val="nl-NL"/>
        </w:rPr>
        <w:t>SOU 1999:4 God sed i forskningen</w:t>
      </w:r>
      <w:r w:rsidRPr="001E1954">
        <w:rPr>
          <w:lang w:val="nl-NL"/>
        </w:rPr>
        <w:t xml:space="preserve">, het onderzoeksrapport </w:t>
      </w:r>
      <w:r w:rsidRPr="001E1954">
        <w:rPr>
          <w:b/>
          <w:bCs/>
          <w:lang w:val="nl-NL"/>
        </w:rPr>
        <w:t>SOU 2017:10</w:t>
      </w:r>
      <w:r w:rsidRPr="001E1954">
        <w:rPr>
          <w:lang w:val="nl-NL"/>
        </w:rPr>
        <w:t xml:space="preserve">, en vervolgens de regeringspropositie </w:t>
      </w:r>
      <w:r w:rsidRPr="001E1954">
        <w:rPr>
          <w:b/>
          <w:bCs/>
          <w:lang w:val="nl-NL"/>
        </w:rPr>
        <w:t>2018/19:58</w:t>
      </w:r>
      <w:r w:rsidRPr="001E1954">
        <w:rPr>
          <w:lang w:val="nl-NL"/>
        </w:rPr>
        <w:t xml:space="preserve"> bij die de huidige ordening invoerde. Die documenten laten zien hoe Zweden van oudere discussies over good scientific practice en institutionele verantwoordelijkheid is geëvolueerd naar de huidige nationale misconductboard en de expliciete taakverdeling tussen nationaal en lokaal niveau. Voor jouw project zijn dit belangrijke bronnen omdat zij vaak beter dan losse webpagina’s laten zien </w:t>
      </w:r>
      <w:r w:rsidRPr="001E1954">
        <w:rPr>
          <w:b/>
          <w:bCs/>
          <w:lang w:val="nl-NL"/>
        </w:rPr>
        <w:t>waarom</w:t>
      </w:r>
      <w:r w:rsidRPr="001E1954">
        <w:rPr>
          <w:lang w:val="nl-NL"/>
        </w:rPr>
        <w:t xml:space="preserve"> een stelsel in zijn huidige vorm is ontstaan. (</w:t>
      </w:r>
      <w:hyperlink r:id="rId29" w:tooltip="https://www.riksdagen.se/sv/dokument-och-lagar/dokument/statens-offentliga-utredningar/god-sed-i-forskningen_gnb34/html/" w:history="1">
        <w:r w:rsidRPr="001E1954">
          <w:rPr>
            <w:rStyle w:val="Hyperlink"/>
            <w:lang w:val="nl-NL"/>
          </w:rPr>
          <w:t>Riksdagen</w:t>
        </w:r>
      </w:hyperlink>
      <w:r w:rsidRPr="001E1954">
        <w:rPr>
          <w:lang w:val="nl-NL"/>
        </w:rPr>
        <w:t>)</w:t>
      </w:r>
    </w:p>
    <w:p w14:paraId="6C0AB275" w14:textId="77777777" w:rsidR="001E1954" w:rsidRPr="001E1954" w:rsidRDefault="001E1954" w:rsidP="001E1954">
      <w:pPr>
        <w:rPr>
          <w:b/>
          <w:bCs/>
          <w:lang w:val="nl-NL"/>
        </w:rPr>
      </w:pPr>
      <w:r w:rsidRPr="001E1954">
        <w:rPr>
          <w:b/>
          <w:bCs/>
          <w:lang w:val="nl-NL"/>
        </w:rPr>
        <w:t>13. Welke documentlabels Zweden nu oplevert</w:t>
      </w:r>
    </w:p>
    <w:p w14:paraId="716D1688" w14:textId="77777777" w:rsidR="001E1954" w:rsidRPr="001E1954" w:rsidRDefault="001E1954" w:rsidP="001E1954">
      <w:pPr>
        <w:rPr>
          <w:lang w:val="nl-NL"/>
        </w:rPr>
      </w:pPr>
      <w:r w:rsidRPr="001E1954">
        <w:rPr>
          <w:lang w:val="nl-NL"/>
        </w:rPr>
        <w:t>Voor Zweden zou ik voorlopig de volgende bronlabels gebruiken.</w:t>
      </w:r>
    </w:p>
    <w:p w14:paraId="01064C22" w14:textId="77777777" w:rsidR="001E1954" w:rsidRPr="001E1954" w:rsidRDefault="001E1954" w:rsidP="001E1954">
      <w:pPr>
        <w:rPr>
          <w:lang w:val="nl-NL"/>
        </w:rPr>
      </w:pPr>
      <w:r w:rsidRPr="001E1954">
        <w:rPr>
          <w:b/>
          <w:bCs/>
        </w:rPr>
        <w:t>1. Constitutive law</w:t>
      </w:r>
      <w:r w:rsidRPr="001E1954">
        <w:t xml:space="preserve">: de misconductwet van 2019, de Higher Education Act en de Higher Education Ordinance. </w:t>
      </w:r>
      <w:r w:rsidRPr="001E1954">
        <w:rPr>
          <w:lang w:val="nl-NL"/>
        </w:rPr>
        <w:t>Deze bewijzen wie waarvoor verantwoordelijk is. (</w:t>
      </w:r>
      <w:hyperlink r:id="rId30"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69A3570B" w14:textId="77777777" w:rsidR="001E1954" w:rsidRPr="001E1954" w:rsidRDefault="001E1954" w:rsidP="001E1954">
      <w:pPr>
        <w:rPr>
          <w:lang w:val="nl-NL"/>
        </w:rPr>
      </w:pPr>
      <w:r w:rsidRPr="001E1954">
        <w:rPr>
          <w:b/>
          <w:bCs/>
          <w:lang w:val="nl-NL"/>
        </w:rPr>
        <w:t>2. National misconduct governance documents</w:t>
      </w:r>
      <w:r w:rsidRPr="001E1954">
        <w:rPr>
          <w:lang w:val="nl-NL"/>
        </w:rPr>
        <w:t>: Npof-instructieverordening, samenstelling, procedurepagina’s, beslissingen en jaarverslagen. Deze laten zien hoe de nationale FFP-route werkt. (</w:t>
      </w:r>
      <w:hyperlink r:id="rId31" w:tooltip="https://www.riksdagen.se/sv/dokument-och-lagar/dokument/svensk-forfattningssamling/forordning-20191152-med-instruktion-for-namnden_sfs-2019-1152/" w:history="1">
        <w:r w:rsidRPr="001E1954">
          <w:rPr>
            <w:rStyle w:val="Hyperlink"/>
            <w:lang w:val="nl-NL"/>
          </w:rPr>
          <w:t>Riksdagen</w:t>
        </w:r>
      </w:hyperlink>
      <w:r w:rsidRPr="001E1954">
        <w:rPr>
          <w:lang w:val="nl-NL"/>
        </w:rPr>
        <w:t>)</w:t>
      </w:r>
    </w:p>
    <w:p w14:paraId="3A4F1EA9" w14:textId="77777777" w:rsidR="001E1954" w:rsidRPr="001E1954" w:rsidRDefault="001E1954" w:rsidP="001E1954">
      <w:pPr>
        <w:rPr>
          <w:lang w:val="nl-NL"/>
        </w:rPr>
      </w:pPr>
      <w:r w:rsidRPr="001E1954">
        <w:rPr>
          <w:b/>
          <w:bCs/>
        </w:rPr>
        <w:t>3. Institutional deviation-handling documents</w:t>
      </w:r>
      <w:r w:rsidRPr="001E1954">
        <w:t xml:space="preserve">: lokale richtlijnen, review boards, presidential/vice-chancellor procedures en rapportagepraktijken. </w:t>
      </w:r>
      <w:r w:rsidRPr="001E1954">
        <w:rPr>
          <w:lang w:val="nl-NL"/>
        </w:rPr>
        <w:t>Deze laten zien hoe “other deviations” worden behandeld. (</w:t>
      </w:r>
      <w:hyperlink r:id="rId32" w:tooltip="https://ki.se/en/about-ki/organisation-and-management/council-for-the-examination-of-departures-from-good-research-practice" w:history="1">
        <w:r w:rsidRPr="001E1954">
          <w:rPr>
            <w:rStyle w:val="Hyperlink"/>
            <w:lang w:val="nl-NL"/>
          </w:rPr>
          <w:t>Karolinska Institutet</w:t>
        </w:r>
      </w:hyperlink>
      <w:r w:rsidRPr="001E1954">
        <w:rPr>
          <w:lang w:val="nl-NL"/>
        </w:rPr>
        <w:t>)</w:t>
      </w:r>
    </w:p>
    <w:p w14:paraId="0857FA49" w14:textId="77777777" w:rsidR="001E1954" w:rsidRPr="001E1954" w:rsidRDefault="001E1954" w:rsidP="001E1954">
      <w:pPr>
        <w:rPr>
          <w:lang w:val="nl-NL"/>
        </w:rPr>
      </w:pPr>
      <w:r w:rsidRPr="001E1954">
        <w:rPr>
          <w:b/>
          <w:bCs/>
        </w:rPr>
        <w:t>4. National soft-law / explanatory guidance</w:t>
      </w:r>
      <w:r w:rsidRPr="001E1954">
        <w:t xml:space="preserve">: VR’s </w:t>
      </w:r>
      <w:r w:rsidRPr="001E1954">
        <w:rPr>
          <w:i/>
          <w:iCs/>
        </w:rPr>
        <w:t>Good Research Practice</w:t>
      </w:r>
      <w:r w:rsidRPr="001E1954">
        <w:t xml:space="preserve"> en SUHF’s guidance. </w:t>
      </w:r>
      <w:r w:rsidRPr="001E1954">
        <w:rPr>
          <w:lang w:val="nl-NL"/>
        </w:rPr>
        <w:t>Dit zijn de documenten die het systeem interpreteren en operationaliseren. (</w:t>
      </w:r>
      <w:hyperlink r:id="rId33" w:tooltip="https://www.vr.se/english/just-now/news/news-archive/2024-10-02-new-edition-of-the-swedish-research-councils-publication-good-research-practice.html" w:history="1">
        <w:r w:rsidRPr="001E1954">
          <w:rPr>
            <w:rStyle w:val="Hyperlink"/>
            <w:lang w:val="nl-NL"/>
          </w:rPr>
          <w:t>VR</w:t>
        </w:r>
      </w:hyperlink>
      <w:r w:rsidRPr="001E1954">
        <w:rPr>
          <w:lang w:val="nl-NL"/>
        </w:rPr>
        <w:t>)</w:t>
      </w:r>
    </w:p>
    <w:p w14:paraId="32298189" w14:textId="77777777" w:rsidR="001E1954" w:rsidRPr="001E1954" w:rsidRDefault="001E1954" w:rsidP="001E1954">
      <w:pPr>
        <w:rPr>
          <w:lang w:val="nl-NL"/>
        </w:rPr>
      </w:pPr>
      <w:r w:rsidRPr="001E1954">
        <w:rPr>
          <w:b/>
          <w:bCs/>
          <w:lang w:val="nl-NL"/>
        </w:rPr>
        <w:t>5. Human-research ethics documents</w:t>
      </w:r>
      <w:r w:rsidRPr="001E1954">
        <w:rPr>
          <w:lang w:val="nl-NL"/>
        </w:rPr>
        <w:t>: Ethical Review Act, EPM-materialen, de 2024 guide en ÖNEP-documenten. Deze tonen de aparte mensethische infrastructuur. (</w:t>
      </w:r>
      <w:hyperlink r:id="rId34" w:tooltip="https://www.riksdagen.se/sv/dokument-och-lagar/dokument/svensk-forfattningssamling/lag-2003460-om-etikprovning-av-forskning-som_sfs-2003-460/" w:history="1">
        <w:r w:rsidRPr="001E1954">
          <w:rPr>
            <w:rStyle w:val="Hyperlink"/>
            <w:lang w:val="nl-NL"/>
          </w:rPr>
          <w:t>Riksdagen</w:t>
        </w:r>
      </w:hyperlink>
      <w:r w:rsidRPr="001E1954">
        <w:rPr>
          <w:lang w:val="nl-NL"/>
        </w:rPr>
        <w:t>)</w:t>
      </w:r>
    </w:p>
    <w:p w14:paraId="7D5B3564" w14:textId="77777777" w:rsidR="001E1954" w:rsidRPr="001E1954" w:rsidRDefault="001E1954" w:rsidP="001E1954">
      <w:pPr>
        <w:rPr>
          <w:lang w:val="nl-NL"/>
        </w:rPr>
      </w:pPr>
      <w:r w:rsidRPr="001E1954">
        <w:rPr>
          <w:b/>
          <w:bCs/>
          <w:lang w:val="nl-NL"/>
        </w:rPr>
        <w:t>6. Animal-research ethics documents</w:t>
      </w:r>
      <w:r w:rsidRPr="001E1954">
        <w:rPr>
          <w:lang w:val="nl-NL"/>
        </w:rPr>
        <w:t>: stukken van de Board of Agriculture, de regionale commissies en het 3Rs Center. (</w:t>
      </w:r>
      <w:hyperlink r:id="rId35" w:tooltip="https://jordbruksverket.se/download/18.29670b818d10396dde20bd0/1705933519423/National-committee-annual-report-2023-tga.pdf" w:history="1">
        <w:r w:rsidRPr="001E1954">
          <w:rPr>
            <w:rStyle w:val="Hyperlink"/>
            <w:lang w:val="nl-NL"/>
          </w:rPr>
          <w:t>jordbruksverket.se</w:t>
        </w:r>
      </w:hyperlink>
      <w:r w:rsidRPr="001E1954">
        <w:rPr>
          <w:lang w:val="nl-NL"/>
        </w:rPr>
        <w:t>)</w:t>
      </w:r>
    </w:p>
    <w:p w14:paraId="2F1C2841" w14:textId="77777777" w:rsidR="001E1954" w:rsidRPr="001E1954" w:rsidRDefault="001E1954" w:rsidP="001E1954">
      <w:pPr>
        <w:rPr>
          <w:lang w:val="nl-NL"/>
        </w:rPr>
      </w:pPr>
      <w:r w:rsidRPr="001E1954">
        <w:rPr>
          <w:b/>
          <w:bCs/>
          <w:lang w:val="nl-NL"/>
        </w:rPr>
        <w:t>7. Funder compliance documents</w:t>
      </w:r>
      <w:r w:rsidRPr="001E1954">
        <w:rPr>
          <w:lang w:val="nl-NL"/>
        </w:rPr>
        <w:t>: voorwaarden en callteksten van VR, Formas, Forte en waar relevant Vinnova. (</w:t>
      </w:r>
      <w:hyperlink r:id="rId36" w:tooltip="https://www.vr.se/english/applying-for-funding/requirements-terms-and-conditions/conducting-ethical-research.html" w:history="1">
        <w:r w:rsidRPr="001E1954">
          <w:rPr>
            <w:rStyle w:val="Hyperlink"/>
            <w:lang w:val="nl-NL"/>
          </w:rPr>
          <w:t>VR</w:t>
        </w:r>
      </w:hyperlink>
      <w:r w:rsidRPr="001E1954">
        <w:rPr>
          <w:lang w:val="nl-NL"/>
        </w:rPr>
        <w:t>)</w:t>
      </w:r>
    </w:p>
    <w:p w14:paraId="664100E1" w14:textId="77777777" w:rsidR="001E1954" w:rsidRPr="001E1954" w:rsidRDefault="001E1954" w:rsidP="001E1954">
      <w:pPr>
        <w:rPr>
          <w:lang w:val="nl-NL"/>
        </w:rPr>
      </w:pPr>
      <w:r w:rsidRPr="001E1954">
        <w:rPr>
          <w:b/>
          <w:bCs/>
          <w:lang w:val="nl-NL"/>
        </w:rPr>
        <w:lastRenderedPageBreak/>
        <w:t>8. Boundary-law documents</w:t>
      </w:r>
      <w:r w:rsidRPr="001E1954">
        <w:rPr>
          <w:lang w:val="nl-NL"/>
        </w:rPr>
        <w:t>: IMY/GDPR-materialen, Biobank Act, clinical-trial routes en aanverwante regelgeving. (</w:t>
      </w:r>
      <w:hyperlink r:id="rId37" w:tooltip="https://www.imy.se/en/about-us/swedish-authority-for-privacy-protections-assignment/" w:history="1">
        <w:r w:rsidRPr="001E1954">
          <w:rPr>
            <w:rStyle w:val="Hyperlink"/>
            <w:lang w:val="nl-NL"/>
          </w:rPr>
          <w:t>IMY</w:t>
        </w:r>
      </w:hyperlink>
      <w:r w:rsidRPr="001E1954">
        <w:rPr>
          <w:lang w:val="nl-NL"/>
        </w:rPr>
        <w:t>)</w:t>
      </w:r>
    </w:p>
    <w:p w14:paraId="66CBAB93" w14:textId="77777777" w:rsidR="001E1954" w:rsidRPr="001E1954" w:rsidRDefault="001E1954" w:rsidP="001E1954">
      <w:pPr>
        <w:rPr>
          <w:lang w:val="nl-NL"/>
        </w:rPr>
      </w:pPr>
      <w:r w:rsidRPr="001E1954">
        <w:rPr>
          <w:b/>
          <w:bCs/>
          <w:lang w:val="nl-NL"/>
        </w:rPr>
        <w:t>9. Historical formative texts</w:t>
      </w:r>
      <w:r w:rsidRPr="001E1954">
        <w:rPr>
          <w:lang w:val="nl-NL"/>
        </w:rPr>
        <w:t>: SOU’s en de regeringspropositie achter de hervorming. (</w:t>
      </w:r>
      <w:hyperlink r:id="rId38" w:tooltip="https://www.riksdagen.se/sv/dokument-och-lagar/dokument/statens-offentliga-utredningar/god-sed-i-forskningen_gnb34/html/" w:history="1">
        <w:r w:rsidRPr="001E1954">
          <w:rPr>
            <w:rStyle w:val="Hyperlink"/>
            <w:lang w:val="nl-NL"/>
          </w:rPr>
          <w:t>Riksdagen</w:t>
        </w:r>
      </w:hyperlink>
      <w:r w:rsidRPr="001E1954">
        <w:rPr>
          <w:lang w:val="nl-NL"/>
        </w:rPr>
        <w:t>)</w:t>
      </w:r>
    </w:p>
    <w:p w14:paraId="2E821F90" w14:textId="77777777" w:rsidR="001E1954" w:rsidRPr="001E1954" w:rsidRDefault="001E1954" w:rsidP="001E1954">
      <w:pPr>
        <w:rPr>
          <w:b/>
          <w:bCs/>
          <w:lang w:val="nl-NL"/>
        </w:rPr>
      </w:pPr>
      <w:r w:rsidRPr="001E1954">
        <w:rPr>
          <w:b/>
          <w:bCs/>
          <w:lang w:val="nl-NL"/>
        </w:rPr>
        <w:t>14. Wat Zweden onderscheidt van de andere landen tot nu toe</w:t>
      </w:r>
    </w:p>
    <w:p w14:paraId="5101A623" w14:textId="77777777" w:rsidR="001E1954" w:rsidRPr="001E1954" w:rsidRDefault="001E1954" w:rsidP="001E1954">
      <w:pPr>
        <w:rPr>
          <w:lang w:val="nl-NL"/>
        </w:rPr>
      </w:pPr>
      <w:r w:rsidRPr="001E1954">
        <w:rPr>
          <w:lang w:val="nl-NL"/>
        </w:rPr>
        <w:t xml:space="preserve">Mijn voorlopige conclusie is dat Zweden binnen jouw Noord-Europese pilotset vooral opvalt door drie dingen. Ten eerste de </w:t>
      </w:r>
      <w:r w:rsidRPr="001E1954">
        <w:rPr>
          <w:b/>
          <w:bCs/>
          <w:lang w:val="nl-NL"/>
        </w:rPr>
        <w:t>scherpe juridische afbakening</w:t>
      </w:r>
      <w:r w:rsidRPr="001E1954">
        <w:rPr>
          <w:lang w:val="nl-NL"/>
        </w:rPr>
        <w:t xml:space="preserve"> van misconduct als FFP. Ten tweede de expliciete wettelijke plicht voor universiteiten om </w:t>
      </w:r>
      <w:r w:rsidRPr="001E1954">
        <w:rPr>
          <w:b/>
          <w:bCs/>
          <w:lang w:val="nl-NL"/>
        </w:rPr>
        <w:t>andere afwijkingen</w:t>
      </w:r>
      <w:r w:rsidRPr="001E1954">
        <w:rPr>
          <w:lang w:val="nl-NL"/>
        </w:rPr>
        <w:t xml:space="preserve"> zelf te behandelen én daarover jaarlijks aan de nationale board te rapporteren. Ten derde het feit dat de </w:t>
      </w:r>
      <w:r w:rsidRPr="001E1954">
        <w:rPr>
          <w:b/>
          <w:bCs/>
          <w:lang w:val="nl-NL"/>
        </w:rPr>
        <w:t>ethische toetsing van mensgebonden onderzoek</w:t>
      </w:r>
      <w:r w:rsidRPr="001E1954">
        <w:rPr>
          <w:lang w:val="nl-NL"/>
        </w:rPr>
        <w:t xml:space="preserve"> als een sterk apart, nationaal georganiseerd regime naast de integriteitsroute staat. Daardoor is Zweden niet alleen “meer wettelijk” dan Nederland of Finland, maar ook </w:t>
      </w:r>
      <w:r w:rsidRPr="001E1954">
        <w:rPr>
          <w:b/>
          <w:bCs/>
          <w:lang w:val="nl-NL"/>
        </w:rPr>
        <w:t>meer gesegmenteerd per functie</w:t>
      </w:r>
      <w:r w:rsidRPr="001E1954">
        <w:rPr>
          <w:lang w:val="nl-NL"/>
        </w:rPr>
        <w:t>: misconduct, local deviations, human ethics, animal ethics, data/privacy en funder compliance zijn duidelijk herkenbare subsystemen. (</w:t>
      </w:r>
      <w:hyperlink r:id="rId39"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474F69DA" w14:textId="77777777" w:rsidR="001E1954" w:rsidRPr="001E1954" w:rsidRDefault="001E1954" w:rsidP="001E1954">
      <w:pPr>
        <w:rPr>
          <w:b/>
          <w:bCs/>
          <w:lang w:val="nl-NL"/>
        </w:rPr>
      </w:pPr>
      <w:r w:rsidRPr="001E1954">
        <w:rPr>
          <w:b/>
          <w:bCs/>
          <w:lang w:val="nl-NL"/>
        </w:rPr>
        <w:t>15. Mijn voorlopige kernset om voor Zweden te verzamelen</w:t>
      </w:r>
    </w:p>
    <w:p w14:paraId="4C9CA191" w14:textId="77777777" w:rsidR="001E1954" w:rsidRPr="001E1954" w:rsidRDefault="001E1954" w:rsidP="001E1954">
      <w:pPr>
        <w:rPr>
          <w:lang w:val="nl-NL"/>
        </w:rPr>
      </w:pPr>
      <w:r w:rsidRPr="001E1954">
        <w:rPr>
          <w:lang w:val="nl-NL"/>
        </w:rPr>
        <w:t xml:space="preserve">Als ik nu een eerste Zweedse corpusmap zou maken, zou ik beginnen met: de </w:t>
      </w:r>
      <w:r w:rsidRPr="001E1954">
        <w:rPr>
          <w:b/>
          <w:bCs/>
          <w:lang w:val="nl-NL"/>
        </w:rPr>
        <w:t>2019 misconductwet</w:t>
      </w:r>
      <w:r w:rsidRPr="001E1954">
        <w:rPr>
          <w:lang w:val="nl-NL"/>
        </w:rPr>
        <w:t xml:space="preserve">, de </w:t>
      </w:r>
      <w:r w:rsidRPr="001E1954">
        <w:rPr>
          <w:b/>
          <w:bCs/>
          <w:lang w:val="nl-NL"/>
        </w:rPr>
        <w:t>Higher Education Act/Ordinance</w:t>
      </w:r>
      <w:r w:rsidRPr="001E1954">
        <w:rPr>
          <w:lang w:val="nl-NL"/>
        </w:rPr>
        <w:t xml:space="preserve">, de </w:t>
      </w:r>
      <w:r w:rsidRPr="001E1954">
        <w:rPr>
          <w:b/>
          <w:bCs/>
          <w:lang w:val="nl-NL"/>
        </w:rPr>
        <w:t>propositie 2018/19:58</w:t>
      </w:r>
      <w:r w:rsidRPr="001E1954">
        <w:rPr>
          <w:lang w:val="nl-NL"/>
        </w:rPr>
        <w:t xml:space="preserve">, de </w:t>
      </w:r>
      <w:r w:rsidRPr="001E1954">
        <w:rPr>
          <w:b/>
          <w:bCs/>
          <w:lang w:val="nl-NL"/>
        </w:rPr>
        <w:t>Npof-instructies en jaarverslagen</w:t>
      </w:r>
      <w:r w:rsidRPr="001E1954">
        <w:rPr>
          <w:lang w:val="nl-NL"/>
        </w:rPr>
        <w:t xml:space="preserve">, de </w:t>
      </w:r>
      <w:r w:rsidRPr="001E1954">
        <w:rPr>
          <w:b/>
          <w:bCs/>
          <w:lang w:val="nl-NL"/>
        </w:rPr>
        <w:t>SUHF-guidance 2023</w:t>
      </w:r>
      <w:r w:rsidRPr="001E1954">
        <w:rPr>
          <w:lang w:val="nl-NL"/>
        </w:rPr>
        <w:t xml:space="preserve">, VR’s </w:t>
      </w:r>
      <w:r w:rsidRPr="001E1954">
        <w:rPr>
          <w:b/>
          <w:bCs/>
          <w:lang w:val="nl-NL"/>
        </w:rPr>
        <w:t>Good Research Practice 2024</w:t>
      </w:r>
      <w:r w:rsidRPr="001E1954">
        <w:rPr>
          <w:lang w:val="nl-NL"/>
        </w:rPr>
        <w:t xml:space="preserve">, de </w:t>
      </w:r>
      <w:r w:rsidRPr="001E1954">
        <w:rPr>
          <w:b/>
          <w:bCs/>
          <w:lang w:val="nl-NL"/>
        </w:rPr>
        <w:t>Ethical Review Act</w:t>
      </w:r>
      <w:r w:rsidRPr="001E1954">
        <w:rPr>
          <w:lang w:val="nl-NL"/>
        </w:rPr>
        <w:t xml:space="preserve">, de </w:t>
      </w:r>
      <w:r w:rsidRPr="001E1954">
        <w:rPr>
          <w:b/>
          <w:bCs/>
          <w:lang w:val="nl-NL"/>
        </w:rPr>
        <w:t>EPM guide 2024</w:t>
      </w:r>
      <w:r w:rsidRPr="001E1954">
        <w:rPr>
          <w:lang w:val="nl-NL"/>
        </w:rPr>
        <w:t xml:space="preserve">, de kernpagina’s van </w:t>
      </w:r>
      <w:r w:rsidRPr="001E1954">
        <w:rPr>
          <w:b/>
          <w:bCs/>
          <w:lang w:val="nl-NL"/>
        </w:rPr>
        <w:t>ÖNEP</w:t>
      </w:r>
      <w:r w:rsidRPr="001E1954">
        <w:rPr>
          <w:lang w:val="nl-NL"/>
        </w:rPr>
        <w:t xml:space="preserve">, de basisdocumenten van de </w:t>
      </w:r>
      <w:r w:rsidRPr="001E1954">
        <w:rPr>
          <w:b/>
          <w:bCs/>
          <w:lang w:val="nl-NL"/>
        </w:rPr>
        <w:t>Board of Agriculture / animal ethics committees / 3Rs Center</w:t>
      </w:r>
      <w:r w:rsidRPr="001E1954">
        <w:rPr>
          <w:lang w:val="nl-NL"/>
        </w:rPr>
        <w:t xml:space="preserve">, en daarna vier representatieve instellingen zoals </w:t>
      </w:r>
      <w:r w:rsidRPr="001E1954">
        <w:rPr>
          <w:b/>
          <w:bCs/>
          <w:lang w:val="nl-NL"/>
        </w:rPr>
        <w:t>KI, Lund, Uppsala en Gothenburg of Stockholm/KTH</w:t>
      </w:r>
      <w:r w:rsidRPr="001E1954">
        <w:rPr>
          <w:lang w:val="nl-NL"/>
        </w:rPr>
        <w:t>. Daarmee heb je al een heel stevig beeld van het Zweedse systeem zonder elk Zweeds instituut meteen volledig uit te pluizen. (</w:t>
      </w:r>
      <w:hyperlink r:id="rId40" w:tooltip="https://www.riksdagen.se/sv/dokument-och-lagar/dokument/svensk-forfattningssamling/lag-2019504-om-ansvar-for-god-forskningssed-och_sfs-2019-504/" w:history="1">
        <w:r w:rsidRPr="001E1954">
          <w:rPr>
            <w:rStyle w:val="Hyperlink"/>
            <w:lang w:val="nl-NL"/>
          </w:rPr>
          <w:t>Riksdagen</w:t>
        </w:r>
      </w:hyperlink>
      <w:r w:rsidRPr="001E1954">
        <w:rPr>
          <w:lang w:val="nl-NL"/>
        </w:rPr>
        <w:t>)</w:t>
      </w:r>
    </w:p>
    <w:p w14:paraId="2FEF1B8E" w14:textId="77777777" w:rsidR="001E1954" w:rsidRPr="001E1954" w:rsidRDefault="001E1954" w:rsidP="001E1954">
      <w:pPr>
        <w:rPr>
          <w:lang w:val="nl-NL"/>
        </w:rPr>
      </w:pPr>
      <w:r w:rsidRPr="001E1954">
        <w:rPr>
          <w:lang w:val="nl-NL"/>
        </w:rPr>
        <w:t xml:space="preserve">De volgende logische stap is nu waarschijnlijk </w:t>
      </w:r>
      <w:r w:rsidRPr="001E1954">
        <w:rPr>
          <w:b/>
          <w:bCs/>
          <w:lang w:val="nl-NL"/>
        </w:rPr>
        <w:t>de vijf Nordics naast elkaar leggen</w:t>
      </w:r>
      <w:r w:rsidRPr="001E1954">
        <w:rPr>
          <w:lang w:val="nl-NL"/>
        </w:rPr>
        <w:t xml:space="preserve"> en precies benoemen: waar zit de nationale kern, waar zit het beroep, waar zit de ethieklaag, en welk soort documenten ieder land produceert.</w:t>
      </w:r>
    </w:p>
    <w:p w14:paraId="4DF01E0A" w14:textId="77777777" w:rsidR="00407C7C" w:rsidRPr="001E1954" w:rsidRDefault="00407C7C">
      <w:pPr>
        <w:rPr>
          <w:lang w:val="nl-NL"/>
        </w:rPr>
      </w:pPr>
    </w:p>
    <w:sectPr w:rsidR="00407C7C" w:rsidRPr="001E1954"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EF"/>
    <w:rsid w:val="001E1954"/>
    <w:rsid w:val="001E528E"/>
    <w:rsid w:val="0023427A"/>
    <w:rsid w:val="002551AA"/>
    <w:rsid w:val="00273D29"/>
    <w:rsid w:val="0036154D"/>
    <w:rsid w:val="00392002"/>
    <w:rsid w:val="00394BCE"/>
    <w:rsid w:val="00407C7C"/>
    <w:rsid w:val="004E2765"/>
    <w:rsid w:val="006846CA"/>
    <w:rsid w:val="007A24AA"/>
    <w:rsid w:val="008B67AA"/>
    <w:rsid w:val="009A628C"/>
    <w:rsid w:val="009F306F"/>
    <w:rsid w:val="00A96AF6"/>
    <w:rsid w:val="00BD6CEF"/>
    <w:rsid w:val="00C51E99"/>
    <w:rsid w:val="00C85560"/>
    <w:rsid w:val="00DB419A"/>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46A6"/>
  <w15:chartTrackingRefBased/>
  <w15:docId w15:val="{69ECA785-C8CA-4B72-90CC-1E2284529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EF"/>
    <w:rPr>
      <w:rFonts w:eastAsiaTheme="majorEastAsia" w:cstheme="majorBidi"/>
      <w:color w:val="272727" w:themeColor="text1" w:themeTint="D8"/>
    </w:rPr>
  </w:style>
  <w:style w:type="paragraph" w:styleId="Title">
    <w:name w:val="Title"/>
    <w:basedOn w:val="Normal"/>
    <w:next w:val="Normal"/>
    <w:link w:val="TitleChar"/>
    <w:uiPriority w:val="10"/>
    <w:qFormat/>
    <w:rsid w:val="00BD6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EF"/>
    <w:pPr>
      <w:spacing w:before="160"/>
      <w:jc w:val="center"/>
    </w:pPr>
    <w:rPr>
      <w:i/>
      <w:iCs/>
      <w:color w:val="404040" w:themeColor="text1" w:themeTint="BF"/>
    </w:rPr>
  </w:style>
  <w:style w:type="character" w:customStyle="1" w:styleId="QuoteChar">
    <w:name w:val="Quote Char"/>
    <w:basedOn w:val="DefaultParagraphFont"/>
    <w:link w:val="Quote"/>
    <w:uiPriority w:val="29"/>
    <w:rsid w:val="00BD6CEF"/>
    <w:rPr>
      <w:i/>
      <w:iCs/>
      <w:color w:val="404040" w:themeColor="text1" w:themeTint="BF"/>
    </w:rPr>
  </w:style>
  <w:style w:type="paragraph" w:styleId="ListParagraph">
    <w:name w:val="List Paragraph"/>
    <w:basedOn w:val="Normal"/>
    <w:uiPriority w:val="34"/>
    <w:qFormat/>
    <w:rsid w:val="00BD6CEF"/>
    <w:pPr>
      <w:ind w:left="720"/>
      <w:contextualSpacing/>
    </w:pPr>
  </w:style>
  <w:style w:type="character" w:styleId="IntenseEmphasis">
    <w:name w:val="Intense Emphasis"/>
    <w:basedOn w:val="DefaultParagraphFont"/>
    <w:uiPriority w:val="21"/>
    <w:qFormat/>
    <w:rsid w:val="00BD6CEF"/>
    <w:rPr>
      <w:i/>
      <w:iCs/>
      <w:color w:val="0F4761" w:themeColor="accent1" w:themeShade="BF"/>
    </w:rPr>
  </w:style>
  <w:style w:type="paragraph" w:styleId="IntenseQuote">
    <w:name w:val="Intense Quote"/>
    <w:basedOn w:val="Normal"/>
    <w:next w:val="Normal"/>
    <w:link w:val="IntenseQuoteChar"/>
    <w:uiPriority w:val="30"/>
    <w:qFormat/>
    <w:rsid w:val="00BD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CEF"/>
    <w:rPr>
      <w:i/>
      <w:iCs/>
      <w:color w:val="0F4761" w:themeColor="accent1" w:themeShade="BF"/>
    </w:rPr>
  </w:style>
  <w:style w:type="character" w:styleId="IntenseReference">
    <w:name w:val="Intense Reference"/>
    <w:basedOn w:val="DefaultParagraphFont"/>
    <w:uiPriority w:val="32"/>
    <w:qFormat/>
    <w:rsid w:val="00BD6CEF"/>
    <w:rPr>
      <w:b/>
      <w:bCs/>
      <w:smallCaps/>
      <w:color w:val="0F4761" w:themeColor="accent1" w:themeShade="BF"/>
      <w:spacing w:val="5"/>
    </w:rPr>
  </w:style>
  <w:style w:type="character" w:styleId="Hyperlink">
    <w:name w:val="Hyperlink"/>
    <w:basedOn w:val="DefaultParagraphFont"/>
    <w:uiPriority w:val="99"/>
    <w:unhideWhenUsed/>
    <w:rsid w:val="001E1954"/>
    <w:rPr>
      <w:color w:val="467886" w:themeColor="hyperlink"/>
      <w:u w:val="single"/>
    </w:rPr>
  </w:style>
  <w:style w:type="character" w:styleId="UnresolvedMention">
    <w:name w:val="Unresolved Mention"/>
    <w:basedOn w:val="DefaultParagraphFont"/>
    <w:uiPriority w:val="99"/>
    <w:semiHidden/>
    <w:unhideWhenUsed/>
    <w:rsid w:val="001E1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639436">
      <w:bodyDiv w:val="1"/>
      <w:marLeft w:val="0"/>
      <w:marRight w:val="0"/>
      <w:marTop w:val="0"/>
      <w:marBottom w:val="0"/>
      <w:divBdr>
        <w:top w:val="none" w:sz="0" w:space="0" w:color="auto"/>
        <w:left w:val="none" w:sz="0" w:space="0" w:color="auto"/>
        <w:bottom w:val="none" w:sz="0" w:space="0" w:color="auto"/>
        <w:right w:val="none" w:sz="0" w:space="0" w:color="auto"/>
      </w:divBdr>
    </w:div>
    <w:div w:id="184740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hogskolelag-19921434_sfs-1992-1434/" TargetMode="External"/><Relationship Id="rId13" Type="http://schemas.openxmlformats.org/officeDocument/2006/relationships/hyperlink" Target="https://www.riksdagen.se/sv/dokument-och-lagar/dokument/svensk-forfattningssamling/hogskoleforordning-1993100_sfs-1993-100/" TargetMode="External"/><Relationship Id="rId18" Type="http://schemas.openxmlformats.org/officeDocument/2006/relationships/hyperlink" Target="https://etikprovningsmyndigheten.se/wp-content/uploads/2024/05/Guide-to-the-ethical-review_webb.pdf" TargetMode="External"/><Relationship Id="rId26" Type="http://schemas.openxmlformats.org/officeDocument/2006/relationships/hyperlink" Target="https://www.gu.se/en/research/research-ethics" TargetMode="External"/><Relationship Id="rId39" Type="http://schemas.openxmlformats.org/officeDocument/2006/relationships/hyperlink" Target="https://www.riksdagen.se/sv/dokument-och-lagar/dokument/svensk-forfattningssamling/lag-2019504-om-ansvar-for-god-forskningssed-och_sfs-2019-504/" TargetMode="External"/><Relationship Id="rId3" Type="http://schemas.openxmlformats.org/officeDocument/2006/relationships/webSettings" Target="webSettings.xml"/><Relationship Id="rId21" Type="http://schemas.openxmlformats.org/officeDocument/2006/relationships/hyperlink" Target="https://www.vr.se/english.html" TargetMode="External"/><Relationship Id="rId34" Type="http://schemas.openxmlformats.org/officeDocument/2006/relationships/hyperlink" Target="https://www.riksdagen.se/sv/dokument-och-lagar/dokument/svensk-forfattningssamling/lag-2003460-om-etikprovning-av-forskning-som_sfs-2003-460/" TargetMode="External"/><Relationship Id="rId42" Type="http://schemas.openxmlformats.org/officeDocument/2006/relationships/theme" Target="theme/theme1.xml"/><Relationship Id="rId7" Type="http://schemas.openxmlformats.org/officeDocument/2006/relationships/hyperlink" Target="https://www.riksdagen.se/sv/dokument-och-lagar/dokument/svensk-forfattningssamling/lag-2019504-om-ansvar-for-god-forskningssed-och_sfs-2019-504/" TargetMode="External"/><Relationship Id="rId12" Type="http://schemas.openxmlformats.org/officeDocument/2006/relationships/hyperlink" Target="https://www.riksdagen.se/sv/dokument-och-lagar/dokument/svensk-forfattningssamling/lag-2019504-om-ansvar-for-god-forskningssed-och_sfs-2019-504/" TargetMode="External"/><Relationship Id="rId17" Type="http://schemas.openxmlformats.org/officeDocument/2006/relationships/hyperlink" Target="https://www.onep.se/en/the-ethics-review-appeals-board/" TargetMode="External"/><Relationship Id="rId25" Type="http://schemas.openxmlformats.org/officeDocument/2006/relationships/hyperlink" Target="https://ki.se/en/about-ki/organisation-and-management/council-for-the-examination-of-departures-from-good-research-practice" TargetMode="External"/><Relationship Id="rId33" Type="http://schemas.openxmlformats.org/officeDocument/2006/relationships/hyperlink" Target="https://www.vr.se/english/just-now/news/news-archive/2024-10-02-new-edition-of-the-swedish-research-councils-publication-good-research-practice.html" TargetMode="External"/><Relationship Id="rId38" Type="http://schemas.openxmlformats.org/officeDocument/2006/relationships/hyperlink" Target="https://www.riksdagen.se/sv/dokument-och-lagar/dokument/statens-offentliga-utredningar/god-sed-i-forskningen_gnb34/html/" TargetMode="External"/><Relationship Id="rId2" Type="http://schemas.openxmlformats.org/officeDocument/2006/relationships/settings" Target="settings.xml"/><Relationship Id="rId16" Type="http://schemas.openxmlformats.org/officeDocument/2006/relationships/hyperlink" Target="https://etikprovningsmyndigheten.se/en/" TargetMode="External"/><Relationship Id="rId20" Type="http://schemas.openxmlformats.org/officeDocument/2006/relationships/hyperlink" Target="https://jordbruksverket.se/download/18.29670b818d10396dde20bd0/1705933519423/National-committee-annual-report-2023-tga.pdf" TargetMode="External"/><Relationship Id="rId29" Type="http://schemas.openxmlformats.org/officeDocument/2006/relationships/hyperlink" Target="https://www.riksdagen.se/sv/dokument-och-lagar/dokument/statens-offentliga-utredningar/god-sed-i-forskningen_gnb34/html/"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riksdagen.se/sv/dokument-och-lagar/dokument/svensk-forfattningssamling/lag-2019504-om-ansvar-for-god-forskningssed-och_sfs-2019-504/" TargetMode="External"/><Relationship Id="rId11" Type="http://schemas.openxmlformats.org/officeDocument/2006/relationships/hyperlink" Target="https://www.riksdagen.se/sv/dokument-och-lagar/dokument/svensk-forfattningssamling/lag-2019504-om-ansvar-for-god-forskningssed-och_sfs-2019-504/" TargetMode="External"/><Relationship Id="rId24" Type="http://schemas.openxmlformats.org/officeDocument/2006/relationships/hyperlink" Target="https://www.vr.se/english/applying-for-funding/requirements-terms-and-conditions/conducting-ethical-research.html" TargetMode="External"/><Relationship Id="rId32" Type="http://schemas.openxmlformats.org/officeDocument/2006/relationships/hyperlink" Target="https://ki.se/en/about-ki/organisation-and-management/council-for-the-examination-of-departures-from-good-research-practice" TargetMode="External"/><Relationship Id="rId37" Type="http://schemas.openxmlformats.org/officeDocument/2006/relationships/hyperlink" Target="https://www.imy.se/en/about-us/swedish-authority-for-privacy-protections-assignment/" TargetMode="External"/><Relationship Id="rId40" Type="http://schemas.openxmlformats.org/officeDocument/2006/relationships/hyperlink" Target="https://www.riksdagen.se/sv/dokument-och-lagar/dokument/svensk-forfattningssamling/lag-2019504-om-ansvar-for-god-forskningssed-och_sfs-2019-504/" TargetMode="External"/><Relationship Id="rId5" Type="http://schemas.openxmlformats.org/officeDocument/2006/relationships/hyperlink" Target="https://www.riksdagen.se/sv/dokument-och-lagar/dokument/svensk-forfattningssamling/lag-2019504-om-ansvar-for-god-forskningssed-och_sfs-2019-504/" TargetMode="External"/><Relationship Id="rId15" Type="http://schemas.openxmlformats.org/officeDocument/2006/relationships/hyperlink" Target="https://www.riksdagen.se/sv/dokument-och-lagar/dokument/svensk-forfattningssamling/lag-2003460-om-etikprovning-av-forskning-som_sfs-2003-460/" TargetMode="External"/><Relationship Id="rId23" Type="http://schemas.openxmlformats.org/officeDocument/2006/relationships/hyperlink" Target="https://www.vr.se/english/applying-for-funding/requirements-terms-and-conditions/conducting-ethical-research.html" TargetMode="External"/><Relationship Id="rId28" Type="http://schemas.openxmlformats.org/officeDocument/2006/relationships/hyperlink" Target="https://biobanksverige.se/en/the-swedish-biobank-act/" TargetMode="External"/><Relationship Id="rId36" Type="http://schemas.openxmlformats.org/officeDocument/2006/relationships/hyperlink" Target="https://www.vr.se/english/applying-for-funding/requirements-terms-and-conditions/conducting-ethical-research.html" TargetMode="External"/><Relationship Id="rId10" Type="http://schemas.openxmlformats.org/officeDocument/2006/relationships/hyperlink" Target="https://npof.se/en/about-us/" TargetMode="External"/><Relationship Id="rId19" Type="http://schemas.openxmlformats.org/officeDocument/2006/relationships/hyperlink" Target="https://jordbruksverket.se/download/18.29670b818d10396dde20bd0/1705933519423/National-committee-annual-report-2023-tga.pdf" TargetMode="External"/><Relationship Id="rId31" Type="http://schemas.openxmlformats.org/officeDocument/2006/relationships/hyperlink" Target="https://www.riksdagen.se/sv/dokument-och-lagar/dokument/svensk-forfattningssamling/forordning-20191152-med-instruktion-for-namnden_sfs-2019-1152/" TargetMode="External"/><Relationship Id="rId4" Type="http://schemas.openxmlformats.org/officeDocument/2006/relationships/hyperlink" Target="https://www.riksdagen.se/sv/dokument-och-lagar/dokument/svensk-forfattningssamling/lag-2019504-om-ansvar-for-god-forskningssed-och_sfs-2019-504/" TargetMode="External"/><Relationship Id="rId9" Type="http://schemas.openxmlformats.org/officeDocument/2006/relationships/hyperlink" Target="https://svenskforfattningssamling.se/sites/default/files/sfs/2019-11/SFS2019-1176.pdf?utm_source=chatgpt.com" TargetMode="External"/><Relationship Id="rId14" Type="http://schemas.openxmlformats.org/officeDocument/2006/relationships/hyperlink" Target="https://suhf.se/app/uploads/2024/05/REK-2020-3-REV-Guidance-for-HEIs-efforts-to-prevent-manage-and-follow-up-on-suspected-deviations-from-good-research-practice-30-08-23-1.pdf" TargetMode="External"/><Relationship Id="rId22" Type="http://schemas.openxmlformats.org/officeDocument/2006/relationships/hyperlink" Target="https://www.vr.se/english/just-now/news/news-archive/2024-10-02-new-edition-of-the-swedish-research-councils-publication-good-research-practice.html" TargetMode="External"/><Relationship Id="rId27" Type="http://schemas.openxmlformats.org/officeDocument/2006/relationships/hyperlink" Target="https://www.imy.se/en/about-us/swedish-authority-for-privacy-protections-assignment/" TargetMode="External"/><Relationship Id="rId30" Type="http://schemas.openxmlformats.org/officeDocument/2006/relationships/hyperlink" Target="https://www.riksdagen.se/sv/dokument-och-lagar/dokument/svensk-forfattningssamling/lag-2019504-om-ansvar-for-god-forskningssed-och_sfs-2019-504/" TargetMode="External"/><Relationship Id="rId35" Type="http://schemas.openxmlformats.org/officeDocument/2006/relationships/hyperlink" Target="https://jordbruksverket.se/download/18.29670b818d10396dde20bd0/1705933519423/National-committee-annual-report-2023-tg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4747</Words>
  <Characters>26111</Characters>
  <Application>Microsoft Office Word</Application>
  <DocSecurity>0</DocSecurity>
  <Lines>217</Lines>
  <Paragraphs>61</Paragraphs>
  <ScaleCrop>false</ScaleCrop>
  <Company/>
  <LinksUpToDate>false</LinksUpToDate>
  <CharactersWithSpaces>30797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2026-04-10T07:14:00Z</dcterms:created>
  <dcterms:modified xsi:type="dcterms:W3CDTF">2026-04-10T07:15:00Z</dcterms:modified>
</cp:coreProperties>
</file>