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34F7" w14:textId="77777777" w:rsidR="00F332B2" w:rsidRPr="00F332B2" w:rsidRDefault="00F332B2" w:rsidP="00F332B2">
      <w:pPr>
        <w:rPr>
          <w:lang w:val="nl-NL"/>
        </w:rPr>
      </w:pPr>
      <w:r w:rsidRPr="00F332B2">
        <w:rPr>
          <w:lang w:val="nl-NL"/>
        </w:rPr>
        <w:t xml:space="preserve">Ja — en Turkije geeft opnieuw een </w:t>
      </w:r>
      <w:r w:rsidRPr="00F332B2">
        <w:rPr>
          <w:b/>
          <w:bCs/>
          <w:lang w:val="nl-NL"/>
        </w:rPr>
        <w:t>heel ander type research-integrity landschap</w:t>
      </w:r>
      <w:r w:rsidRPr="00F332B2">
        <w:rPr>
          <w:lang w:val="nl-NL"/>
        </w:rPr>
        <w:t xml:space="preserve">. Mijn voorlopige lezing is dat Turkije minder draait om één vrijwillige nationale code en meer om een </w:t>
      </w:r>
      <w:r w:rsidRPr="00F332B2">
        <w:rPr>
          <w:b/>
          <w:bCs/>
          <w:lang w:val="nl-NL"/>
        </w:rPr>
        <w:t>sterk gereguleerde, meerlagige architectuur</w:t>
      </w:r>
      <w:r w:rsidRPr="00F332B2">
        <w:rPr>
          <w:lang w:val="nl-NL"/>
        </w:rPr>
        <w:t xml:space="preserve">: </w:t>
      </w:r>
      <w:r w:rsidRPr="00F332B2">
        <w:rPr>
          <w:b/>
          <w:bCs/>
          <w:lang w:val="nl-NL"/>
        </w:rPr>
        <w:t>YÖK</w:t>
      </w:r>
      <w:r w:rsidRPr="00F332B2">
        <w:rPr>
          <w:lang w:val="nl-NL"/>
        </w:rPr>
        <w:t xml:space="preserve"> zet het hogeronderwijskader, universiteiten moeten interne </w:t>
      </w:r>
      <w:r w:rsidRPr="00F332B2">
        <w:rPr>
          <w:b/>
          <w:bCs/>
          <w:lang w:val="nl-NL"/>
        </w:rPr>
        <w:t>bilimsel araştırma ve yayın etiği kurulları</w:t>
      </w:r>
      <w:r w:rsidRPr="00F332B2">
        <w:rPr>
          <w:lang w:val="nl-NL"/>
        </w:rPr>
        <w:t xml:space="preserve"> inrichten, </w:t>
      </w:r>
      <w:r w:rsidRPr="00F332B2">
        <w:rPr>
          <w:b/>
          <w:bCs/>
          <w:lang w:val="nl-NL"/>
        </w:rPr>
        <w:t>ÜAK</w:t>
      </w:r>
      <w:r w:rsidRPr="00F332B2">
        <w:rPr>
          <w:lang w:val="nl-NL"/>
        </w:rPr>
        <w:t xml:space="preserve"> bewaakt ethiek in de </w:t>
      </w:r>
      <w:r w:rsidRPr="00F332B2">
        <w:rPr>
          <w:b/>
          <w:bCs/>
          <w:lang w:val="nl-NL"/>
        </w:rPr>
        <w:t>doçentlik</w:t>
      </w:r>
      <w:r w:rsidRPr="00F332B2">
        <w:rPr>
          <w:lang w:val="nl-NL"/>
        </w:rPr>
        <w:t xml:space="preserve">-route, grote onderzoeksorganisaties zoals </w:t>
      </w:r>
      <w:r w:rsidRPr="00F332B2">
        <w:rPr>
          <w:b/>
          <w:bCs/>
          <w:lang w:val="nl-NL"/>
        </w:rPr>
        <w:t>TÜBİTAK</w:t>
      </w:r>
      <w:r w:rsidRPr="00F332B2">
        <w:rPr>
          <w:lang w:val="nl-NL"/>
        </w:rPr>
        <w:t xml:space="preserve"> en </w:t>
      </w:r>
      <w:r w:rsidRPr="00F332B2">
        <w:rPr>
          <w:b/>
          <w:bCs/>
          <w:lang w:val="nl-NL"/>
        </w:rPr>
        <w:t>TÜSEB</w:t>
      </w:r>
      <w:r w:rsidRPr="00F332B2">
        <w:rPr>
          <w:lang w:val="nl-NL"/>
        </w:rPr>
        <w:t xml:space="preserve"> hebben eigen </w:t>
      </w:r>
      <w:r w:rsidRPr="00F332B2">
        <w:rPr>
          <w:b/>
          <w:bCs/>
          <w:lang w:val="nl-NL"/>
        </w:rPr>
        <w:t>Araştırma ve Yayın Etiği Kurulu</w:t>
      </w:r>
      <w:r w:rsidRPr="00F332B2">
        <w:rPr>
          <w:lang w:val="nl-NL"/>
        </w:rPr>
        <w:t xml:space="preserve">-regimes, en voor </w:t>
      </w:r>
      <w:r w:rsidRPr="00F332B2">
        <w:rPr>
          <w:b/>
          <w:bCs/>
          <w:lang w:val="nl-NL"/>
        </w:rPr>
        <w:t>klinisch onderzoek</w:t>
      </w:r>
      <w:r w:rsidRPr="00F332B2">
        <w:rPr>
          <w:lang w:val="nl-NL"/>
        </w:rPr>
        <w:t xml:space="preserve"> en </w:t>
      </w:r>
      <w:r w:rsidRPr="00F332B2">
        <w:rPr>
          <w:b/>
          <w:bCs/>
          <w:lang w:val="nl-NL"/>
        </w:rPr>
        <w:t>dierproeven</w:t>
      </w:r>
      <w:r w:rsidRPr="00F332B2">
        <w:rPr>
          <w:lang w:val="nl-NL"/>
        </w:rPr>
        <w:t xml:space="preserve"> bestaan aparte centrale-lokale systemen. Dat speelt zich af in een groot hogeronderwijsstelsel: YÖK-statistieken tonen momenteel </w:t>
      </w:r>
      <w:r w:rsidRPr="00F332B2">
        <w:rPr>
          <w:b/>
          <w:bCs/>
          <w:lang w:val="nl-NL"/>
        </w:rPr>
        <w:t>208</w:t>
      </w:r>
      <w:r w:rsidRPr="00F332B2">
        <w:rPr>
          <w:lang w:val="nl-NL"/>
        </w:rPr>
        <w:t xml:space="preserve"> instellingen, verdeeld over staats- en vakıf-instellingen. (</w:t>
      </w:r>
      <w:hyperlink r:id="rId4" w:tooltip="https://istatistik.yok.gov.tr/" w:history="1">
        <w:r w:rsidRPr="00F332B2">
          <w:rPr>
            <w:rStyle w:val="Hyperlink"/>
            <w:lang w:val="nl-NL"/>
          </w:rPr>
          <w:t>YÖK İstatistik</w:t>
        </w:r>
      </w:hyperlink>
      <w:r w:rsidRPr="00F332B2">
        <w:rPr>
          <w:lang w:val="nl-NL"/>
        </w:rPr>
        <w:t>)</w:t>
      </w:r>
    </w:p>
    <w:p w14:paraId="20BBB86E" w14:textId="77777777" w:rsidR="00F332B2" w:rsidRPr="00F332B2" w:rsidRDefault="00F332B2" w:rsidP="00F332B2">
      <w:pPr>
        <w:rPr>
          <w:b/>
          <w:bCs/>
          <w:lang w:val="nl-NL"/>
        </w:rPr>
      </w:pPr>
      <w:r w:rsidRPr="00F332B2">
        <w:rPr>
          <w:b/>
          <w:bCs/>
          <w:lang w:val="nl-NL"/>
        </w:rPr>
        <w:t>1. Wat Turkije in wezen lijkt te zijn</w:t>
      </w:r>
    </w:p>
    <w:p w14:paraId="5C9F1F7D" w14:textId="77777777" w:rsidR="00F332B2" w:rsidRPr="00F332B2" w:rsidRDefault="00F332B2" w:rsidP="00F332B2">
      <w:pPr>
        <w:rPr>
          <w:lang w:val="nl-NL"/>
        </w:rPr>
      </w:pPr>
      <w:r w:rsidRPr="00F332B2">
        <w:rPr>
          <w:lang w:val="nl-NL"/>
        </w:rPr>
        <w:t xml:space="preserve">Als ik het heel compact samenvat, dan lijkt Turkije op dit moment een </w:t>
      </w:r>
      <w:r w:rsidRPr="00F332B2">
        <w:rPr>
          <w:b/>
          <w:bCs/>
          <w:lang w:val="nl-NL"/>
        </w:rPr>
        <w:t>centraal gereguleerd maar institutioneel uitgewerkt systeem</w:t>
      </w:r>
      <w:r w:rsidRPr="00F332B2">
        <w:rPr>
          <w:lang w:val="nl-NL"/>
        </w:rPr>
        <w:t xml:space="preserve">. De bronbasis die nu zichtbaar is, laat niet één enkel “masterdocument” zien zoals de Nederlandse gedragscode, maar een </w:t>
      </w:r>
      <w:r w:rsidRPr="00F332B2">
        <w:rPr>
          <w:b/>
          <w:bCs/>
          <w:lang w:val="nl-NL"/>
        </w:rPr>
        <w:t>cluster van regels, yönerges, bestuursbesluiten en sectorspecifieke regelingen</w:t>
      </w:r>
      <w:r w:rsidRPr="00F332B2">
        <w:rPr>
          <w:lang w:val="nl-NL"/>
        </w:rPr>
        <w:t xml:space="preserve">. De zichtbare kern ligt bij </w:t>
      </w:r>
      <w:r w:rsidRPr="00F332B2">
        <w:rPr>
          <w:b/>
          <w:bCs/>
          <w:lang w:val="nl-NL"/>
        </w:rPr>
        <w:t>Law No. 2547</w:t>
      </w:r>
      <w:r w:rsidRPr="00F332B2">
        <w:rPr>
          <w:lang w:val="nl-NL"/>
        </w:rPr>
        <w:t>, de YÖK-wetgevingshub, de YÖK-ethics directive, de ÜAK-ethiekroute voor doçentlik, en aparte bestuursregelingen bij TÜBİTAK en TÜSEB. (</w:t>
      </w:r>
      <w:hyperlink r:id="rId5" w:tooltip="https://www.yok.gov.tr/en/page/history-h6NVn" w:history="1">
        <w:r w:rsidRPr="00F332B2">
          <w:rPr>
            <w:rStyle w:val="Hyperlink"/>
            <w:lang w:val="nl-NL"/>
          </w:rPr>
          <w:t>Yükseköğretim Kurulu</w:t>
        </w:r>
      </w:hyperlink>
      <w:r w:rsidRPr="00F332B2">
        <w:rPr>
          <w:lang w:val="nl-NL"/>
        </w:rPr>
        <w:t>)</w:t>
      </w:r>
    </w:p>
    <w:p w14:paraId="5F87DBD8" w14:textId="77777777" w:rsidR="00F332B2" w:rsidRPr="00F332B2" w:rsidRDefault="00F332B2" w:rsidP="00F332B2">
      <w:pPr>
        <w:rPr>
          <w:lang w:val="nl-NL"/>
        </w:rPr>
      </w:pPr>
      <w:r w:rsidRPr="00F332B2">
        <w:rPr>
          <w:lang w:val="nl-NL"/>
        </w:rPr>
        <w:t xml:space="preserve">Het grote methodologische verschil met Nederland en Denemarken is dat Turkije in de bronnen niet vooral als “één klachtensysteem” verschijnt, maar als een </w:t>
      </w:r>
      <w:r w:rsidRPr="00F332B2">
        <w:rPr>
          <w:b/>
          <w:bCs/>
          <w:lang w:val="nl-NL"/>
        </w:rPr>
        <w:t>verzameling parallelle sporen</w:t>
      </w:r>
      <w:r w:rsidRPr="00F332B2">
        <w:rPr>
          <w:lang w:val="nl-NL"/>
        </w:rPr>
        <w:t xml:space="preserve">. Je hebt een hogeronderwijsspoor via YÖK en de instellingen, een </w:t>
      </w:r>
      <w:r w:rsidRPr="00F332B2">
        <w:rPr>
          <w:b/>
          <w:bCs/>
          <w:lang w:val="nl-NL"/>
        </w:rPr>
        <w:t>promotion/doçentlik-spoor</w:t>
      </w:r>
      <w:r w:rsidRPr="00F332B2">
        <w:rPr>
          <w:lang w:val="nl-NL"/>
        </w:rPr>
        <w:t xml:space="preserve"> via ÜAK, een </w:t>
      </w:r>
      <w:r w:rsidRPr="00F332B2">
        <w:rPr>
          <w:b/>
          <w:bCs/>
          <w:lang w:val="nl-NL"/>
        </w:rPr>
        <w:t>funder/agency-spoor</w:t>
      </w:r>
      <w:r w:rsidRPr="00F332B2">
        <w:rPr>
          <w:lang w:val="nl-NL"/>
        </w:rPr>
        <w:t xml:space="preserve"> via AYEK-regelingen van TÜBİTAK en TÜSEB, en daarnaast aparte </w:t>
      </w:r>
      <w:r w:rsidRPr="00F332B2">
        <w:rPr>
          <w:b/>
          <w:bCs/>
          <w:lang w:val="nl-NL"/>
        </w:rPr>
        <w:t>ethics approval</w:t>
      </w:r>
      <w:r w:rsidRPr="00F332B2">
        <w:rPr>
          <w:lang w:val="nl-NL"/>
        </w:rPr>
        <w:t xml:space="preserve">-sporen voor klinisch onderzoek en dierproeven. Voor jouw Europese project is dat heel interessant, omdat het betekent dat “research integrity” in Turkije waarschijnlijk alleen goed te begrijpen is als je eerst de </w:t>
      </w:r>
      <w:r w:rsidRPr="00F332B2">
        <w:rPr>
          <w:b/>
          <w:bCs/>
          <w:lang w:val="nl-NL"/>
        </w:rPr>
        <w:t>verschillende governance-kanalen uit elkaar trekt</w:t>
      </w:r>
      <w:r w:rsidRPr="00F332B2">
        <w:rPr>
          <w:lang w:val="nl-NL"/>
        </w:rPr>
        <w:t>.</w:t>
      </w:r>
    </w:p>
    <w:p w14:paraId="7A09DAB6" w14:textId="77777777" w:rsidR="00F332B2" w:rsidRPr="00F332B2" w:rsidRDefault="00F332B2" w:rsidP="00F332B2">
      <w:pPr>
        <w:rPr>
          <w:b/>
          <w:bCs/>
          <w:lang w:val="nl-NL"/>
        </w:rPr>
      </w:pPr>
      <w:r w:rsidRPr="00F332B2">
        <w:rPr>
          <w:b/>
          <w:bCs/>
          <w:lang w:val="nl-NL"/>
        </w:rPr>
        <w:t>2. De nationale hogeronderwijskern: YÖK en Wet 2547</w:t>
      </w:r>
    </w:p>
    <w:p w14:paraId="671871E0" w14:textId="77777777" w:rsidR="00F332B2" w:rsidRPr="00F332B2" w:rsidRDefault="00F332B2" w:rsidP="00F332B2">
      <w:pPr>
        <w:rPr>
          <w:lang w:val="nl-NL"/>
        </w:rPr>
      </w:pPr>
      <w:r w:rsidRPr="00F332B2">
        <w:rPr>
          <w:lang w:val="nl-NL"/>
        </w:rPr>
        <w:t xml:space="preserve">De eerste nationale ingang is duidelijk </w:t>
      </w:r>
      <w:r w:rsidRPr="00F332B2">
        <w:rPr>
          <w:b/>
          <w:bCs/>
          <w:lang w:val="nl-NL"/>
        </w:rPr>
        <w:t>YÖK (Yükseköğretim Kurulu)</w:t>
      </w:r>
      <w:r w:rsidRPr="00F332B2">
        <w:rPr>
          <w:lang w:val="nl-NL"/>
        </w:rPr>
        <w:t xml:space="preserve">. YÖK is ingesteld bij </w:t>
      </w:r>
      <w:r w:rsidRPr="00F332B2">
        <w:rPr>
          <w:b/>
          <w:bCs/>
          <w:lang w:val="nl-NL"/>
        </w:rPr>
        <w:t>Wet nr. 2547</w:t>
      </w:r>
      <w:r w:rsidRPr="00F332B2">
        <w:rPr>
          <w:lang w:val="nl-NL"/>
        </w:rPr>
        <w:t xml:space="preserve"> van 6 november 1981 en fungeert nog steeds als centrale regulator van het hogeronderwijs. De YÖK-wetgevingspagina laat goed zien hoe breed het kader is: daar staan niet alleen de eigen ethics-regels, maar ook de </w:t>
      </w:r>
      <w:r w:rsidRPr="00F332B2">
        <w:rPr>
          <w:b/>
          <w:bCs/>
          <w:lang w:val="nl-NL"/>
        </w:rPr>
        <w:t>Lisansüstü Eğitim ve Öğretim Yönetmeliği</w:t>
      </w:r>
      <w:r w:rsidRPr="00F332B2">
        <w:rPr>
          <w:lang w:val="nl-NL"/>
        </w:rPr>
        <w:t xml:space="preserve">, de </w:t>
      </w:r>
      <w:r w:rsidRPr="00F332B2">
        <w:rPr>
          <w:b/>
          <w:bCs/>
          <w:lang w:val="nl-NL"/>
        </w:rPr>
        <w:t>Yükseköğretim Kanunu (2547)</w:t>
      </w:r>
      <w:r w:rsidRPr="00F332B2">
        <w:rPr>
          <w:lang w:val="nl-NL"/>
        </w:rPr>
        <w:t xml:space="preserve">, de </w:t>
      </w:r>
      <w:r w:rsidRPr="00F332B2">
        <w:rPr>
          <w:b/>
          <w:bCs/>
          <w:lang w:val="nl-NL"/>
        </w:rPr>
        <w:t>Kişisel Verilerin Korunması Kanunu</w:t>
      </w:r>
      <w:r w:rsidRPr="00F332B2">
        <w:rPr>
          <w:lang w:val="nl-NL"/>
        </w:rPr>
        <w:t xml:space="preserve">, de </w:t>
      </w:r>
      <w:r w:rsidRPr="00F332B2">
        <w:rPr>
          <w:b/>
          <w:bCs/>
          <w:lang w:val="nl-NL"/>
        </w:rPr>
        <w:t>R&amp;D-law 5746</w:t>
      </w:r>
      <w:r w:rsidRPr="00F332B2">
        <w:rPr>
          <w:lang w:val="nl-NL"/>
        </w:rPr>
        <w:t xml:space="preserve">, de wet over vervolging van publieke functionarissen, en andere aangrenzende regels. Alleen al die wetgevingshub bewijst dus dat wetenschappelijke integriteit in Turkije sterk is ingebed in een </w:t>
      </w:r>
      <w:r w:rsidRPr="00F332B2">
        <w:rPr>
          <w:b/>
          <w:bCs/>
          <w:lang w:val="nl-NL"/>
        </w:rPr>
        <w:t>breder administratief en juridisch universiteitskader</w:t>
      </w:r>
      <w:r w:rsidRPr="00F332B2">
        <w:rPr>
          <w:lang w:val="nl-NL"/>
        </w:rPr>
        <w:t>. (</w:t>
      </w:r>
      <w:hyperlink r:id="rId6" w:tooltip="https://www.yok.gov.tr/en/page/history-h6NVn" w:history="1">
        <w:r w:rsidRPr="00F332B2">
          <w:rPr>
            <w:rStyle w:val="Hyperlink"/>
            <w:lang w:val="nl-NL"/>
          </w:rPr>
          <w:t>Yükseköğretim Kurulu</w:t>
        </w:r>
      </w:hyperlink>
      <w:r w:rsidRPr="00F332B2">
        <w:rPr>
          <w:lang w:val="nl-NL"/>
        </w:rPr>
        <w:t>)</w:t>
      </w:r>
    </w:p>
    <w:p w14:paraId="2FD57EA9" w14:textId="77777777" w:rsidR="00F332B2" w:rsidRPr="00F332B2" w:rsidRDefault="00F332B2" w:rsidP="00F332B2">
      <w:pPr>
        <w:rPr>
          <w:lang w:val="nl-NL"/>
        </w:rPr>
      </w:pPr>
      <w:r w:rsidRPr="00F332B2">
        <w:rPr>
          <w:lang w:val="nl-NL"/>
        </w:rPr>
        <w:t xml:space="preserve">De centrale normatieve tekst voor de hogeronderwijslaag is de huidige </w:t>
      </w:r>
      <w:r w:rsidRPr="00F332B2">
        <w:rPr>
          <w:b/>
          <w:bCs/>
          <w:lang w:val="nl-NL"/>
        </w:rPr>
        <w:t>Yükseköğretim Kurumları Bilimsel Araştırma ve Yayın Etiği Yönergesi</w:t>
      </w:r>
      <w:r w:rsidRPr="00F332B2">
        <w:rPr>
          <w:lang w:val="nl-NL"/>
        </w:rPr>
        <w:t xml:space="preserve">. Het doel van die yönerge is </w:t>
      </w:r>
      <w:r w:rsidRPr="00F332B2">
        <w:rPr>
          <w:lang w:val="nl-NL"/>
        </w:rPr>
        <w:lastRenderedPageBreak/>
        <w:t xml:space="preserve">expliciet om zowel de </w:t>
      </w:r>
      <w:r w:rsidRPr="00F332B2">
        <w:rPr>
          <w:b/>
          <w:bCs/>
          <w:lang w:val="nl-NL"/>
        </w:rPr>
        <w:t>ethische regels</w:t>
      </w:r>
      <w:r w:rsidRPr="00F332B2">
        <w:rPr>
          <w:lang w:val="nl-NL"/>
        </w:rPr>
        <w:t xml:space="preserve"> als de </w:t>
      </w:r>
      <w:r w:rsidRPr="00F332B2">
        <w:rPr>
          <w:b/>
          <w:bCs/>
          <w:lang w:val="nl-NL"/>
        </w:rPr>
        <w:t>taken, bevoegdheden, verantwoordelijkheden en werkwijzen</w:t>
      </w:r>
      <w:r w:rsidRPr="00F332B2">
        <w:rPr>
          <w:lang w:val="nl-NL"/>
        </w:rPr>
        <w:t xml:space="preserve"> van de onderzoek- en publicatie-ethiekcommissies binnen hogeronderwijsinstellingen vast te leggen. De reikwijdte is breed: academisch onderzoek en wetenschappelijke activiteiten, ondersteunde R&amp;D-projecten, graduate theses en publicaties, publicatie-ethiek, biomedische/ecologische ethische schendingen, en — na de wijziging van 28 augustus 2025 — ook de beoordeling en goedkeuring van alle wetenschappelijke, projectmatige en artistieke activiteiten die </w:t>
      </w:r>
      <w:r w:rsidRPr="00F332B2">
        <w:rPr>
          <w:b/>
          <w:bCs/>
          <w:lang w:val="nl-NL"/>
        </w:rPr>
        <w:t>geen experimenten op mensen of dieren</w:t>
      </w:r>
      <w:r w:rsidRPr="00F332B2">
        <w:rPr>
          <w:lang w:val="nl-NL"/>
        </w:rPr>
        <w:t xml:space="preserve"> zijn.</w:t>
      </w:r>
    </w:p>
    <w:p w14:paraId="2C68DC88" w14:textId="77777777" w:rsidR="00F332B2" w:rsidRPr="00F332B2" w:rsidRDefault="00F332B2" w:rsidP="00F332B2">
      <w:pPr>
        <w:rPr>
          <w:lang w:val="nl-NL"/>
        </w:rPr>
      </w:pPr>
      <w:r w:rsidRPr="00F332B2">
        <w:rPr>
          <w:lang w:val="nl-NL"/>
        </w:rPr>
        <w:t xml:space="preserve">Dezelfde YÖK-yönerge definieert ook de standaard institutionele architectuur. Universiteiten richten normaliter drie soorten commissies in — voor </w:t>
      </w:r>
      <w:r w:rsidRPr="00F332B2">
        <w:rPr>
          <w:b/>
          <w:bCs/>
          <w:lang w:val="nl-NL"/>
        </w:rPr>
        <w:t>sociale en geesteswetenschappen</w:t>
      </w:r>
      <w:r w:rsidRPr="00F332B2">
        <w:rPr>
          <w:lang w:val="nl-NL"/>
        </w:rPr>
        <w:t xml:space="preserve">, </w:t>
      </w:r>
      <w:r w:rsidRPr="00F332B2">
        <w:rPr>
          <w:b/>
          <w:bCs/>
          <w:lang w:val="nl-NL"/>
        </w:rPr>
        <w:t>gezondheidswetenschappen</w:t>
      </w:r>
      <w:r w:rsidRPr="00F332B2">
        <w:rPr>
          <w:lang w:val="nl-NL"/>
        </w:rPr>
        <w:t xml:space="preserve">, en </w:t>
      </w:r>
      <w:r w:rsidRPr="00F332B2">
        <w:rPr>
          <w:b/>
          <w:bCs/>
          <w:lang w:val="nl-NL"/>
        </w:rPr>
        <w:t>natuur-/ingenieurswetenschappen</w:t>
      </w:r>
      <w:r w:rsidRPr="00F332B2">
        <w:rPr>
          <w:lang w:val="nl-NL"/>
        </w:rPr>
        <w:t xml:space="preserve"> — elk in beginsel samengesteld uit </w:t>
      </w:r>
      <w:r w:rsidRPr="00F332B2">
        <w:rPr>
          <w:b/>
          <w:bCs/>
          <w:lang w:val="nl-NL"/>
        </w:rPr>
        <w:t>zeven professoren</w:t>
      </w:r>
      <w:r w:rsidRPr="00F332B2">
        <w:rPr>
          <w:lang w:val="nl-NL"/>
        </w:rPr>
        <w:t xml:space="preserve"> die voor twee jaar door de rector worden benoemd. Wanneer er onvoldoende professoren zijn, mag één zevenkoppige commissie volstaan. Bij verdenkingen waarbij de rector zelf betrokken is, benoemt de </w:t>
      </w:r>
      <w:r w:rsidRPr="00F332B2">
        <w:rPr>
          <w:b/>
          <w:bCs/>
          <w:lang w:val="nl-NL"/>
        </w:rPr>
        <w:t>YÖK General Assembly</w:t>
      </w:r>
      <w:r w:rsidRPr="00F332B2">
        <w:rPr>
          <w:lang w:val="nl-NL"/>
        </w:rPr>
        <w:t xml:space="preserve"> een aparte driepersoonsconstructie. De secretariële ondersteuning ligt normaliter bij de </w:t>
      </w:r>
      <w:r w:rsidRPr="00F332B2">
        <w:rPr>
          <w:b/>
          <w:bCs/>
          <w:lang w:val="nl-NL"/>
        </w:rPr>
        <w:t>juridische dienst van de instelling</w:t>
      </w:r>
      <w:r w:rsidRPr="00F332B2">
        <w:rPr>
          <w:lang w:val="nl-NL"/>
        </w:rPr>
        <w:t xml:space="preserve">, maar bij rectorzaken bij de juridische dienst van YÖK zelf. Dat is sterk bewijs voor een model van </w:t>
      </w:r>
      <w:r w:rsidRPr="00F332B2">
        <w:rPr>
          <w:b/>
          <w:bCs/>
          <w:lang w:val="nl-NL"/>
        </w:rPr>
        <w:t>centrale normstelling + institutionele uitvoering</w:t>
      </w:r>
      <w:r w:rsidRPr="00F332B2">
        <w:rPr>
          <w:lang w:val="nl-NL"/>
        </w:rPr>
        <w:t>.</w:t>
      </w:r>
    </w:p>
    <w:p w14:paraId="4DE11DA7" w14:textId="77777777" w:rsidR="00F332B2" w:rsidRPr="00F332B2" w:rsidRDefault="00F332B2" w:rsidP="00F332B2">
      <w:pPr>
        <w:rPr>
          <w:lang w:val="nl-NL"/>
        </w:rPr>
      </w:pPr>
      <w:r w:rsidRPr="00F332B2">
        <w:rPr>
          <w:lang w:val="nl-NL"/>
        </w:rPr>
        <w:t xml:space="preserve">Ook de functionele bevoegdheden van die universitaire ethics boards zijn in de YÖK-yönerge helder omschreven. Ze mogen schendingen onderzoeken, deskundigen inschakelen, informatie opvragen, besluiten aan rector of meslek yüksekokulu müdürü voorleggen, opleidingsactiviteiten voorstellen, en sinds 2025 ook niet-mens/niet-dier-experimenteel onderzoek inhoudelijk </w:t>
      </w:r>
      <w:r w:rsidRPr="00F332B2">
        <w:rPr>
          <w:b/>
          <w:bCs/>
          <w:lang w:val="nl-NL"/>
        </w:rPr>
        <w:t>beoordelen, van advies voorzien en goedkeuren</w:t>
      </w:r>
      <w:r w:rsidRPr="00F332B2">
        <w:rPr>
          <w:lang w:val="nl-NL"/>
        </w:rPr>
        <w:t xml:space="preserve">. Tegelijk laat dezelfde tekst ook de grens van hun macht zien: hun eindbesluiten hebben het karakter van een </w:t>
      </w:r>
      <w:r w:rsidRPr="00F332B2">
        <w:rPr>
          <w:b/>
          <w:bCs/>
          <w:lang w:val="nl-NL"/>
        </w:rPr>
        <w:t>onderzoeksrapport</w:t>
      </w:r>
      <w:r w:rsidRPr="00F332B2">
        <w:rPr>
          <w:lang w:val="nl-NL"/>
        </w:rPr>
        <w:t xml:space="preserve"> en gaan vervolgens naar rector/directie voor goedkeuring of een ander besluit; disciplinaire, administratieve, civielrechtelijke of strafrechtelijke gevolgen worden door de instelling afgehandeld. Ethiekbesluiten moeten bovendien binnen een maand aan YÖK worden gemeld en blijven in beginsel vertrouwelijk.</w:t>
      </w:r>
    </w:p>
    <w:p w14:paraId="503B7E1D" w14:textId="77777777" w:rsidR="00F332B2" w:rsidRPr="00F332B2" w:rsidRDefault="00F332B2" w:rsidP="00F332B2">
      <w:pPr>
        <w:rPr>
          <w:lang w:val="nl-NL"/>
        </w:rPr>
      </w:pPr>
      <w:r w:rsidRPr="00F332B2">
        <w:rPr>
          <w:lang w:val="nl-NL"/>
        </w:rPr>
        <w:t xml:space="preserve">Een detail dat voor jouw kaart heel belangrijk is: de YÖK-yönerge bouwt een </w:t>
      </w:r>
      <w:r w:rsidRPr="00F332B2">
        <w:rPr>
          <w:b/>
          <w:bCs/>
          <w:lang w:val="nl-NL"/>
        </w:rPr>
        <w:t>brug naar ÜAK</w:t>
      </w:r>
      <w:r w:rsidRPr="00F332B2">
        <w:rPr>
          <w:lang w:val="nl-NL"/>
        </w:rPr>
        <w:t xml:space="preserve"> in. Als een universiteit een klacht ontvangt en in de klacht staat dat de betrokkene een lopende </w:t>
      </w:r>
      <w:r w:rsidRPr="00F332B2">
        <w:rPr>
          <w:b/>
          <w:bCs/>
          <w:lang w:val="nl-NL"/>
        </w:rPr>
        <w:t>doçentlik</w:t>
      </w:r>
      <w:r w:rsidRPr="00F332B2">
        <w:rPr>
          <w:lang w:val="nl-NL"/>
        </w:rPr>
        <w:t xml:space="preserve">-aanvraag heeft, moet de instelling dat onmiddellijk bij </w:t>
      </w:r>
      <w:r w:rsidRPr="00F332B2">
        <w:rPr>
          <w:b/>
          <w:bCs/>
          <w:lang w:val="nl-NL"/>
        </w:rPr>
        <w:t>ÜAK</w:t>
      </w:r>
      <w:r w:rsidRPr="00F332B2">
        <w:rPr>
          <w:lang w:val="nl-NL"/>
        </w:rPr>
        <w:t xml:space="preserve"> navragen; bevestigt ÜAK dat zo’n procedure loopt, dan gaan de stukken naar ÜAK. Dat laat zien dat Turkije niet simpelweg een centrale en een lokale laag naast elkaar heeft, maar ook een </w:t>
      </w:r>
      <w:r w:rsidRPr="00F332B2">
        <w:rPr>
          <w:b/>
          <w:bCs/>
          <w:lang w:val="nl-NL"/>
        </w:rPr>
        <w:t>procedurele koppeling tussen institutionele integriteitszaken en het nationale promotion-systeem</w:t>
      </w:r>
      <w:r w:rsidRPr="00F332B2">
        <w:rPr>
          <w:lang w:val="nl-NL"/>
        </w:rPr>
        <w:t>.</w:t>
      </w:r>
    </w:p>
    <w:p w14:paraId="1561EE56" w14:textId="77777777" w:rsidR="00F332B2" w:rsidRPr="00F332B2" w:rsidRDefault="00F332B2" w:rsidP="00F332B2">
      <w:pPr>
        <w:rPr>
          <w:b/>
          <w:bCs/>
          <w:lang w:val="nl-NL"/>
        </w:rPr>
      </w:pPr>
      <w:r w:rsidRPr="00F332B2">
        <w:rPr>
          <w:b/>
          <w:bCs/>
          <w:lang w:val="nl-NL"/>
        </w:rPr>
        <w:t>3. Preventie, opleiding en nieuwe thema’s</w:t>
      </w:r>
    </w:p>
    <w:p w14:paraId="69011DE0" w14:textId="77777777" w:rsidR="00F332B2" w:rsidRPr="00F332B2" w:rsidRDefault="00F332B2" w:rsidP="00F332B2">
      <w:pPr>
        <w:rPr>
          <w:lang w:val="nl-NL"/>
        </w:rPr>
      </w:pPr>
      <w:r w:rsidRPr="00F332B2">
        <w:rPr>
          <w:lang w:val="nl-NL"/>
        </w:rPr>
        <w:lastRenderedPageBreak/>
        <w:t xml:space="preserve">De preventielaag is in Turkije ook zichtbaarder dan ik vooraf verwachtte. In de graduate-onderwijsregelgeving is vastgelegd dat studenten in graduate opleidingen </w:t>
      </w:r>
      <w:r w:rsidRPr="00F332B2">
        <w:rPr>
          <w:b/>
          <w:bCs/>
          <w:lang w:val="nl-NL"/>
        </w:rPr>
        <w:t>minstens één vak</w:t>
      </w:r>
      <w:r w:rsidRPr="00F332B2">
        <w:rPr>
          <w:lang w:val="nl-NL"/>
        </w:rPr>
        <w:t xml:space="preserve"> moeten volgen over </w:t>
      </w:r>
      <w:r w:rsidRPr="00F332B2">
        <w:rPr>
          <w:b/>
          <w:bCs/>
          <w:lang w:val="nl-NL"/>
        </w:rPr>
        <w:t>scientific research techniques</w:t>
      </w:r>
      <w:r w:rsidRPr="00F332B2">
        <w:rPr>
          <w:lang w:val="nl-NL"/>
        </w:rPr>
        <w:t xml:space="preserve"> en </w:t>
      </w:r>
      <w:r w:rsidRPr="00F332B2">
        <w:rPr>
          <w:b/>
          <w:bCs/>
          <w:lang w:val="nl-NL"/>
        </w:rPr>
        <w:t>research/publication ethics</w:t>
      </w:r>
      <w:r w:rsidRPr="00F332B2">
        <w:rPr>
          <w:lang w:val="nl-NL"/>
        </w:rPr>
        <w:t xml:space="preserve">. Dat maakt research integrity niet alleen een klachten- of sanctiedomein, maar ook een expliciete </w:t>
      </w:r>
      <w:r w:rsidRPr="00F332B2">
        <w:rPr>
          <w:b/>
          <w:bCs/>
          <w:lang w:val="nl-NL"/>
        </w:rPr>
        <w:t>curriculumverplichting</w:t>
      </w:r>
      <w:r w:rsidRPr="00F332B2">
        <w:rPr>
          <w:lang w:val="nl-NL"/>
        </w:rPr>
        <w:t xml:space="preserve"> in het graduate systeem. (</w:t>
      </w:r>
      <w:hyperlink r:id="rId7" w:tooltip="malatya turgut özal üniversitesi lisansüstü" w:history="1">
        <w:r w:rsidRPr="00F332B2">
          <w:rPr>
            <w:rStyle w:val="Hyperlink"/>
            <w:lang w:val="nl-NL"/>
          </w:rPr>
          <w:t>Mevzuat</w:t>
        </w:r>
      </w:hyperlink>
      <w:r w:rsidRPr="00F332B2">
        <w:rPr>
          <w:lang w:val="nl-NL"/>
        </w:rPr>
        <w:t>)</w:t>
      </w:r>
    </w:p>
    <w:p w14:paraId="6AE402E6" w14:textId="77777777" w:rsidR="00F332B2" w:rsidRPr="00F332B2" w:rsidRDefault="00F332B2" w:rsidP="00F332B2">
      <w:pPr>
        <w:rPr>
          <w:lang w:val="nl-NL"/>
        </w:rPr>
      </w:pPr>
      <w:r w:rsidRPr="00F332B2">
        <w:rPr>
          <w:lang w:val="nl-NL"/>
        </w:rPr>
        <w:t xml:space="preserve">Daarnaast zie je een duidelijke actualisering rond </w:t>
      </w:r>
      <w:r w:rsidRPr="00F332B2">
        <w:rPr>
          <w:b/>
          <w:bCs/>
          <w:lang w:val="nl-NL"/>
        </w:rPr>
        <w:t>generatieve AI</w:t>
      </w:r>
      <w:r w:rsidRPr="00F332B2">
        <w:rPr>
          <w:lang w:val="nl-NL"/>
        </w:rPr>
        <w:t xml:space="preserve">. YÖK publiceerde in 2024 de </w:t>
      </w:r>
      <w:r w:rsidRPr="00F332B2">
        <w:rPr>
          <w:b/>
          <w:bCs/>
          <w:lang w:val="nl-NL"/>
        </w:rPr>
        <w:t>Etik Rehber</w:t>
      </w:r>
      <w:r w:rsidRPr="00F332B2">
        <w:rPr>
          <w:lang w:val="nl-NL"/>
        </w:rPr>
        <w:t xml:space="preserve"> over het gebruik van generatieve AI in wetenschappelijk onderzoek en publicatie. In de officiële beschrijving staat dat het document bedoeld is om instellingen te helpen de risico’s en kansen van GenAI te begrijpen en te beheersen, en de PDF zelf koppelt GenAI expliciet aan </w:t>
      </w:r>
      <w:r w:rsidRPr="00F332B2">
        <w:rPr>
          <w:b/>
          <w:bCs/>
          <w:lang w:val="nl-NL"/>
        </w:rPr>
        <w:t>scientific honesty and trust in science</w:t>
      </w:r>
      <w:r w:rsidRPr="00F332B2">
        <w:rPr>
          <w:lang w:val="nl-NL"/>
        </w:rPr>
        <w:t xml:space="preserve">. De guide verwijst bovendien rechtstreeks naar aanpalende kaders zoals de </w:t>
      </w:r>
      <w:r w:rsidRPr="00F332B2">
        <w:rPr>
          <w:b/>
          <w:bCs/>
          <w:lang w:val="nl-NL"/>
        </w:rPr>
        <w:t>KVKK (6698)</w:t>
      </w:r>
      <w:r w:rsidRPr="00F332B2">
        <w:rPr>
          <w:lang w:val="nl-NL"/>
        </w:rPr>
        <w:t xml:space="preserve">, </w:t>
      </w:r>
      <w:r w:rsidRPr="00F332B2">
        <w:rPr>
          <w:b/>
          <w:bCs/>
          <w:lang w:val="nl-NL"/>
        </w:rPr>
        <w:t>Wet 2547</w:t>
      </w:r>
      <w:r w:rsidRPr="00F332B2">
        <w:rPr>
          <w:lang w:val="nl-NL"/>
        </w:rPr>
        <w:t xml:space="preserve">, de </w:t>
      </w:r>
      <w:r w:rsidRPr="00F332B2">
        <w:rPr>
          <w:b/>
          <w:bCs/>
          <w:lang w:val="nl-NL"/>
        </w:rPr>
        <w:t>Fikir ve Sanat Eserleri Kanunu (5846)</w:t>
      </w:r>
      <w:r w:rsidRPr="00F332B2">
        <w:rPr>
          <w:lang w:val="nl-NL"/>
        </w:rPr>
        <w:t>, de graduate-regelgeving en de YÖK-ethics directive. Voor jouw project is dit een perfecte categorie “nieuwe systeemrand”: een actueel document dat integriteit, privacy, auteursrecht en universitair recht aan elkaar knoopt. (</w:t>
      </w:r>
      <w:hyperlink r:id="rId8" w:tooltip="Yapay Zeka Kullanımına Dair Etik Rehber" w:history="1">
        <w:r w:rsidRPr="00F332B2">
          <w:rPr>
            <w:rStyle w:val="Hyperlink"/>
            <w:lang w:val="nl-NL"/>
          </w:rPr>
          <w:t>YÖK</w:t>
        </w:r>
      </w:hyperlink>
      <w:r w:rsidRPr="00F332B2">
        <w:rPr>
          <w:lang w:val="nl-NL"/>
        </w:rPr>
        <w:t>)</w:t>
      </w:r>
    </w:p>
    <w:p w14:paraId="48501A4E" w14:textId="77777777" w:rsidR="00F332B2" w:rsidRPr="00F332B2" w:rsidRDefault="00F332B2" w:rsidP="00F332B2">
      <w:pPr>
        <w:rPr>
          <w:b/>
          <w:bCs/>
          <w:lang w:val="nl-NL"/>
        </w:rPr>
      </w:pPr>
      <w:r w:rsidRPr="00F332B2">
        <w:rPr>
          <w:b/>
          <w:bCs/>
          <w:lang w:val="nl-NL"/>
        </w:rPr>
        <w:t>4. Het parallelle nationale spoor: ÜAK en doçentlik-ethiek</w:t>
      </w:r>
    </w:p>
    <w:p w14:paraId="440DF9C7" w14:textId="77777777" w:rsidR="00F332B2" w:rsidRPr="00F332B2" w:rsidRDefault="00F332B2" w:rsidP="00F332B2">
      <w:pPr>
        <w:rPr>
          <w:lang w:val="nl-NL"/>
        </w:rPr>
      </w:pPr>
      <w:r w:rsidRPr="00F332B2">
        <w:rPr>
          <w:lang w:val="nl-NL"/>
        </w:rPr>
        <w:t xml:space="preserve">Een tweede nationale ingang is </w:t>
      </w:r>
      <w:r w:rsidRPr="00F332B2">
        <w:rPr>
          <w:b/>
          <w:bCs/>
          <w:lang w:val="nl-NL"/>
        </w:rPr>
        <w:t>ÜAK (Üniversitelerarası Kurul)</w:t>
      </w:r>
      <w:r w:rsidRPr="00F332B2">
        <w:rPr>
          <w:lang w:val="nl-NL"/>
        </w:rPr>
        <w:t xml:space="preserve">. Daar zit een apart ethiekspoor dat niet opgaat in de gewone universitaire boards. De officiële ÜAK-pagina over </w:t>
      </w:r>
      <w:r w:rsidRPr="00F332B2">
        <w:rPr>
          <w:b/>
          <w:bCs/>
          <w:lang w:val="nl-NL"/>
        </w:rPr>
        <w:t>Etik</w:t>
      </w:r>
      <w:r w:rsidRPr="00F332B2">
        <w:rPr>
          <w:lang w:val="nl-NL"/>
        </w:rPr>
        <w:t xml:space="preserve"> zegt dat de commissies werken volgens de </w:t>
      </w:r>
      <w:r w:rsidRPr="00F332B2">
        <w:rPr>
          <w:b/>
          <w:bCs/>
          <w:lang w:val="nl-NL"/>
        </w:rPr>
        <w:t>Üniversitelerarası Kurul Bilimsel Araştırma ve Yayın Etiği Yönergesi</w:t>
      </w:r>
      <w:r w:rsidRPr="00F332B2">
        <w:rPr>
          <w:lang w:val="nl-NL"/>
        </w:rPr>
        <w:t xml:space="preserve">; daarnaast publiceert ÜAK een eigen directive-PDF, workflow-schema’s en voorbeeldrapporten voor ethische beoordeling. Dat maakt ÜAK tot een eigen nationale bronlaag met </w:t>
      </w:r>
      <w:r w:rsidRPr="00F332B2">
        <w:rPr>
          <w:b/>
          <w:bCs/>
          <w:lang w:val="nl-NL"/>
        </w:rPr>
        <w:t>eigen regels, eigen commissies en eigen documenten</w:t>
      </w:r>
      <w:r w:rsidRPr="00F332B2">
        <w:rPr>
          <w:lang w:val="nl-NL"/>
        </w:rPr>
        <w:t>. (</w:t>
      </w:r>
      <w:hyperlink r:id="rId9" w:tooltip="ÜNİVERSİTELERARASI KURUL BİLİMSEL ARAŞTIRMA ..." w:history="1">
        <w:r w:rsidRPr="00F332B2">
          <w:rPr>
            <w:rStyle w:val="Hyperlink"/>
            <w:lang w:val="nl-NL"/>
          </w:rPr>
          <w:t>UAK</w:t>
        </w:r>
      </w:hyperlink>
      <w:r w:rsidRPr="00F332B2">
        <w:rPr>
          <w:lang w:val="nl-NL"/>
        </w:rPr>
        <w:t>)</w:t>
      </w:r>
    </w:p>
    <w:p w14:paraId="67342028" w14:textId="77777777" w:rsidR="00F332B2" w:rsidRPr="00F332B2" w:rsidRDefault="00F332B2" w:rsidP="00F332B2">
      <w:pPr>
        <w:rPr>
          <w:lang w:val="nl-NL"/>
        </w:rPr>
      </w:pPr>
      <w:r w:rsidRPr="00F332B2">
        <w:rPr>
          <w:lang w:val="nl-NL"/>
        </w:rPr>
        <w:t xml:space="preserve">Die ÜAK-laag is vooral belangrijk omdat zij direct raakt aan de </w:t>
      </w:r>
      <w:r w:rsidRPr="00F332B2">
        <w:rPr>
          <w:b/>
          <w:bCs/>
          <w:lang w:val="nl-NL"/>
        </w:rPr>
        <w:t>doçentlik</w:t>
      </w:r>
      <w:r w:rsidRPr="00F332B2">
        <w:rPr>
          <w:lang w:val="nl-NL"/>
        </w:rPr>
        <w:t xml:space="preserve">-procedure. Officiële ÜAK-documenten maken duidelijk dat een vastgestelde ethische schending ertoe kan leiden dat een </w:t>
      </w:r>
      <w:r w:rsidRPr="00F332B2">
        <w:rPr>
          <w:b/>
          <w:bCs/>
          <w:lang w:val="nl-NL"/>
        </w:rPr>
        <w:t>doçentlik application</w:t>
      </w:r>
      <w:r w:rsidRPr="00F332B2">
        <w:rPr>
          <w:lang w:val="nl-NL"/>
        </w:rPr>
        <w:t xml:space="preserve"> wordt geannuleerd; FAQ’s en application guides uit 2024–2026 laten ook zien dat wie vanwege ethiekproblemen of schendingen als plagiaat/fabrication is getroffen, pas in een latere aanvraagronde weer terug kan komen. Hier zie je dus een typisch Turks element: integriteit is niet alleen een universiteitsintern probleem, maar ook een </w:t>
      </w:r>
      <w:r w:rsidRPr="00F332B2">
        <w:rPr>
          <w:b/>
          <w:bCs/>
          <w:lang w:val="nl-NL"/>
        </w:rPr>
        <w:t>nationaal carrière- en bevorderingsvraagstuk</w:t>
      </w:r>
      <w:r w:rsidRPr="00F332B2">
        <w:rPr>
          <w:lang w:val="nl-NL"/>
        </w:rPr>
        <w:t>. (</w:t>
      </w:r>
      <w:hyperlink r:id="rId10" w:tooltip="DOÇENTLİK BAŞVURU KILAVUZU 2025 MART DÖNEMİ" w:history="1">
        <w:r w:rsidRPr="00F332B2">
          <w:rPr>
            <w:rStyle w:val="Hyperlink"/>
            <w:lang w:val="nl-NL"/>
          </w:rPr>
          <w:t>UAK</w:t>
        </w:r>
      </w:hyperlink>
      <w:r w:rsidRPr="00F332B2">
        <w:rPr>
          <w:lang w:val="nl-NL"/>
        </w:rPr>
        <w:t>)</w:t>
      </w:r>
    </w:p>
    <w:p w14:paraId="55C288B4" w14:textId="77777777" w:rsidR="00F332B2" w:rsidRPr="00F332B2" w:rsidRDefault="00F332B2" w:rsidP="00F332B2">
      <w:pPr>
        <w:rPr>
          <w:b/>
          <w:bCs/>
          <w:lang w:val="nl-NL"/>
        </w:rPr>
      </w:pPr>
      <w:r w:rsidRPr="00F332B2">
        <w:rPr>
          <w:b/>
          <w:bCs/>
          <w:lang w:val="nl-NL"/>
        </w:rPr>
        <w:t>5. De funder- en onderzoeksorganisatielaag: TÜBİTAK</w:t>
      </w:r>
    </w:p>
    <w:p w14:paraId="230349FE" w14:textId="77777777" w:rsidR="00F332B2" w:rsidRPr="00F332B2" w:rsidRDefault="00F332B2" w:rsidP="00F332B2">
      <w:pPr>
        <w:rPr>
          <w:lang w:val="nl-NL"/>
        </w:rPr>
      </w:pPr>
      <w:r w:rsidRPr="00F332B2">
        <w:rPr>
          <w:lang w:val="nl-NL"/>
        </w:rPr>
        <w:t xml:space="preserve">De derde grote ingang is </w:t>
      </w:r>
      <w:r w:rsidRPr="00F332B2">
        <w:rPr>
          <w:b/>
          <w:bCs/>
          <w:lang w:val="nl-NL"/>
        </w:rPr>
        <w:t>TÜBİTAK</w:t>
      </w:r>
      <w:r w:rsidRPr="00F332B2">
        <w:rPr>
          <w:lang w:val="nl-NL"/>
        </w:rPr>
        <w:t xml:space="preserve">. TÜBİTAK heeft op zijn officiële ethics-pagina meerdere regelingen staan, waaronder de </w:t>
      </w:r>
      <w:r w:rsidRPr="00F332B2">
        <w:rPr>
          <w:b/>
          <w:bCs/>
          <w:lang w:val="nl-NL"/>
        </w:rPr>
        <w:t>TÜBİTAK Araştırma ve Yayın Etiği Kurulu Yönetmeliği</w:t>
      </w:r>
      <w:r w:rsidRPr="00F332B2">
        <w:rPr>
          <w:lang w:val="nl-NL"/>
        </w:rPr>
        <w:t xml:space="preserve">. Dat document maakt meteen duidelijk dat TÜBİTAK niet simpelweg YÖK-regels kopieert, maar een </w:t>
      </w:r>
      <w:r w:rsidRPr="00F332B2">
        <w:rPr>
          <w:b/>
          <w:bCs/>
          <w:lang w:val="nl-NL"/>
        </w:rPr>
        <w:t>eigen integriteitsstelsel</w:t>
      </w:r>
      <w:r w:rsidRPr="00F332B2">
        <w:rPr>
          <w:lang w:val="nl-NL"/>
        </w:rPr>
        <w:t xml:space="preserve"> onderhoudt voor de projecten, steunvormen, publicaties en beoordelingstrajecten die binnen TÜBİTAK vallen. (</w:t>
      </w:r>
      <w:hyperlink r:id="rId11" w:tooltip="https://tubitak.gov.tr/tr/taxonomy/term/163" w:history="1">
        <w:r w:rsidRPr="00F332B2">
          <w:rPr>
            <w:rStyle w:val="Hyperlink"/>
            <w:lang w:val="nl-NL"/>
          </w:rPr>
          <w:t>TÜBİTAK</w:t>
        </w:r>
      </w:hyperlink>
      <w:r w:rsidRPr="00F332B2">
        <w:rPr>
          <w:lang w:val="nl-NL"/>
        </w:rPr>
        <w:t>)</w:t>
      </w:r>
    </w:p>
    <w:p w14:paraId="503A5EA1" w14:textId="77777777" w:rsidR="00F332B2" w:rsidRPr="00F332B2" w:rsidRDefault="00F332B2" w:rsidP="00F332B2">
      <w:pPr>
        <w:rPr>
          <w:lang w:val="nl-NL"/>
        </w:rPr>
      </w:pPr>
      <w:r w:rsidRPr="00F332B2">
        <w:rPr>
          <w:lang w:val="nl-NL"/>
        </w:rPr>
        <w:lastRenderedPageBreak/>
        <w:t xml:space="preserve">De </w:t>
      </w:r>
      <w:r w:rsidRPr="00F332B2">
        <w:rPr>
          <w:b/>
          <w:bCs/>
          <w:lang w:val="nl-NL"/>
        </w:rPr>
        <w:t>TÜBİTAK AYEK</w:t>
      </w:r>
      <w:r w:rsidRPr="00F332B2">
        <w:rPr>
          <w:lang w:val="nl-NL"/>
        </w:rPr>
        <w:t xml:space="preserve"> heeft een brede scope. Het reglement omvat projecten en activiteiten die aan TÜBİTAK worden voorgesteld of door TÜBİTAK worden ondersteund, publicaties die door TÜBİTAK worden uitgegeven of aan TÜBİTAK-journals zijn voorgelegd, en ook schendingen door beoordelaars, adviseurs, editors, panelists, rapporteurs en andere functionarissen in TÜBİTAK-processen. De Board bestaat uit </w:t>
      </w:r>
      <w:r w:rsidRPr="00F332B2">
        <w:rPr>
          <w:b/>
          <w:bCs/>
          <w:lang w:val="nl-NL"/>
        </w:rPr>
        <w:t>negen leden</w:t>
      </w:r>
      <w:r w:rsidRPr="00F332B2">
        <w:rPr>
          <w:lang w:val="nl-NL"/>
        </w:rPr>
        <w:t xml:space="preserve">, afkomstig uit sociale/humane wetenschappen, basale wetenschappen, gezondheidswetenschappen en engineering, met </w:t>
      </w:r>
      <w:r w:rsidRPr="00F332B2">
        <w:rPr>
          <w:b/>
          <w:bCs/>
          <w:lang w:val="nl-NL"/>
        </w:rPr>
        <w:t>minstens één jurist</w:t>
      </w:r>
      <w:r w:rsidRPr="00F332B2">
        <w:rPr>
          <w:lang w:val="nl-NL"/>
        </w:rPr>
        <w:t xml:space="preserve">, benoemd voor vier jaar. AYEK kan experts raadplegen, stukken en verweer vragen, en eventuele sanctievoorstellen aan de TÜBİTAK-president voorleggen. Tegelijk sluit het reglement </w:t>
      </w:r>
      <w:r w:rsidRPr="00F332B2">
        <w:rPr>
          <w:b/>
          <w:bCs/>
          <w:lang w:val="nl-NL"/>
        </w:rPr>
        <w:t>human ethics</w:t>
      </w:r>
      <w:r w:rsidRPr="00F332B2">
        <w:rPr>
          <w:lang w:val="nl-NL"/>
        </w:rPr>
        <w:t xml:space="preserve"> en </w:t>
      </w:r>
      <w:r w:rsidRPr="00F332B2">
        <w:rPr>
          <w:b/>
          <w:bCs/>
          <w:lang w:val="nl-NL"/>
        </w:rPr>
        <w:t>animal ethics</w:t>
      </w:r>
      <w:r w:rsidRPr="00F332B2">
        <w:rPr>
          <w:lang w:val="nl-NL"/>
        </w:rPr>
        <w:t xml:space="preserve"> uit van AYEK’s scope en stuurt die expliciet door naar andere bevoegde instanties.</w:t>
      </w:r>
    </w:p>
    <w:p w14:paraId="6A4D19A8" w14:textId="77777777" w:rsidR="00F332B2" w:rsidRPr="00F332B2" w:rsidRDefault="00F332B2" w:rsidP="00F332B2">
      <w:pPr>
        <w:rPr>
          <w:lang w:val="nl-NL"/>
        </w:rPr>
      </w:pPr>
      <w:r w:rsidRPr="00F332B2">
        <w:rPr>
          <w:lang w:val="nl-NL"/>
        </w:rPr>
        <w:t xml:space="preserve">Procedureel is TÜBİTAK opvallend precies. Het reglement voorziet in een </w:t>
      </w:r>
      <w:r w:rsidRPr="00F332B2">
        <w:rPr>
          <w:b/>
          <w:bCs/>
          <w:lang w:val="nl-NL"/>
        </w:rPr>
        <w:t>15-daagse bezwaarroute</w:t>
      </w:r>
      <w:r w:rsidRPr="00F332B2">
        <w:rPr>
          <w:lang w:val="nl-NL"/>
        </w:rPr>
        <w:t xml:space="preserve"> na kennisgeving, een streefduur van </w:t>
      </w:r>
      <w:r w:rsidRPr="00F332B2">
        <w:rPr>
          <w:b/>
          <w:bCs/>
          <w:lang w:val="nl-NL"/>
        </w:rPr>
        <w:t>zes maanden</w:t>
      </w:r>
      <w:r w:rsidRPr="00F332B2">
        <w:rPr>
          <w:lang w:val="nl-NL"/>
        </w:rPr>
        <w:t xml:space="preserve"> voor afronding van de beoordeling vanaf agendering, en strikte vertrouwelijkheid van dossiers en namen. Bovendien zijn er ook sanctierelaties naar de publicatielaag: TÜBİTAK-journal policies verwijzen expliciet naar publication bans die uit AYEK-besluiten kunnen volgen. Voor jouw kaart is TÜBİTAK daardoor een schoolvoorbeeld van een </w:t>
      </w:r>
      <w:r w:rsidRPr="00F332B2">
        <w:rPr>
          <w:b/>
          <w:bCs/>
          <w:lang w:val="nl-NL"/>
        </w:rPr>
        <w:t>funder/agency-integrity regime</w:t>
      </w:r>
      <w:r w:rsidRPr="00F332B2">
        <w:rPr>
          <w:lang w:val="nl-NL"/>
        </w:rPr>
        <w:t xml:space="preserve"> dat parallel loopt aan het universitaire systeem.</w:t>
      </w:r>
    </w:p>
    <w:p w14:paraId="2ADE33B3" w14:textId="77777777" w:rsidR="00F332B2" w:rsidRPr="00F332B2" w:rsidRDefault="00F332B2" w:rsidP="00F332B2">
      <w:pPr>
        <w:rPr>
          <w:b/>
          <w:bCs/>
          <w:lang w:val="nl-NL"/>
        </w:rPr>
      </w:pPr>
      <w:r w:rsidRPr="00F332B2">
        <w:rPr>
          <w:b/>
          <w:bCs/>
          <w:lang w:val="nl-NL"/>
        </w:rPr>
        <w:t>6. De health-funder/agency-laag: TÜSEB</w:t>
      </w:r>
    </w:p>
    <w:p w14:paraId="2972228F" w14:textId="77777777" w:rsidR="00F332B2" w:rsidRPr="00F332B2" w:rsidRDefault="00F332B2" w:rsidP="00F332B2">
      <w:pPr>
        <w:rPr>
          <w:lang w:val="nl-NL"/>
        </w:rPr>
      </w:pPr>
      <w:r w:rsidRPr="00F332B2">
        <w:rPr>
          <w:lang w:val="nl-NL"/>
        </w:rPr>
        <w:t xml:space="preserve">Voor het gezondheidsdomein is </w:t>
      </w:r>
      <w:r w:rsidRPr="00F332B2">
        <w:rPr>
          <w:b/>
          <w:bCs/>
          <w:lang w:val="nl-NL"/>
        </w:rPr>
        <w:t>TÜSEB (Türkiye Sağlık Enstitüleri Başkanlığı)</w:t>
      </w:r>
      <w:r w:rsidRPr="00F332B2">
        <w:rPr>
          <w:lang w:val="nl-NL"/>
        </w:rPr>
        <w:t xml:space="preserve"> een tweede sleutelactor. De officiële TÜSEB-pagina beschrijft de organisatie als een instelling die wetenschappelijke, technische en financiële steun geeft in de gezondheidswetenschappen en die werkt met </w:t>
      </w:r>
      <w:r w:rsidRPr="00F332B2">
        <w:rPr>
          <w:b/>
          <w:bCs/>
          <w:lang w:val="nl-NL"/>
        </w:rPr>
        <w:t>negen instituten</w:t>
      </w:r>
      <w:r w:rsidRPr="00F332B2">
        <w:rPr>
          <w:lang w:val="nl-NL"/>
        </w:rPr>
        <w:t xml:space="preserve">. Op de TÜSEB-mevzuatpagina staat bovendien expliciet een </w:t>
      </w:r>
      <w:r w:rsidRPr="00F332B2">
        <w:rPr>
          <w:b/>
          <w:bCs/>
          <w:lang w:val="nl-NL"/>
        </w:rPr>
        <w:t>Türkiye Sağlık Enstitüleri Başkanlığı Araştırma ve Yayın Etiği Kurulu Yönetmeliği</w:t>
      </w:r>
      <w:r w:rsidRPr="00F332B2">
        <w:rPr>
          <w:lang w:val="nl-NL"/>
        </w:rPr>
        <w:t xml:space="preserve">, naast project support regulations en instituutsregelingen. TÜSEB publiceert daarnaast ook workshop- en statusrapporten, waaronder rapporten over </w:t>
      </w:r>
      <w:r w:rsidRPr="00F332B2">
        <w:rPr>
          <w:b/>
          <w:bCs/>
          <w:lang w:val="nl-NL"/>
        </w:rPr>
        <w:t>klinische onderzoeken</w:t>
      </w:r>
      <w:r w:rsidRPr="00F332B2">
        <w:rPr>
          <w:lang w:val="nl-NL"/>
        </w:rPr>
        <w:t xml:space="preserve"> en </w:t>
      </w:r>
      <w:r w:rsidRPr="00F332B2">
        <w:rPr>
          <w:b/>
          <w:bCs/>
          <w:lang w:val="nl-NL"/>
        </w:rPr>
        <w:t>ethics committees</w:t>
      </w:r>
      <w:r w:rsidRPr="00F332B2">
        <w:rPr>
          <w:lang w:val="nl-NL"/>
        </w:rPr>
        <w:t>. (</w:t>
      </w:r>
      <w:hyperlink r:id="rId12" w:tooltip="Türkiye Sağlık Enstitüleri Başkanlığı (TÜSEB)" w:history="1">
        <w:r w:rsidRPr="00F332B2">
          <w:rPr>
            <w:rStyle w:val="Hyperlink"/>
            <w:lang w:val="nl-NL"/>
          </w:rPr>
          <w:t>TÜSEB</w:t>
        </w:r>
      </w:hyperlink>
      <w:r w:rsidRPr="00F332B2">
        <w:rPr>
          <w:lang w:val="nl-NL"/>
        </w:rPr>
        <w:t>)</w:t>
      </w:r>
    </w:p>
    <w:p w14:paraId="1AA49B32" w14:textId="77777777" w:rsidR="00F332B2" w:rsidRPr="00F332B2" w:rsidRDefault="00F332B2" w:rsidP="00F332B2">
      <w:pPr>
        <w:rPr>
          <w:lang w:val="nl-NL"/>
        </w:rPr>
      </w:pPr>
      <w:r w:rsidRPr="00F332B2">
        <w:rPr>
          <w:lang w:val="nl-NL"/>
        </w:rPr>
        <w:t xml:space="preserve">De </w:t>
      </w:r>
      <w:r w:rsidRPr="00F332B2">
        <w:rPr>
          <w:b/>
          <w:bCs/>
          <w:lang w:val="nl-NL"/>
        </w:rPr>
        <w:t>TÜSEB AYEK</w:t>
      </w:r>
      <w:r w:rsidRPr="00F332B2">
        <w:rPr>
          <w:lang w:val="nl-NL"/>
        </w:rPr>
        <w:t xml:space="preserve"> lijkt sterk op de TÜBİTAK-variant, maar dan toegespitst op de gezondheidsomgeving. Het reglement bestrijkt door TÜSEB ondersteunde of uitgevoerde projecten, door TÜSEB gepubliceerde of ontvangen publicaties, en schendingen door reviewers, advisers en editors. De Board telt </w:t>
      </w:r>
      <w:r w:rsidRPr="00F332B2">
        <w:rPr>
          <w:b/>
          <w:bCs/>
          <w:lang w:val="nl-NL"/>
        </w:rPr>
        <w:t>zeven leden</w:t>
      </w:r>
      <w:r w:rsidRPr="00F332B2">
        <w:rPr>
          <w:lang w:val="nl-NL"/>
        </w:rPr>
        <w:t xml:space="preserve">, met </w:t>
      </w:r>
      <w:r w:rsidRPr="00F332B2">
        <w:rPr>
          <w:b/>
          <w:bCs/>
          <w:lang w:val="nl-NL"/>
        </w:rPr>
        <w:t>minstens één jurist</w:t>
      </w:r>
      <w:r w:rsidRPr="00F332B2">
        <w:rPr>
          <w:lang w:val="nl-NL"/>
        </w:rPr>
        <w:t xml:space="preserve">, en de secretariële ondersteuning ligt bij de juridische dienst van TÜSEB. Ook hier vallen </w:t>
      </w:r>
      <w:r w:rsidRPr="00F332B2">
        <w:rPr>
          <w:b/>
          <w:bCs/>
          <w:lang w:val="nl-NL"/>
        </w:rPr>
        <w:t>human ethics</w:t>
      </w:r>
      <w:r w:rsidRPr="00F332B2">
        <w:rPr>
          <w:lang w:val="nl-NL"/>
        </w:rPr>
        <w:t xml:space="preserve"> en </w:t>
      </w:r>
      <w:r w:rsidRPr="00F332B2">
        <w:rPr>
          <w:b/>
          <w:bCs/>
          <w:lang w:val="nl-NL"/>
        </w:rPr>
        <w:t>animal ethics</w:t>
      </w:r>
      <w:r w:rsidRPr="00F332B2">
        <w:rPr>
          <w:lang w:val="nl-NL"/>
        </w:rPr>
        <w:t xml:space="preserve"> expliciet buiten de eigen scope en worden die doorgeleid naar andere organen; ook hier zie je een 15-daagse bezwaarroute, een </w:t>
      </w:r>
      <w:r w:rsidRPr="00F332B2">
        <w:rPr>
          <w:b/>
          <w:bCs/>
          <w:lang w:val="nl-NL"/>
        </w:rPr>
        <w:t>zesmaandenstreeftermijn</w:t>
      </w:r>
      <w:r w:rsidRPr="00F332B2">
        <w:rPr>
          <w:lang w:val="nl-NL"/>
        </w:rPr>
        <w:t xml:space="preserve">, en geheimhouding/KVKK-verplichtingen. Dat bevestigt dat Turkije niet één algemene nationale ethics board heeft, maar meerdere </w:t>
      </w:r>
      <w:r w:rsidRPr="00F332B2">
        <w:rPr>
          <w:b/>
          <w:bCs/>
          <w:lang w:val="nl-NL"/>
        </w:rPr>
        <w:t>sectorspecifieke AYEK-regimes</w:t>
      </w:r>
      <w:r w:rsidRPr="00F332B2">
        <w:rPr>
          <w:lang w:val="nl-NL"/>
        </w:rPr>
        <w:t>.</w:t>
      </w:r>
    </w:p>
    <w:p w14:paraId="37E29F70" w14:textId="77777777" w:rsidR="00F332B2" w:rsidRPr="00F332B2" w:rsidRDefault="00F332B2" w:rsidP="00F332B2">
      <w:pPr>
        <w:rPr>
          <w:b/>
          <w:bCs/>
          <w:lang w:val="nl-NL"/>
        </w:rPr>
      </w:pPr>
      <w:r w:rsidRPr="00F332B2">
        <w:rPr>
          <w:b/>
          <w:bCs/>
          <w:lang w:val="nl-NL"/>
        </w:rPr>
        <w:t>7. De institutionele laag: universiteiten als echte uitvoeringsplek</w:t>
      </w:r>
    </w:p>
    <w:p w14:paraId="0C0B501A" w14:textId="77777777" w:rsidR="00F332B2" w:rsidRPr="00F332B2" w:rsidRDefault="00F332B2" w:rsidP="00F332B2">
      <w:pPr>
        <w:rPr>
          <w:lang w:val="nl-NL"/>
        </w:rPr>
      </w:pPr>
      <w:r w:rsidRPr="00F332B2">
        <w:rPr>
          <w:lang w:val="nl-NL"/>
        </w:rPr>
        <w:lastRenderedPageBreak/>
        <w:t xml:space="preserve">Op instellingsniveau zie je in Turkije een heel herkenbaar patroon terugkomen: </w:t>
      </w:r>
      <w:r w:rsidRPr="00F332B2">
        <w:rPr>
          <w:b/>
          <w:bCs/>
          <w:lang w:val="nl-NL"/>
        </w:rPr>
        <w:t>senate- of rector-approved directives</w:t>
      </w:r>
      <w:r w:rsidRPr="00F332B2">
        <w:rPr>
          <w:lang w:val="nl-NL"/>
        </w:rPr>
        <w:t xml:space="preserve">, meerdere domeinspecifieke ethics committees, lokale formulieren en aanvraaggidsen, ledenlijsten, vergaderdata, en vaak ook een vorm van </w:t>
      </w:r>
      <w:r w:rsidRPr="00F332B2">
        <w:rPr>
          <w:b/>
          <w:bCs/>
          <w:lang w:val="nl-NL"/>
        </w:rPr>
        <w:t>coördinatie of secretariële ondersteuning</w:t>
      </w:r>
      <w:r w:rsidRPr="00F332B2">
        <w:rPr>
          <w:lang w:val="nl-NL"/>
        </w:rPr>
        <w:t xml:space="preserve"> onder de rector of juridische dienst. </w:t>
      </w:r>
      <w:r w:rsidRPr="00F332B2">
        <w:rPr>
          <w:b/>
          <w:bCs/>
          <w:lang w:val="nl-NL"/>
        </w:rPr>
        <w:t>Ankara University</w:t>
      </w:r>
      <w:r w:rsidRPr="00F332B2">
        <w:rPr>
          <w:lang w:val="nl-NL"/>
        </w:rPr>
        <w:t xml:space="preserve"> is hier een sterk voorbeeld van: de eigen yönerge definieert een </w:t>
      </w:r>
      <w:r w:rsidRPr="00F332B2">
        <w:rPr>
          <w:b/>
          <w:bCs/>
          <w:lang w:val="nl-NL"/>
        </w:rPr>
        <w:t>ethics coordinator</w:t>
      </w:r>
      <w:r w:rsidRPr="00F332B2">
        <w:rPr>
          <w:lang w:val="nl-NL"/>
        </w:rPr>
        <w:t xml:space="preserve">, een </w:t>
      </w:r>
      <w:r w:rsidRPr="00F332B2">
        <w:rPr>
          <w:b/>
          <w:bCs/>
          <w:lang w:val="nl-NL"/>
        </w:rPr>
        <w:t>Ethics Committees Branch Directorate</w:t>
      </w:r>
      <w:r w:rsidRPr="00F332B2">
        <w:rPr>
          <w:lang w:val="nl-NL"/>
        </w:rPr>
        <w:t xml:space="preserve"> onder de juridische dienst, coördinatie tussen commissies, archivering, geheimhouding en een rectorale beslislaag. Dat lijkt sterk op een uitgewerkte lokale vertaling van het YÖK-model. (</w:t>
      </w:r>
      <w:hyperlink r:id="rId13" w:tooltip="YÖNERGE – HUKUK MÜŞAVİRLİĞİ ETİK KURULLAR ŞUBE MÜDÜRLÜĞÜ" w:history="1">
        <w:r w:rsidRPr="00F332B2">
          <w:rPr>
            <w:rStyle w:val="Hyperlink"/>
            <w:lang w:val="nl-NL"/>
          </w:rPr>
          <w:t>Hukuk Ethics Division</w:t>
        </w:r>
      </w:hyperlink>
      <w:r w:rsidRPr="00F332B2">
        <w:rPr>
          <w:lang w:val="nl-NL"/>
        </w:rPr>
        <w:t>)</w:t>
      </w:r>
    </w:p>
    <w:p w14:paraId="290CA2B4" w14:textId="77777777" w:rsidR="00F332B2" w:rsidRPr="00F332B2" w:rsidRDefault="00F332B2" w:rsidP="00F332B2">
      <w:pPr>
        <w:rPr>
          <w:lang w:val="nl-NL"/>
        </w:rPr>
      </w:pPr>
      <w:r w:rsidRPr="00F332B2">
        <w:rPr>
          <w:b/>
          <w:bCs/>
          <w:lang w:val="nl-NL"/>
        </w:rPr>
        <w:t>Ege University</w:t>
      </w:r>
      <w:r w:rsidRPr="00F332B2">
        <w:rPr>
          <w:lang w:val="nl-NL"/>
        </w:rPr>
        <w:t xml:space="preserve"> laat vervolgens zien hoe breed de institutionele documentlaag kan worden. De onderzoekscoördinatiepagina beschrijft welke projecttypen ethics approval nodig hebben — onder meer surveys, interviews, focus groups, observation, experiments, human/animal use, clinical research en ook retrospective studies in relatie tot de personal-data law — en verwijst door naar de afzonderlijke boards voor </w:t>
      </w:r>
      <w:r w:rsidRPr="00F332B2">
        <w:rPr>
          <w:b/>
          <w:bCs/>
          <w:lang w:val="nl-NL"/>
        </w:rPr>
        <w:t>health sciences</w:t>
      </w:r>
      <w:r w:rsidRPr="00F332B2">
        <w:rPr>
          <w:lang w:val="nl-NL"/>
        </w:rPr>
        <w:t xml:space="preserve">, </w:t>
      </w:r>
      <w:r w:rsidRPr="00F332B2">
        <w:rPr>
          <w:b/>
          <w:bCs/>
          <w:lang w:val="nl-NL"/>
        </w:rPr>
        <w:t>science/engineering</w:t>
      </w:r>
      <w:r w:rsidRPr="00F332B2">
        <w:rPr>
          <w:lang w:val="nl-NL"/>
        </w:rPr>
        <w:t xml:space="preserve"> en </w:t>
      </w:r>
      <w:r w:rsidRPr="00F332B2">
        <w:rPr>
          <w:b/>
          <w:bCs/>
          <w:lang w:val="nl-NL"/>
        </w:rPr>
        <w:t>social/human sciences</w:t>
      </w:r>
      <w:r w:rsidRPr="00F332B2">
        <w:rPr>
          <w:lang w:val="nl-NL"/>
        </w:rPr>
        <w:t xml:space="preserve">, inclusief leden, yönerge, application guide en forms. Zulke pagina’s zijn voor jouw project ideaal, omdat zij niet alleen de commissie tonen, maar ook </w:t>
      </w:r>
      <w:r w:rsidRPr="00F332B2">
        <w:rPr>
          <w:b/>
          <w:bCs/>
          <w:lang w:val="nl-NL"/>
        </w:rPr>
        <w:t>wat lokaal als ethics-relevant onderzoek wordt gezien</w:t>
      </w:r>
      <w:r w:rsidRPr="00F332B2">
        <w:rPr>
          <w:lang w:val="nl-NL"/>
        </w:rPr>
        <w:t>. (</w:t>
      </w:r>
      <w:hyperlink r:id="rId14" w:tooltip="E.Ü.Araştırma Koordinatörlüğü " w:history="1">
        <w:r w:rsidRPr="00F332B2">
          <w:rPr>
            <w:rStyle w:val="Hyperlink"/>
            <w:lang w:val="nl-NL"/>
          </w:rPr>
          <w:t>arastirma.ege.edu.tr</w:t>
        </w:r>
      </w:hyperlink>
      <w:r w:rsidRPr="00F332B2">
        <w:rPr>
          <w:lang w:val="nl-NL"/>
        </w:rPr>
        <w:t>)</w:t>
      </w:r>
    </w:p>
    <w:p w14:paraId="64CAA223" w14:textId="77777777" w:rsidR="00F332B2" w:rsidRPr="00F332B2" w:rsidRDefault="00F332B2" w:rsidP="00F332B2">
      <w:pPr>
        <w:rPr>
          <w:lang w:val="nl-NL"/>
        </w:rPr>
      </w:pPr>
      <w:r w:rsidRPr="00F332B2">
        <w:rPr>
          <w:lang w:val="nl-NL"/>
        </w:rPr>
        <w:t xml:space="preserve">Andere universiteiten bevestigen dezelfde meervoudige architectuur. </w:t>
      </w:r>
      <w:r w:rsidRPr="00F332B2">
        <w:rPr>
          <w:b/>
          <w:bCs/>
          <w:lang w:val="nl-NL"/>
        </w:rPr>
        <w:t>Karadeniz Technical University</w:t>
      </w:r>
      <w:r w:rsidRPr="00F332B2">
        <w:rPr>
          <w:lang w:val="nl-NL"/>
        </w:rPr>
        <w:t xml:space="preserve"> publiceert op één pagina al een reeks verschillende ethics committees, waaronder voor </w:t>
      </w:r>
      <w:r w:rsidRPr="00F332B2">
        <w:rPr>
          <w:b/>
          <w:bCs/>
          <w:lang w:val="nl-NL"/>
        </w:rPr>
        <w:t>clinical research</w:t>
      </w:r>
      <w:r w:rsidRPr="00F332B2">
        <w:rPr>
          <w:lang w:val="nl-NL"/>
        </w:rPr>
        <w:t xml:space="preserve">, </w:t>
      </w:r>
      <w:r w:rsidRPr="00F332B2">
        <w:rPr>
          <w:b/>
          <w:bCs/>
          <w:lang w:val="nl-NL"/>
        </w:rPr>
        <w:t>animal experiments</w:t>
      </w:r>
      <w:r w:rsidRPr="00F332B2">
        <w:rPr>
          <w:lang w:val="nl-NL"/>
        </w:rPr>
        <w:t xml:space="preserve">, </w:t>
      </w:r>
      <w:r w:rsidRPr="00F332B2">
        <w:rPr>
          <w:b/>
          <w:bCs/>
          <w:lang w:val="nl-NL"/>
        </w:rPr>
        <w:t>aquatic vertebrates</w:t>
      </w:r>
      <w:r w:rsidRPr="00F332B2">
        <w:rPr>
          <w:lang w:val="nl-NL"/>
        </w:rPr>
        <w:t xml:space="preserve">, </w:t>
      </w:r>
      <w:r w:rsidRPr="00F332B2">
        <w:rPr>
          <w:b/>
          <w:bCs/>
          <w:lang w:val="nl-NL"/>
        </w:rPr>
        <w:t>health sciences</w:t>
      </w:r>
      <w:r w:rsidRPr="00F332B2">
        <w:rPr>
          <w:lang w:val="nl-NL"/>
        </w:rPr>
        <w:t xml:space="preserve">, </w:t>
      </w:r>
      <w:r w:rsidRPr="00F332B2">
        <w:rPr>
          <w:b/>
          <w:bCs/>
          <w:lang w:val="nl-NL"/>
        </w:rPr>
        <w:t>social and human sciences</w:t>
      </w:r>
      <w:r w:rsidRPr="00F332B2">
        <w:rPr>
          <w:lang w:val="nl-NL"/>
        </w:rPr>
        <w:t xml:space="preserve">, </w:t>
      </w:r>
      <w:r w:rsidRPr="00F332B2">
        <w:rPr>
          <w:b/>
          <w:bCs/>
          <w:lang w:val="nl-NL"/>
        </w:rPr>
        <w:t>science/natural sciences</w:t>
      </w:r>
      <w:r w:rsidRPr="00F332B2">
        <w:rPr>
          <w:lang w:val="nl-NL"/>
        </w:rPr>
        <w:t xml:space="preserve"> en zelfs faculteitsspecifieke wetenschappelijke research ethics boards. Dat is heel belangrijk voor jouw kaart: het laat zien dat “de institutionele laag” in Turkije vaak niet één commissie is, maar een </w:t>
      </w:r>
      <w:r w:rsidRPr="00F332B2">
        <w:rPr>
          <w:b/>
          <w:bCs/>
          <w:lang w:val="nl-NL"/>
        </w:rPr>
        <w:t>cluster van gespecialiseerde commissies</w:t>
      </w:r>
      <w:r w:rsidRPr="00F332B2">
        <w:rPr>
          <w:lang w:val="nl-NL"/>
        </w:rPr>
        <w:t>. (</w:t>
      </w:r>
      <w:hyperlink r:id="rId15" w:tooltip="&#10;ethical committees | KARADENIZ TECHNICAL UNIVERSITY" w:history="1">
        <w:r w:rsidRPr="00F332B2">
          <w:rPr>
            <w:rStyle w:val="Hyperlink"/>
            <w:lang w:val="nl-NL"/>
          </w:rPr>
          <w:t>Karadeniz Teknik Üniversitesi</w:t>
        </w:r>
      </w:hyperlink>
      <w:r w:rsidRPr="00F332B2">
        <w:rPr>
          <w:lang w:val="nl-NL"/>
        </w:rPr>
        <w:t>)</w:t>
      </w:r>
    </w:p>
    <w:p w14:paraId="4CBB153F" w14:textId="77777777" w:rsidR="00F332B2" w:rsidRPr="00F332B2" w:rsidRDefault="00F332B2" w:rsidP="00F332B2">
      <w:pPr>
        <w:rPr>
          <w:lang w:val="nl-NL"/>
        </w:rPr>
      </w:pPr>
      <w:r w:rsidRPr="00F332B2">
        <w:rPr>
          <w:lang w:val="nl-NL"/>
        </w:rPr>
        <w:t xml:space="preserve">Tegelijk zie je op lokaal niveau ook veel senate-created committees. </w:t>
      </w:r>
      <w:r w:rsidRPr="00F332B2">
        <w:rPr>
          <w:b/>
          <w:bCs/>
          <w:lang w:val="nl-NL"/>
        </w:rPr>
        <w:t>Boğaziçi University</w:t>
      </w:r>
      <w:r w:rsidRPr="00F332B2">
        <w:rPr>
          <w:lang w:val="nl-NL"/>
        </w:rPr>
        <w:t xml:space="preserve"> beschrijft zijn human research ethics committee als een commissie die door de </w:t>
      </w:r>
      <w:r w:rsidRPr="00F332B2">
        <w:rPr>
          <w:b/>
          <w:bCs/>
          <w:lang w:val="nl-NL"/>
        </w:rPr>
        <w:t>University Senate</w:t>
      </w:r>
      <w:r w:rsidRPr="00F332B2">
        <w:rPr>
          <w:lang w:val="nl-NL"/>
        </w:rPr>
        <w:t xml:space="preserve"> is opgericht om experimenten, onderzoek en field studies with humans te beoordelen op gezondheid, veiligheid, mensenrechten, wetgeving en ethiek; dezelfde pagina publiceert ook leden en concrete vergader-/deadlinetabellen voor 2026. </w:t>
      </w:r>
      <w:r w:rsidRPr="00F332B2">
        <w:rPr>
          <w:b/>
          <w:bCs/>
          <w:lang w:val="nl-NL"/>
        </w:rPr>
        <w:t>Amasya University</w:t>
      </w:r>
      <w:r w:rsidRPr="00F332B2">
        <w:rPr>
          <w:lang w:val="nl-NL"/>
        </w:rPr>
        <w:t xml:space="preserve"> documenteert op soortgelijke wijze dat zijn </w:t>
      </w:r>
      <w:r w:rsidRPr="00F332B2">
        <w:rPr>
          <w:b/>
          <w:bCs/>
          <w:lang w:val="nl-NL"/>
        </w:rPr>
        <w:t>non-interventional clinical research ethics committee</w:t>
      </w:r>
      <w:r w:rsidRPr="00F332B2">
        <w:rPr>
          <w:lang w:val="nl-NL"/>
        </w:rPr>
        <w:t xml:space="preserve"> bij senaatsbesluit van </w:t>
      </w:r>
      <w:r w:rsidRPr="00F332B2">
        <w:rPr>
          <w:b/>
          <w:bCs/>
          <w:lang w:val="nl-NL"/>
        </w:rPr>
        <w:t>26 september 2018</w:t>
      </w:r>
      <w:r w:rsidRPr="00F332B2">
        <w:rPr>
          <w:lang w:val="nl-NL"/>
        </w:rPr>
        <w:t xml:space="preserve"> is opgericht voor studies met gezonde of zieke vrijwilligers en voor het bewaken van nationale en internationale ethische en wetenschappelijke standaarden. Zulke documenten bewijzen heel direct </w:t>
      </w:r>
      <w:r w:rsidRPr="00F332B2">
        <w:rPr>
          <w:b/>
          <w:bCs/>
          <w:lang w:val="nl-NL"/>
        </w:rPr>
        <w:t>wie een commissie instelt, voor welk type onderzoek, en volgens welke normatieve horizon</w:t>
      </w:r>
      <w:r w:rsidRPr="00F332B2">
        <w:rPr>
          <w:lang w:val="nl-NL"/>
        </w:rPr>
        <w:t>. (</w:t>
      </w:r>
      <w:hyperlink r:id="rId16" w:tooltip="Sosyal ve Beşeri Bilimler İnsan Araştırmaları Etik Kurulu (SBINAREK)" w:history="1">
        <w:r w:rsidRPr="00F332B2">
          <w:rPr>
            <w:rStyle w:val="Hyperlink"/>
            <w:lang w:val="nl-NL"/>
          </w:rPr>
          <w:t>T.C. Boğaziçi Üniversitesi</w:t>
        </w:r>
      </w:hyperlink>
      <w:r w:rsidRPr="00F332B2">
        <w:rPr>
          <w:lang w:val="nl-NL"/>
        </w:rPr>
        <w:t>)</w:t>
      </w:r>
    </w:p>
    <w:p w14:paraId="402AE761" w14:textId="77777777" w:rsidR="00F332B2" w:rsidRPr="00F332B2" w:rsidRDefault="00F332B2" w:rsidP="00F332B2">
      <w:pPr>
        <w:rPr>
          <w:lang w:val="nl-NL"/>
        </w:rPr>
      </w:pPr>
      <w:r w:rsidRPr="00F332B2">
        <w:rPr>
          <w:lang w:val="nl-NL"/>
        </w:rPr>
        <w:t xml:space="preserve">De lokale praktijklaag wordt nog concreter bij </w:t>
      </w:r>
      <w:r w:rsidRPr="00F332B2">
        <w:rPr>
          <w:b/>
          <w:bCs/>
          <w:lang w:val="nl-NL"/>
        </w:rPr>
        <w:t>Sağlık Bilimleri Üniversitesi Gülhane</w:t>
      </w:r>
      <w:r w:rsidRPr="00F332B2">
        <w:rPr>
          <w:lang w:val="nl-NL"/>
        </w:rPr>
        <w:t xml:space="preserve">. Daar laat de klinische ethics-page zien dat de committee maandelijks vergadert en </w:t>
      </w:r>
      <w:r w:rsidRPr="00F332B2">
        <w:rPr>
          <w:lang w:val="nl-NL"/>
        </w:rPr>
        <w:lastRenderedPageBreak/>
        <w:t xml:space="preserve">alleen bepaalde projecten en dossiers in behandeling neemt. De lokale </w:t>
      </w:r>
      <w:r w:rsidRPr="00F332B2">
        <w:rPr>
          <w:b/>
          <w:bCs/>
          <w:lang w:val="nl-NL"/>
        </w:rPr>
        <w:t>HADYEK</w:t>
      </w:r>
      <w:r w:rsidRPr="00F332B2">
        <w:rPr>
          <w:lang w:val="nl-NL"/>
        </w:rPr>
        <w:t xml:space="preserve">-pagina maakt daarnaast duidelijk dat alle animal-use studies, inclusief theses, lokale approval nodig hebben, dat TÜBİTAK- en BAP-projecten eveneens approval moeten hebben, en dat de site tegelijk lokale forms, local directive, toepasselijke nationale regelgeving en een volledige ledenlijst publiceert. Dit is precies het soort bron dat jouw project nodig heeft: het bewijst niet alleen dat een commissie bestaat, maar ook </w:t>
      </w:r>
      <w:r w:rsidRPr="00F332B2">
        <w:rPr>
          <w:b/>
          <w:bCs/>
          <w:lang w:val="nl-NL"/>
        </w:rPr>
        <w:t>hoe de workflow, documenten en bevoegdheden op lokaal niveau eruitzien</w:t>
      </w:r>
      <w:r w:rsidRPr="00F332B2">
        <w:rPr>
          <w:lang w:val="nl-NL"/>
        </w:rPr>
        <w:t>. (</w:t>
      </w:r>
      <w:hyperlink r:id="rId17" w:tooltip="Gülhane Klinik Araştırmalar Etik Kurulu - Sağlık Bilimleri Üniversitesi" w:history="1">
        <w:r w:rsidRPr="00F332B2">
          <w:rPr>
            <w:rStyle w:val="Hyperlink"/>
            <w:lang w:val="nl-NL"/>
          </w:rPr>
          <w:t>Sakarya University of Health Sciences</w:t>
        </w:r>
      </w:hyperlink>
      <w:r w:rsidRPr="00F332B2">
        <w:rPr>
          <w:lang w:val="nl-NL"/>
        </w:rPr>
        <w:t>)</w:t>
      </w:r>
    </w:p>
    <w:p w14:paraId="48FB57BE" w14:textId="77777777" w:rsidR="00F332B2" w:rsidRPr="00F332B2" w:rsidRDefault="00F332B2" w:rsidP="00F332B2">
      <w:pPr>
        <w:rPr>
          <w:b/>
          <w:bCs/>
          <w:lang w:val="nl-NL"/>
        </w:rPr>
      </w:pPr>
      <w:r w:rsidRPr="00F332B2">
        <w:rPr>
          <w:b/>
          <w:bCs/>
          <w:lang w:val="nl-NL"/>
        </w:rPr>
        <w:t>8. De territoriale of “regionale” laag</w:t>
      </w:r>
    </w:p>
    <w:p w14:paraId="6D61F641" w14:textId="77777777" w:rsidR="00F332B2" w:rsidRPr="00F332B2" w:rsidRDefault="00F332B2" w:rsidP="00F332B2">
      <w:pPr>
        <w:rPr>
          <w:lang w:val="nl-NL"/>
        </w:rPr>
      </w:pPr>
      <w:r w:rsidRPr="00F332B2">
        <w:rPr>
          <w:lang w:val="nl-NL"/>
        </w:rPr>
        <w:t xml:space="preserve">Voor pure </w:t>
      </w:r>
      <w:r w:rsidRPr="00F332B2">
        <w:rPr>
          <w:b/>
          <w:bCs/>
          <w:lang w:val="nl-NL"/>
        </w:rPr>
        <w:t>research/publication ethics</w:t>
      </w:r>
      <w:r w:rsidRPr="00F332B2">
        <w:rPr>
          <w:lang w:val="nl-NL"/>
        </w:rPr>
        <w:t xml:space="preserve"> zie ik in deze eerste sweep in Turkije vooral een </w:t>
      </w:r>
      <w:r w:rsidRPr="00F332B2">
        <w:rPr>
          <w:b/>
          <w:bCs/>
          <w:lang w:val="nl-NL"/>
        </w:rPr>
        <w:t>centrale + institutionele</w:t>
      </w:r>
      <w:r w:rsidRPr="00F332B2">
        <w:rPr>
          <w:lang w:val="nl-NL"/>
        </w:rPr>
        <w:t xml:space="preserve"> structuur, niet een uitgesproken provinciale governance-laag. De echte territoriale spreiding zie je vooral bij de </w:t>
      </w:r>
      <w:r w:rsidRPr="00F332B2">
        <w:rPr>
          <w:b/>
          <w:bCs/>
          <w:lang w:val="nl-NL"/>
        </w:rPr>
        <w:t>ethics approval</w:t>
      </w:r>
      <w:r w:rsidRPr="00F332B2">
        <w:rPr>
          <w:lang w:val="nl-NL"/>
        </w:rPr>
        <w:t xml:space="preserve">-regimes: klinische ethics committees zitten bij universiteiten en ziekenhuizen maar functioneren onder een nationale Ministry/TİTCK-infrastructuur, terwijl lokale animal ethics boards over het land verspreid zijn maar centraal door </w:t>
      </w:r>
      <w:r w:rsidRPr="00F332B2">
        <w:rPr>
          <w:b/>
          <w:bCs/>
          <w:lang w:val="nl-NL"/>
        </w:rPr>
        <w:t>HADMEK</w:t>
      </w:r>
      <w:r w:rsidRPr="00F332B2">
        <w:rPr>
          <w:lang w:val="nl-NL"/>
        </w:rPr>
        <w:t xml:space="preserve"> worden goedgekeurd. Dat betekent dat “regionaal” in Turkije voorlopig vooral lijkt te horen bij </w:t>
      </w:r>
      <w:r w:rsidRPr="00F332B2">
        <w:rPr>
          <w:b/>
          <w:bCs/>
          <w:lang w:val="nl-NL"/>
        </w:rPr>
        <w:t>medische en dierethische goedkeuringssystemen</w:t>
      </w:r>
      <w:r w:rsidRPr="00F332B2">
        <w:rPr>
          <w:lang w:val="nl-NL"/>
        </w:rPr>
        <w:t>, minder bij de kern van research-publication misconduct. (</w:t>
      </w:r>
      <w:hyperlink r:id="rId18" w:tooltip="Titck - Türkiye İlaç ve Tıbbi Cihaz Kurumu" w:history="1">
        <w:r w:rsidRPr="00F332B2">
          <w:rPr>
            <w:rStyle w:val="Hyperlink"/>
            <w:lang w:val="nl-NL"/>
          </w:rPr>
          <w:t>Titck</w:t>
        </w:r>
      </w:hyperlink>
      <w:r w:rsidRPr="00F332B2">
        <w:rPr>
          <w:lang w:val="nl-NL"/>
        </w:rPr>
        <w:t>)</w:t>
      </w:r>
    </w:p>
    <w:p w14:paraId="6230FA79" w14:textId="77777777" w:rsidR="00F332B2" w:rsidRPr="00F332B2" w:rsidRDefault="00F332B2" w:rsidP="00F332B2">
      <w:pPr>
        <w:rPr>
          <w:b/>
          <w:bCs/>
          <w:lang w:val="nl-NL"/>
        </w:rPr>
      </w:pPr>
      <w:r w:rsidRPr="00F332B2">
        <w:rPr>
          <w:b/>
          <w:bCs/>
          <w:lang w:val="nl-NL"/>
        </w:rPr>
        <w:t>9. Klinisch onderzoek als afzonderlijk ethiekregime</w:t>
      </w:r>
    </w:p>
    <w:p w14:paraId="0C05CC4D" w14:textId="77777777" w:rsidR="00F332B2" w:rsidRPr="00F332B2" w:rsidRDefault="00F332B2" w:rsidP="00F332B2">
      <w:pPr>
        <w:rPr>
          <w:lang w:val="nl-NL"/>
        </w:rPr>
      </w:pPr>
      <w:r w:rsidRPr="00F332B2">
        <w:rPr>
          <w:lang w:val="nl-NL"/>
        </w:rPr>
        <w:t xml:space="preserve">Voor klinisch onderzoek is de centrale actor </w:t>
      </w:r>
      <w:r w:rsidRPr="00F332B2">
        <w:rPr>
          <w:b/>
          <w:bCs/>
          <w:lang w:val="nl-NL"/>
        </w:rPr>
        <w:t>TİTCK (Türkiye İlaç ve Tıbbi Cihaz Kurumu)</w:t>
      </w:r>
      <w:r w:rsidRPr="00F332B2">
        <w:rPr>
          <w:lang w:val="nl-NL"/>
        </w:rPr>
        <w:t xml:space="preserve">. De officiële klinische-onderzoekspagina zegt expliciet dat klinische studies worden uitgevoerd met </w:t>
      </w:r>
      <w:r w:rsidRPr="00F332B2">
        <w:rPr>
          <w:b/>
          <w:bCs/>
          <w:lang w:val="nl-NL"/>
        </w:rPr>
        <w:t>ethics committee approval</w:t>
      </w:r>
      <w:r w:rsidRPr="00F332B2">
        <w:rPr>
          <w:lang w:val="nl-NL"/>
        </w:rPr>
        <w:t xml:space="preserve"> en met </w:t>
      </w:r>
      <w:r w:rsidRPr="00F332B2">
        <w:rPr>
          <w:b/>
          <w:bCs/>
          <w:lang w:val="nl-NL"/>
        </w:rPr>
        <w:t>toestemming van het ministerie</w:t>
      </w:r>
      <w:r w:rsidRPr="00F332B2">
        <w:rPr>
          <w:lang w:val="nl-NL"/>
        </w:rPr>
        <w:t xml:space="preserve">; ethics committees worden er omschreven als </w:t>
      </w:r>
      <w:r w:rsidRPr="00F332B2">
        <w:rPr>
          <w:b/>
          <w:bCs/>
          <w:lang w:val="nl-NL"/>
        </w:rPr>
        <w:t>onafhankelijke boards</w:t>
      </w:r>
      <w:r w:rsidRPr="00F332B2">
        <w:rPr>
          <w:lang w:val="nl-NL"/>
        </w:rPr>
        <w:t xml:space="preserve"> die wetenschappelijk en ethisch advies geven ter bescherming van rechten, veiligheid en welzijn van vrijwilligers. Diezelfde pagina bevat bovendien een enorme set ondersteunende documenten: good clinical practice guidance, ethics committee SOPs, member-list templates, decision forms, conflict-of-interest/confidentiality forms, quarterly activity reports, FAQ’s en trainingsguides. Dit is dus een volledig </w:t>
      </w:r>
      <w:r w:rsidRPr="00F332B2">
        <w:rPr>
          <w:b/>
          <w:bCs/>
          <w:lang w:val="nl-NL"/>
        </w:rPr>
        <w:t>parallel ethics-governance systeem</w:t>
      </w:r>
      <w:r w:rsidRPr="00F332B2">
        <w:rPr>
          <w:lang w:val="nl-NL"/>
        </w:rPr>
        <w:t>, niet slechts een subpagina binnen algemene research integrity. (</w:t>
      </w:r>
      <w:hyperlink r:id="rId19" w:tooltip="Titck - Türkiye İlaç ve Tıbbi Cihaz Kurumu" w:history="1">
        <w:r w:rsidRPr="00F332B2">
          <w:rPr>
            <w:rStyle w:val="Hyperlink"/>
            <w:lang w:val="nl-NL"/>
          </w:rPr>
          <w:t>Titck</w:t>
        </w:r>
      </w:hyperlink>
      <w:r w:rsidRPr="00F332B2">
        <w:rPr>
          <w:lang w:val="nl-NL"/>
        </w:rPr>
        <w:t>)</w:t>
      </w:r>
    </w:p>
    <w:p w14:paraId="557B5F5E" w14:textId="77777777" w:rsidR="00F332B2" w:rsidRPr="00F332B2" w:rsidRDefault="00F332B2" w:rsidP="00F332B2">
      <w:pPr>
        <w:rPr>
          <w:lang w:val="nl-NL"/>
        </w:rPr>
      </w:pPr>
      <w:r w:rsidRPr="00F332B2">
        <w:rPr>
          <w:lang w:val="nl-NL"/>
        </w:rPr>
        <w:t xml:space="preserve">Wat hier ook opvalt, is dat het klinische regime een eigen </w:t>
      </w:r>
      <w:r w:rsidRPr="00F332B2">
        <w:rPr>
          <w:b/>
          <w:bCs/>
          <w:lang w:val="nl-NL"/>
        </w:rPr>
        <w:t>opleiding- en kwaliteitslaag</w:t>
      </w:r>
      <w:r w:rsidRPr="00F332B2">
        <w:rPr>
          <w:lang w:val="nl-NL"/>
        </w:rPr>
        <w:t xml:space="preserve"> heeft. De TİTCK-pagina zegt dat de Clinical Research Department opleidingen, seminars en gecertificeerde programma’s rond clinical research en good clinical practice organiseert of autoriseert en daarvoor ook een aparte guide en forms aanbiedt. Daarmee krijg je in Turkije bij clinical research niet alleen een approvalsysteem, maar ook een nationale </w:t>
      </w:r>
      <w:r w:rsidRPr="00F332B2">
        <w:rPr>
          <w:b/>
          <w:bCs/>
          <w:lang w:val="nl-NL"/>
        </w:rPr>
        <w:t>training-and-monitoring architecture</w:t>
      </w:r>
      <w:r w:rsidRPr="00F332B2">
        <w:rPr>
          <w:lang w:val="nl-NL"/>
        </w:rPr>
        <w:t>. (</w:t>
      </w:r>
      <w:hyperlink r:id="rId20" w:tooltip="Titck - Türkiye İlaç ve Tıbbi Cihaz Kurumu" w:history="1">
        <w:r w:rsidRPr="00F332B2">
          <w:rPr>
            <w:rStyle w:val="Hyperlink"/>
            <w:lang w:val="nl-NL"/>
          </w:rPr>
          <w:t>Titck</w:t>
        </w:r>
      </w:hyperlink>
      <w:r w:rsidRPr="00F332B2">
        <w:rPr>
          <w:lang w:val="nl-NL"/>
        </w:rPr>
        <w:t>)</w:t>
      </w:r>
    </w:p>
    <w:p w14:paraId="7906783B" w14:textId="77777777" w:rsidR="00F332B2" w:rsidRPr="00F332B2" w:rsidRDefault="00F332B2" w:rsidP="00F332B2">
      <w:pPr>
        <w:rPr>
          <w:b/>
          <w:bCs/>
          <w:lang w:val="nl-NL"/>
        </w:rPr>
      </w:pPr>
      <w:r w:rsidRPr="00F332B2">
        <w:rPr>
          <w:b/>
          <w:bCs/>
          <w:lang w:val="nl-NL"/>
        </w:rPr>
        <w:t>10. Dierproeven als afzonderlijk centraal-lokaal netwerk</w:t>
      </w:r>
    </w:p>
    <w:p w14:paraId="083F5C88" w14:textId="77777777" w:rsidR="00F332B2" w:rsidRPr="00F332B2" w:rsidRDefault="00F332B2" w:rsidP="00F332B2">
      <w:pPr>
        <w:rPr>
          <w:lang w:val="nl-NL"/>
        </w:rPr>
      </w:pPr>
      <w:r w:rsidRPr="00F332B2">
        <w:rPr>
          <w:lang w:val="nl-NL"/>
        </w:rPr>
        <w:lastRenderedPageBreak/>
        <w:t xml:space="preserve">Voor dierproeven is het centrale orgaan </w:t>
      </w:r>
      <w:r w:rsidRPr="00F332B2">
        <w:rPr>
          <w:b/>
          <w:bCs/>
          <w:lang w:val="nl-NL"/>
        </w:rPr>
        <w:t>HADMEK (Hayvan Deneyleri Merkezi Etik Kurulu)</w:t>
      </w:r>
      <w:r w:rsidRPr="00F332B2">
        <w:rPr>
          <w:lang w:val="nl-NL"/>
        </w:rPr>
        <w:t xml:space="preserve"> onder het ministerie van Land- en Bosbouw. De officiële HADMEK-mevzuatpagina noemt de </w:t>
      </w:r>
      <w:r w:rsidRPr="00F332B2">
        <w:rPr>
          <w:b/>
          <w:bCs/>
          <w:lang w:val="nl-NL"/>
        </w:rPr>
        <w:t>5199 Animal Protection Law</w:t>
      </w:r>
      <w:r w:rsidRPr="00F332B2">
        <w:rPr>
          <w:lang w:val="nl-NL"/>
        </w:rPr>
        <w:t xml:space="preserve">, de </w:t>
      </w:r>
      <w:r w:rsidRPr="00F332B2">
        <w:rPr>
          <w:b/>
          <w:bCs/>
          <w:lang w:val="nl-NL"/>
        </w:rPr>
        <w:t>5996 law</w:t>
      </w:r>
      <w:r w:rsidRPr="00F332B2">
        <w:rPr>
          <w:lang w:val="nl-NL"/>
        </w:rPr>
        <w:t xml:space="preserve">, de </w:t>
      </w:r>
      <w:r w:rsidRPr="00F332B2">
        <w:rPr>
          <w:b/>
          <w:bCs/>
          <w:lang w:val="nl-NL"/>
        </w:rPr>
        <w:t>Regulation of 15 February 2014</w:t>
      </w:r>
      <w:r w:rsidRPr="00F332B2">
        <w:rPr>
          <w:lang w:val="nl-NL"/>
        </w:rPr>
        <w:t xml:space="preserve"> over animal-experiment ethics committees, en de </w:t>
      </w:r>
      <w:r w:rsidRPr="00F332B2">
        <w:rPr>
          <w:b/>
          <w:bCs/>
          <w:lang w:val="nl-NL"/>
        </w:rPr>
        <w:t>2019/3 circular</w:t>
      </w:r>
      <w:r w:rsidRPr="00F332B2">
        <w:rPr>
          <w:lang w:val="nl-NL"/>
        </w:rPr>
        <w:t xml:space="preserve"> over training and certification. Die 2014-regeling bepaalt expliciet de acceptabele ethische standaarden, de oprichting en werking van de centrale en lokale animal ethics boards, de review van onderzoeksvoorstellen, monitoring, registratie en auditability van procedures. (</w:t>
      </w:r>
      <w:hyperlink r:id="rId21" w:tooltip="Hayvan Deneyleri Merkezi Etik Kurulu" w:history="1">
        <w:r w:rsidRPr="00F332B2">
          <w:rPr>
            <w:rStyle w:val="Hyperlink"/>
            <w:lang w:val="nl-NL"/>
          </w:rPr>
          <w:t>Hadmek</w:t>
        </w:r>
      </w:hyperlink>
      <w:r w:rsidRPr="00F332B2">
        <w:rPr>
          <w:lang w:val="nl-NL"/>
        </w:rPr>
        <w:t>)</w:t>
      </w:r>
    </w:p>
    <w:p w14:paraId="01CD92DE" w14:textId="77777777" w:rsidR="00F332B2" w:rsidRPr="00F332B2" w:rsidRDefault="00F332B2" w:rsidP="00F332B2">
      <w:pPr>
        <w:rPr>
          <w:lang w:val="nl-NL"/>
        </w:rPr>
      </w:pPr>
      <w:r w:rsidRPr="00F332B2">
        <w:rPr>
          <w:lang w:val="nl-NL"/>
        </w:rPr>
        <w:t xml:space="preserve">De officiële HADMEK-statistiekpagina maakt die architectuur heel tastbaar: per januari 2026 waren er </w:t>
      </w:r>
      <w:r w:rsidRPr="00F332B2">
        <w:rPr>
          <w:b/>
          <w:bCs/>
          <w:lang w:val="nl-NL"/>
        </w:rPr>
        <w:t>129</w:t>
      </w:r>
      <w:r w:rsidRPr="00F332B2">
        <w:rPr>
          <w:lang w:val="nl-NL"/>
        </w:rPr>
        <w:t xml:space="preserve"> door HADMEK goedgekeurde </w:t>
      </w:r>
      <w:r w:rsidRPr="00F332B2">
        <w:rPr>
          <w:b/>
          <w:bCs/>
          <w:lang w:val="nl-NL"/>
        </w:rPr>
        <w:t>HADYEK</w:t>
      </w:r>
      <w:r w:rsidRPr="00F332B2">
        <w:rPr>
          <w:lang w:val="nl-NL"/>
        </w:rPr>
        <w:t xml:space="preserve">-boards, verspreid over </w:t>
      </w:r>
      <w:r w:rsidRPr="00F332B2">
        <w:rPr>
          <w:b/>
          <w:bCs/>
          <w:lang w:val="nl-NL"/>
        </w:rPr>
        <w:t>57</w:t>
      </w:r>
      <w:r w:rsidRPr="00F332B2">
        <w:rPr>
          <w:lang w:val="nl-NL"/>
        </w:rPr>
        <w:t xml:space="preserve"> van de 81 provincies. De application page laat ook precies zien hoe zo’n lokaal board wordt gecreëerd: voor universiteiten is onder meer een </w:t>
      </w:r>
      <w:r w:rsidRPr="00F332B2">
        <w:rPr>
          <w:b/>
          <w:bCs/>
          <w:lang w:val="nl-NL"/>
        </w:rPr>
        <w:t>senate decision</w:t>
      </w:r>
      <w:r w:rsidRPr="00F332B2">
        <w:rPr>
          <w:lang w:val="nl-NL"/>
        </w:rPr>
        <w:t xml:space="preserve"> vereist, naast lokale directives, lidgegevens, animal welfare unit data en certificeringsstukken. Dat is voor jouw project prachtig bewijs van een </w:t>
      </w:r>
      <w:r w:rsidRPr="00F332B2">
        <w:rPr>
          <w:b/>
          <w:bCs/>
          <w:lang w:val="nl-NL"/>
        </w:rPr>
        <w:t>nationaal gecentraliseerd maar lokaal uitgewerkt netwerk</w:t>
      </w:r>
      <w:r w:rsidRPr="00F332B2">
        <w:rPr>
          <w:lang w:val="nl-NL"/>
        </w:rPr>
        <w:t>. (</w:t>
      </w:r>
      <w:hyperlink r:id="rId22" w:tooltip="Hayvan Deneyleri Merkezi Etik Kurulu" w:history="1">
        <w:r w:rsidRPr="00F332B2">
          <w:rPr>
            <w:rStyle w:val="Hyperlink"/>
            <w:lang w:val="nl-NL"/>
          </w:rPr>
          <w:t>Hadmek</w:t>
        </w:r>
      </w:hyperlink>
      <w:r w:rsidRPr="00F332B2">
        <w:rPr>
          <w:lang w:val="nl-NL"/>
        </w:rPr>
        <w:t>)</w:t>
      </w:r>
    </w:p>
    <w:p w14:paraId="468810BC" w14:textId="77777777" w:rsidR="00F332B2" w:rsidRPr="00F332B2" w:rsidRDefault="00F332B2" w:rsidP="00F332B2">
      <w:pPr>
        <w:rPr>
          <w:b/>
          <w:bCs/>
          <w:lang w:val="nl-NL"/>
        </w:rPr>
      </w:pPr>
      <w:r w:rsidRPr="00F332B2">
        <w:rPr>
          <w:b/>
          <w:bCs/>
          <w:lang w:val="nl-NL"/>
        </w:rPr>
        <w:t>11. Transparantie- en infrastructuurlaag</w:t>
      </w:r>
    </w:p>
    <w:p w14:paraId="6CF6DE14" w14:textId="77777777" w:rsidR="00F332B2" w:rsidRPr="00F332B2" w:rsidRDefault="00F332B2" w:rsidP="00F332B2">
      <w:pPr>
        <w:rPr>
          <w:lang w:val="nl-NL"/>
        </w:rPr>
      </w:pPr>
      <w:r w:rsidRPr="00F332B2">
        <w:rPr>
          <w:lang w:val="nl-NL"/>
        </w:rPr>
        <w:t xml:space="preserve">Er is in Turkije ook een interessante </w:t>
      </w:r>
      <w:r w:rsidRPr="00F332B2">
        <w:rPr>
          <w:b/>
          <w:bCs/>
          <w:lang w:val="nl-NL"/>
        </w:rPr>
        <w:t>transparantie-/documentinfrastructuurlaag</w:t>
      </w:r>
      <w:r w:rsidRPr="00F332B2">
        <w:rPr>
          <w:lang w:val="nl-NL"/>
        </w:rPr>
        <w:t xml:space="preserve">. YÖK’s open-science/open-access werk vermeldt dat binnen YÖK een </w:t>
      </w:r>
      <w:r w:rsidRPr="00F332B2">
        <w:rPr>
          <w:b/>
          <w:bCs/>
          <w:lang w:val="nl-NL"/>
        </w:rPr>
        <w:t>centrale open-access archive</w:t>
      </w:r>
      <w:r w:rsidRPr="00F332B2">
        <w:rPr>
          <w:lang w:val="nl-NL"/>
        </w:rPr>
        <w:t xml:space="preserve"> is opgezet en dat theses uit de </w:t>
      </w:r>
      <w:r w:rsidRPr="00F332B2">
        <w:rPr>
          <w:b/>
          <w:bCs/>
          <w:lang w:val="nl-NL"/>
        </w:rPr>
        <w:t>National Thesis Center database</w:t>
      </w:r>
      <w:r w:rsidRPr="00F332B2">
        <w:rPr>
          <w:lang w:val="nl-NL"/>
        </w:rPr>
        <w:t xml:space="preserve"> daarin zijn overgebracht. De </w:t>
      </w:r>
      <w:r w:rsidRPr="00F332B2">
        <w:rPr>
          <w:b/>
          <w:bCs/>
          <w:lang w:val="nl-NL"/>
        </w:rPr>
        <w:t>Ulusal Tez Merkezi</w:t>
      </w:r>
      <w:r w:rsidRPr="00F332B2">
        <w:rPr>
          <w:lang w:val="nl-NL"/>
        </w:rPr>
        <w:t xml:space="preserve">-pagina zelf zegt dat alle diensten online verlopen en dat theses waarvoor de auteur toestemming geeft open access beschikbaar worden gemaakt; niet-open theses blijven via bibliotheken/TÜBESS benaderbaar. Dat zijn geen ethics-committees, maar ze horen wel in jouw landschap, omdat ze laten zien hoe Turkije de </w:t>
      </w:r>
      <w:r w:rsidRPr="00F332B2">
        <w:rPr>
          <w:b/>
          <w:bCs/>
          <w:lang w:val="nl-NL"/>
        </w:rPr>
        <w:t>documenteerbaarheid, toegankelijkheid en archivering van wetenschappelijke output</w:t>
      </w:r>
      <w:r w:rsidRPr="00F332B2">
        <w:rPr>
          <w:lang w:val="nl-NL"/>
        </w:rPr>
        <w:t xml:space="preserve"> inricht. (</w:t>
      </w:r>
      <w:hyperlink r:id="rId23" w:tooltip="Açık Bilim ve Açık Erişim" w:history="1">
        <w:r w:rsidRPr="00F332B2">
          <w:rPr>
            <w:rStyle w:val="Hyperlink"/>
            <w:lang w:val="nl-NL"/>
          </w:rPr>
          <w:t>dokumantasyon.yok.gov.tr</w:t>
        </w:r>
      </w:hyperlink>
      <w:r w:rsidRPr="00F332B2">
        <w:rPr>
          <w:lang w:val="nl-NL"/>
        </w:rPr>
        <w:t>)</w:t>
      </w:r>
    </w:p>
    <w:p w14:paraId="55B297AE" w14:textId="77777777" w:rsidR="00F332B2" w:rsidRPr="00F332B2" w:rsidRDefault="00F332B2" w:rsidP="00F332B2">
      <w:pPr>
        <w:rPr>
          <w:b/>
          <w:bCs/>
          <w:lang w:val="nl-NL"/>
        </w:rPr>
      </w:pPr>
      <w:r w:rsidRPr="00F332B2">
        <w:rPr>
          <w:b/>
          <w:bCs/>
          <w:lang w:val="nl-NL"/>
        </w:rPr>
        <w:t>12. Normatieve en historische achtergrondteksten</w:t>
      </w:r>
    </w:p>
    <w:p w14:paraId="3F71D623" w14:textId="77777777" w:rsidR="00F332B2" w:rsidRPr="00F332B2" w:rsidRDefault="00F332B2" w:rsidP="00F332B2">
      <w:pPr>
        <w:rPr>
          <w:lang w:val="nl-NL"/>
        </w:rPr>
      </w:pPr>
      <w:r w:rsidRPr="00F332B2">
        <w:rPr>
          <w:lang w:val="nl-NL"/>
        </w:rPr>
        <w:t xml:space="preserve">Als je ook “vormende” teksten wilt verzamelen, is </w:t>
      </w:r>
      <w:r w:rsidRPr="00F332B2">
        <w:rPr>
          <w:b/>
          <w:bCs/>
          <w:lang w:val="nl-NL"/>
        </w:rPr>
        <w:t>TÜBA</w:t>
      </w:r>
      <w:r w:rsidRPr="00F332B2">
        <w:rPr>
          <w:lang w:val="nl-NL"/>
        </w:rPr>
        <w:t xml:space="preserve"> belangrijk. TÜBA publiceerde al in </w:t>
      </w:r>
      <w:r w:rsidRPr="00F332B2">
        <w:rPr>
          <w:b/>
          <w:bCs/>
          <w:lang w:val="nl-NL"/>
        </w:rPr>
        <w:t>2002</w:t>
      </w:r>
      <w:r w:rsidRPr="00F332B2">
        <w:rPr>
          <w:lang w:val="nl-NL"/>
        </w:rPr>
        <w:t xml:space="preserve"> </w:t>
      </w:r>
      <w:r w:rsidRPr="00F332B2">
        <w:rPr>
          <w:i/>
          <w:iCs/>
          <w:lang w:val="nl-NL"/>
        </w:rPr>
        <w:t>Bilimsel Araştırmada Etik ve Sorunları</w:t>
      </w:r>
      <w:r w:rsidRPr="00F332B2">
        <w:rPr>
          <w:lang w:val="nl-NL"/>
        </w:rPr>
        <w:t xml:space="preserve">, dat op de officiële pagina wordt beschreven als een gids over correcte gedragsprincipes en als een handreiking voor wetenschappers en voor doctoraats- en specialistische studenten. In </w:t>
      </w:r>
      <w:r w:rsidRPr="00F332B2">
        <w:rPr>
          <w:b/>
          <w:bCs/>
          <w:lang w:val="nl-NL"/>
        </w:rPr>
        <w:t>2008</w:t>
      </w:r>
      <w:r w:rsidRPr="00F332B2">
        <w:rPr>
          <w:lang w:val="nl-NL"/>
        </w:rPr>
        <w:t xml:space="preserve"> verscheen daarnaast </w:t>
      </w:r>
      <w:r w:rsidRPr="00F332B2">
        <w:rPr>
          <w:i/>
          <w:iCs/>
          <w:lang w:val="nl-NL"/>
        </w:rPr>
        <w:t>Bilim Etiği El Kitabı</w:t>
      </w:r>
      <w:r w:rsidRPr="00F332B2">
        <w:rPr>
          <w:lang w:val="nl-NL"/>
        </w:rPr>
        <w:t xml:space="preserve">. Zulke documenten lijken minder operationeel dan YÖK- of TÜBİTAK-regelingen, maar ze zijn waardevol als </w:t>
      </w:r>
      <w:r w:rsidRPr="00F332B2">
        <w:rPr>
          <w:b/>
          <w:bCs/>
          <w:lang w:val="nl-NL"/>
        </w:rPr>
        <w:t>historische en normatieve achtergrondlaag</w:t>
      </w:r>
      <w:r w:rsidRPr="00F332B2">
        <w:rPr>
          <w:lang w:val="nl-NL"/>
        </w:rPr>
        <w:t xml:space="preserve"> van het Turkse veld. (</w:t>
      </w:r>
      <w:hyperlink r:id="rId24" w:tooltip="TÜBA-Bilimsel Araştırmada Etik ve Sorunları | Türkiye Bilimler Akademisi" w:history="1">
        <w:r w:rsidRPr="00F332B2">
          <w:rPr>
            <w:rStyle w:val="Hyperlink"/>
            <w:lang w:val="nl-NL"/>
          </w:rPr>
          <w:t>Tuba</w:t>
        </w:r>
      </w:hyperlink>
      <w:r w:rsidRPr="00F332B2">
        <w:rPr>
          <w:lang w:val="nl-NL"/>
        </w:rPr>
        <w:t>)</w:t>
      </w:r>
    </w:p>
    <w:p w14:paraId="0D30D416" w14:textId="77777777" w:rsidR="00F332B2" w:rsidRPr="00F332B2" w:rsidRDefault="00F332B2" w:rsidP="00F332B2">
      <w:pPr>
        <w:rPr>
          <w:lang w:val="nl-NL"/>
        </w:rPr>
      </w:pPr>
      <w:r w:rsidRPr="00F332B2">
        <w:rPr>
          <w:lang w:val="nl-NL"/>
        </w:rPr>
        <w:t xml:space="preserve">TÜBA is bovendien ook een interessante </w:t>
      </w:r>
      <w:r w:rsidRPr="00F332B2">
        <w:rPr>
          <w:b/>
          <w:bCs/>
          <w:lang w:val="nl-NL"/>
        </w:rPr>
        <w:t>internationale brugactor</w:t>
      </w:r>
      <w:r w:rsidRPr="00F332B2">
        <w:rPr>
          <w:lang w:val="nl-NL"/>
        </w:rPr>
        <w:t xml:space="preserve">. In maart 2026 meldde TÜBA officieel deelname aan de </w:t>
      </w:r>
      <w:r w:rsidRPr="00F332B2">
        <w:rPr>
          <w:b/>
          <w:bCs/>
          <w:lang w:val="nl-NL"/>
        </w:rPr>
        <w:t>ALLEA Research Ethics and Integrity Council (REIC)</w:t>
      </w:r>
      <w:r w:rsidRPr="00F332B2">
        <w:rPr>
          <w:lang w:val="nl-NL"/>
        </w:rPr>
        <w:t xml:space="preserve"> en betrokkenheid bij discussies over de update van de Europese Code of Conduct. Dat maakt TÜBA methodologisch belangrijk, niet als hoofdhandhaver van het </w:t>
      </w:r>
      <w:r w:rsidRPr="00F332B2">
        <w:rPr>
          <w:lang w:val="nl-NL"/>
        </w:rPr>
        <w:lastRenderedPageBreak/>
        <w:t>Turkse systeem, maar als actor die de Turkse context met het bredere Europese research-integrity discours verbindt. (</w:t>
      </w:r>
      <w:hyperlink r:id="rId25" w:tooltip="Araştırma Etiği ve Dürüstlük Konseyi Toplantısı Berlin’de Yapıldı | Türkiye Bilimler Akademisi" w:history="1">
        <w:r w:rsidRPr="00F332B2">
          <w:rPr>
            <w:rStyle w:val="Hyperlink"/>
            <w:lang w:val="nl-NL"/>
          </w:rPr>
          <w:t>Tuba</w:t>
        </w:r>
      </w:hyperlink>
      <w:r w:rsidRPr="00F332B2">
        <w:rPr>
          <w:lang w:val="nl-NL"/>
        </w:rPr>
        <w:t>)</w:t>
      </w:r>
    </w:p>
    <w:p w14:paraId="2544FB87" w14:textId="77777777" w:rsidR="00F332B2" w:rsidRPr="00F332B2" w:rsidRDefault="00F332B2" w:rsidP="00F332B2">
      <w:pPr>
        <w:rPr>
          <w:b/>
          <w:bCs/>
          <w:lang w:val="nl-NL"/>
        </w:rPr>
      </w:pPr>
      <w:r w:rsidRPr="00F332B2">
        <w:rPr>
          <w:b/>
          <w:bCs/>
          <w:lang w:val="nl-NL"/>
        </w:rPr>
        <w:t>13. Welke documentlabels Turkije nu oplevert</w:t>
      </w:r>
    </w:p>
    <w:p w14:paraId="627231F9" w14:textId="77777777" w:rsidR="00F332B2" w:rsidRPr="00F332B2" w:rsidRDefault="00F332B2" w:rsidP="00F332B2">
      <w:r w:rsidRPr="00F332B2">
        <w:rPr>
          <w:lang w:val="nl-NL"/>
        </w:rPr>
        <w:t xml:space="preserve">Voor Turkije zou ik voorlopig de volgende documentlabels hanteren. </w:t>
      </w:r>
      <w:r w:rsidRPr="00F332B2">
        <w:rPr>
          <w:b/>
          <w:bCs/>
          <w:lang w:val="nl-NL"/>
        </w:rPr>
        <w:t>1. Framework law</w:t>
      </w:r>
      <w:r w:rsidRPr="00F332B2">
        <w:rPr>
          <w:lang w:val="nl-NL"/>
        </w:rPr>
        <w:t xml:space="preserve">: Wet 2547 en aanpalende universitaire/administratieve wetten. </w:t>
      </w:r>
      <w:r w:rsidRPr="00F332B2">
        <w:rPr>
          <w:b/>
          <w:bCs/>
          <w:lang w:val="nl-NL"/>
        </w:rPr>
        <w:t>2. National higher-education ethics directive</w:t>
      </w:r>
      <w:r w:rsidRPr="00F332B2">
        <w:rPr>
          <w:lang w:val="nl-NL"/>
        </w:rPr>
        <w:t xml:space="preserve">: de YÖK-yönerge. </w:t>
      </w:r>
      <w:r w:rsidRPr="00F332B2">
        <w:rPr>
          <w:b/>
          <w:bCs/>
          <w:lang w:val="nl-NL"/>
        </w:rPr>
        <w:t>3. Promotion ethics documents</w:t>
      </w:r>
      <w:r w:rsidRPr="00F332B2">
        <w:rPr>
          <w:lang w:val="nl-NL"/>
        </w:rPr>
        <w:t xml:space="preserve">: ÜAK-yönerge, workflow-schema’s, FAQ’s en application guides rond doçentlik. </w:t>
      </w:r>
      <w:r w:rsidRPr="00F332B2">
        <w:rPr>
          <w:b/>
          <w:bCs/>
        </w:rPr>
        <w:t>4. Agency/funder ethics board regulations</w:t>
      </w:r>
      <w:r w:rsidRPr="00F332B2">
        <w:t xml:space="preserve">: TÜBİTAK AYEK en TÜSEB AYEK. </w:t>
      </w:r>
      <w:r w:rsidRPr="00F332B2">
        <w:rPr>
          <w:b/>
          <w:bCs/>
        </w:rPr>
        <w:t>5. Institutional directives and coordination documents</w:t>
      </w:r>
      <w:r w:rsidRPr="00F332B2">
        <w:t xml:space="preserve">: lokale senate/regents/directives, secretariats, coordination offices, legal-counsel rules. </w:t>
      </w:r>
      <w:r w:rsidRPr="00F332B2">
        <w:rPr>
          <w:b/>
          <w:bCs/>
        </w:rPr>
        <w:t>6. Operational committee documents</w:t>
      </w:r>
      <w:r w:rsidRPr="00F332B2">
        <w:t xml:space="preserve">: forms, meeting dates, member lists, SOPs, guides, application portals. </w:t>
      </w:r>
      <w:r w:rsidRPr="00F332B2">
        <w:rPr>
          <w:b/>
          <w:bCs/>
        </w:rPr>
        <w:t>7. Boundary ethics regimes</w:t>
      </w:r>
      <w:r w:rsidRPr="00F332B2">
        <w:t xml:space="preserve">: TİTCK clinical-research documents en HADMEK/HADYEK animal-regime documents. </w:t>
      </w:r>
      <w:r w:rsidRPr="00F332B2">
        <w:rPr>
          <w:b/>
          <w:bCs/>
        </w:rPr>
        <w:t>8. Training and curriculum documents</w:t>
      </w:r>
      <w:r w:rsidRPr="00F332B2">
        <w:t xml:space="preserve">: graduate ethics-course requirement en GCP/ethics training materials. </w:t>
      </w:r>
      <w:r w:rsidRPr="00F332B2">
        <w:rPr>
          <w:b/>
          <w:bCs/>
          <w:lang w:val="nl-NL"/>
        </w:rPr>
        <w:t>9. Emerging-issue guides</w:t>
      </w:r>
      <w:r w:rsidRPr="00F332B2">
        <w:rPr>
          <w:lang w:val="nl-NL"/>
        </w:rPr>
        <w:t xml:space="preserve">: de YÖK GenAI guide en vergelijkbare 2026-AI documenten bij bijvoorbeeld TÜBİTAK. </w:t>
      </w:r>
      <w:r w:rsidRPr="00F332B2">
        <w:rPr>
          <w:b/>
          <w:bCs/>
        </w:rPr>
        <w:t>10. Transparency infrastructure</w:t>
      </w:r>
      <w:r w:rsidRPr="00F332B2">
        <w:t xml:space="preserve">: open-science/open-access pages en the National Thesis Center. </w:t>
      </w:r>
      <w:r w:rsidRPr="00F332B2">
        <w:rPr>
          <w:b/>
          <w:bCs/>
        </w:rPr>
        <w:t>11. Historical formative texts</w:t>
      </w:r>
      <w:r w:rsidRPr="00F332B2">
        <w:t>: TÜBA’s ethics books en handbooks. (</w:t>
      </w:r>
      <w:hyperlink r:id="rId26" w:tooltip="Mevzuat" w:history="1">
        <w:r w:rsidRPr="00F332B2">
          <w:rPr>
            <w:rStyle w:val="Hyperlink"/>
          </w:rPr>
          <w:t>Yükseköğretim Kurulu</w:t>
        </w:r>
      </w:hyperlink>
      <w:r w:rsidRPr="00F332B2">
        <w:t>)</w:t>
      </w:r>
    </w:p>
    <w:p w14:paraId="51F405AE" w14:textId="77777777" w:rsidR="00F332B2" w:rsidRPr="00F332B2" w:rsidRDefault="00F332B2" w:rsidP="00F332B2">
      <w:pPr>
        <w:rPr>
          <w:b/>
          <w:bCs/>
          <w:lang w:val="nl-NL"/>
        </w:rPr>
      </w:pPr>
      <w:r w:rsidRPr="00F332B2">
        <w:rPr>
          <w:b/>
          <w:bCs/>
          <w:lang w:val="nl-NL"/>
        </w:rPr>
        <w:t>14. Mijn voorlopige totaalbeeld van Turkije</w:t>
      </w:r>
    </w:p>
    <w:p w14:paraId="198AD774" w14:textId="77777777" w:rsidR="00F332B2" w:rsidRPr="00F332B2" w:rsidRDefault="00F332B2" w:rsidP="00F332B2">
      <w:pPr>
        <w:rPr>
          <w:lang w:val="nl-NL"/>
        </w:rPr>
      </w:pPr>
      <w:r w:rsidRPr="00F332B2">
        <w:rPr>
          <w:lang w:val="nl-NL"/>
        </w:rPr>
        <w:t xml:space="preserve">Mijn voorlopige totaalbeeld is dus dat Turkije </w:t>
      </w:r>
      <w:r w:rsidRPr="00F332B2">
        <w:rPr>
          <w:b/>
          <w:bCs/>
          <w:lang w:val="nl-NL"/>
        </w:rPr>
        <w:t>geen enkelvoudig integrity-systeem</w:t>
      </w:r>
      <w:r w:rsidRPr="00F332B2">
        <w:rPr>
          <w:lang w:val="nl-NL"/>
        </w:rPr>
        <w:t xml:space="preserve"> laat zien, maar een </w:t>
      </w:r>
      <w:r w:rsidRPr="00F332B2">
        <w:rPr>
          <w:b/>
          <w:bCs/>
          <w:lang w:val="nl-NL"/>
        </w:rPr>
        <w:t>regel- en commissie-ecologie</w:t>
      </w:r>
      <w:r w:rsidRPr="00F332B2">
        <w:rPr>
          <w:lang w:val="nl-NL"/>
        </w:rPr>
        <w:t xml:space="preserve"> met een sterke centrale ruggengraat. De zichtbare kern is: </w:t>
      </w:r>
      <w:r w:rsidRPr="00F332B2">
        <w:rPr>
          <w:b/>
          <w:bCs/>
          <w:lang w:val="nl-NL"/>
        </w:rPr>
        <w:t>YÖK</w:t>
      </w:r>
      <w:r w:rsidRPr="00F332B2">
        <w:rPr>
          <w:lang w:val="nl-NL"/>
        </w:rPr>
        <w:t xml:space="preserve"> definieert de algemene hogeronderwijsethiek en verplicht universiteiten tot lokale boards; </w:t>
      </w:r>
      <w:r w:rsidRPr="00F332B2">
        <w:rPr>
          <w:b/>
          <w:bCs/>
          <w:lang w:val="nl-NL"/>
        </w:rPr>
        <w:t>ÜAK</w:t>
      </w:r>
      <w:r w:rsidRPr="00F332B2">
        <w:rPr>
          <w:lang w:val="nl-NL"/>
        </w:rPr>
        <w:t xml:space="preserve"> bewaakt ethiek in de nationale promotie/doçentlik-keten; </w:t>
      </w:r>
      <w:r w:rsidRPr="00F332B2">
        <w:rPr>
          <w:b/>
          <w:bCs/>
          <w:lang w:val="nl-NL"/>
        </w:rPr>
        <w:t>TÜBİTAK</w:t>
      </w:r>
      <w:r w:rsidRPr="00F332B2">
        <w:rPr>
          <w:lang w:val="nl-NL"/>
        </w:rPr>
        <w:t xml:space="preserve"> en </w:t>
      </w:r>
      <w:r w:rsidRPr="00F332B2">
        <w:rPr>
          <w:b/>
          <w:bCs/>
          <w:lang w:val="nl-NL"/>
        </w:rPr>
        <w:t>TÜSEB</w:t>
      </w:r>
      <w:r w:rsidRPr="00F332B2">
        <w:rPr>
          <w:lang w:val="nl-NL"/>
        </w:rPr>
        <w:t xml:space="preserve"> hebben eigen integriteitsregimes voor hun onderzoeks- en financieringsprocessen; en </w:t>
      </w:r>
      <w:r w:rsidRPr="00F332B2">
        <w:rPr>
          <w:b/>
          <w:bCs/>
          <w:lang w:val="nl-NL"/>
        </w:rPr>
        <w:t>TİTCK</w:t>
      </w:r>
      <w:r w:rsidRPr="00F332B2">
        <w:rPr>
          <w:lang w:val="nl-NL"/>
        </w:rPr>
        <w:t xml:space="preserve"> plus </w:t>
      </w:r>
      <w:r w:rsidRPr="00F332B2">
        <w:rPr>
          <w:b/>
          <w:bCs/>
          <w:lang w:val="nl-NL"/>
        </w:rPr>
        <w:t>HADMEK</w:t>
      </w:r>
      <w:r w:rsidRPr="00F332B2">
        <w:rPr>
          <w:lang w:val="nl-NL"/>
        </w:rPr>
        <w:t xml:space="preserve"> beheren afzonderlijke approval-regimes voor klinisch en diergebonden onderzoek. In vergelijking met Nederland lijkt Turkije daardoor minder gebaseerd op één breed gedragen code en meer op een </w:t>
      </w:r>
      <w:r w:rsidRPr="00F332B2">
        <w:rPr>
          <w:b/>
          <w:bCs/>
          <w:lang w:val="nl-NL"/>
        </w:rPr>
        <w:t>mozaïek van bestuurs- en sectorspecifieke normbronnen</w:t>
      </w:r>
      <w:r w:rsidRPr="00F332B2">
        <w:rPr>
          <w:lang w:val="nl-NL"/>
        </w:rPr>
        <w:t xml:space="preserve">; in vergelijking met Denemarken lijkt de taakverdeling niet zozeer “misconduct nationaal / QRP institutioneel”, maar eerder </w:t>
      </w:r>
      <w:r w:rsidRPr="00F332B2">
        <w:rPr>
          <w:b/>
          <w:bCs/>
          <w:lang w:val="nl-NL"/>
        </w:rPr>
        <w:t>meerdere parallelle nationale en institutionele kanalen tegelijk</w:t>
      </w:r>
      <w:r w:rsidRPr="00F332B2">
        <w:rPr>
          <w:lang w:val="nl-NL"/>
        </w:rPr>
        <w:t>.</w:t>
      </w:r>
    </w:p>
    <w:p w14:paraId="7E783E8D" w14:textId="77777777" w:rsidR="00F332B2" w:rsidRPr="00F332B2" w:rsidRDefault="00F332B2" w:rsidP="00F332B2">
      <w:pPr>
        <w:rPr>
          <w:lang w:val="nl-NL"/>
        </w:rPr>
      </w:pPr>
      <w:r w:rsidRPr="00F332B2">
        <w:rPr>
          <w:lang w:val="nl-NL"/>
        </w:rPr>
        <w:t xml:space="preserve">De logische volgende stap zou nu zijn om voor Turkije hetzelfde te doen als bij Nederland en Denemarken, maar dan nóg explicieter in </w:t>
      </w:r>
      <w:r w:rsidRPr="00F332B2">
        <w:rPr>
          <w:b/>
          <w:bCs/>
          <w:lang w:val="nl-NL"/>
        </w:rPr>
        <w:t>sporen</w:t>
      </w:r>
      <w:r w:rsidRPr="00F332B2">
        <w:rPr>
          <w:lang w:val="nl-NL"/>
        </w:rPr>
        <w:t xml:space="preserve">: eerst </w:t>
      </w:r>
      <w:r w:rsidRPr="00F332B2">
        <w:rPr>
          <w:b/>
          <w:bCs/>
          <w:lang w:val="nl-NL"/>
        </w:rPr>
        <w:t>YÖK</w:t>
      </w:r>
      <w:r w:rsidRPr="00F332B2">
        <w:rPr>
          <w:lang w:val="nl-NL"/>
        </w:rPr>
        <w:t xml:space="preserve">, dan </w:t>
      </w:r>
      <w:r w:rsidRPr="00F332B2">
        <w:rPr>
          <w:b/>
          <w:bCs/>
          <w:lang w:val="nl-NL"/>
        </w:rPr>
        <w:t>ÜAK</w:t>
      </w:r>
      <w:r w:rsidRPr="00F332B2">
        <w:rPr>
          <w:lang w:val="nl-NL"/>
        </w:rPr>
        <w:t xml:space="preserve">, daarna </w:t>
      </w:r>
      <w:r w:rsidRPr="00F332B2">
        <w:rPr>
          <w:b/>
          <w:bCs/>
          <w:lang w:val="nl-NL"/>
        </w:rPr>
        <w:t>TÜBİTAK/TÜSEB</w:t>
      </w:r>
      <w:r w:rsidRPr="00F332B2">
        <w:rPr>
          <w:lang w:val="nl-NL"/>
        </w:rPr>
        <w:t>, en pas daarna de universiteiten en de klinisch/dierethische randregimes.</w:t>
      </w:r>
    </w:p>
    <w:p w14:paraId="722C29F3" w14:textId="77777777" w:rsidR="00407C7C" w:rsidRPr="00F332B2" w:rsidRDefault="00407C7C">
      <w:pPr>
        <w:rPr>
          <w:lang w:val="nl-NL"/>
        </w:rPr>
      </w:pPr>
    </w:p>
    <w:sectPr w:rsidR="00407C7C" w:rsidRPr="00F332B2"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67"/>
    <w:rsid w:val="001E528E"/>
    <w:rsid w:val="0023427A"/>
    <w:rsid w:val="002551AA"/>
    <w:rsid w:val="00273D29"/>
    <w:rsid w:val="002E5AD9"/>
    <w:rsid w:val="0036154D"/>
    <w:rsid w:val="00392002"/>
    <w:rsid w:val="00394BCE"/>
    <w:rsid w:val="00407C7C"/>
    <w:rsid w:val="004E2765"/>
    <w:rsid w:val="00512467"/>
    <w:rsid w:val="006846CA"/>
    <w:rsid w:val="00703CEF"/>
    <w:rsid w:val="007A24AA"/>
    <w:rsid w:val="008B444C"/>
    <w:rsid w:val="008B67AA"/>
    <w:rsid w:val="009A628C"/>
    <w:rsid w:val="009F306F"/>
    <w:rsid w:val="00A96AF6"/>
    <w:rsid w:val="00C51E99"/>
    <w:rsid w:val="00C85560"/>
    <w:rsid w:val="00DC0263"/>
    <w:rsid w:val="00F332B2"/>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34B5C"/>
  <w15:chartTrackingRefBased/>
  <w15:docId w15:val="{BA831D7C-182B-41D5-8CEE-62F6BBFFA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467"/>
    <w:rPr>
      <w:rFonts w:eastAsiaTheme="majorEastAsia" w:cstheme="majorBidi"/>
      <w:color w:val="272727" w:themeColor="text1" w:themeTint="D8"/>
    </w:rPr>
  </w:style>
  <w:style w:type="paragraph" w:styleId="Title">
    <w:name w:val="Title"/>
    <w:basedOn w:val="Normal"/>
    <w:next w:val="Normal"/>
    <w:link w:val="TitleChar"/>
    <w:uiPriority w:val="10"/>
    <w:qFormat/>
    <w:rsid w:val="00512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467"/>
    <w:pPr>
      <w:spacing w:before="160"/>
      <w:jc w:val="center"/>
    </w:pPr>
    <w:rPr>
      <w:i/>
      <w:iCs/>
      <w:color w:val="404040" w:themeColor="text1" w:themeTint="BF"/>
    </w:rPr>
  </w:style>
  <w:style w:type="character" w:customStyle="1" w:styleId="QuoteChar">
    <w:name w:val="Quote Char"/>
    <w:basedOn w:val="DefaultParagraphFont"/>
    <w:link w:val="Quote"/>
    <w:uiPriority w:val="29"/>
    <w:rsid w:val="00512467"/>
    <w:rPr>
      <w:i/>
      <w:iCs/>
      <w:color w:val="404040" w:themeColor="text1" w:themeTint="BF"/>
    </w:rPr>
  </w:style>
  <w:style w:type="paragraph" w:styleId="ListParagraph">
    <w:name w:val="List Paragraph"/>
    <w:basedOn w:val="Normal"/>
    <w:uiPriority w:val="34"/>
    <w:qFormat/>
    <w:rsid w:val="00512467"/>
    <w:pPr>
      <w:ind w:left="720"/>
      <w:contextualSpacing/>
    </w:pPr>
  </w:style>
  <w:style w:type="character" w:styleId="IntenseEmphasis">
    <w:name w:val="Intense Emphasis"/>
    <w:basedOn w:val="DefaultParagraphFont"/>
    <w:uiPriority w:val="21"/>
    <w:qFormat/>
    <w:rsid w:val="00512467"/>
    <w:rPr>
      <w:i/>
      <w:iCs/>
      <w:color w:val="0F4761" w:themeColor="accent1" w:themeShade="BF"/>
    </w:rPr>
  </w:style>
  <w:style w:type="paragraph" w:styleId="IntenseQuote">
    <w:name w:val="Intense Quote"/>
    <w:basedOn w:val="Normal"/>
    <w:next w:val="Normal"/>
    <w:link w:val="IntenseQuoteChar"/>
    <w:uiPriority w:val="30"/>
    <w:qFormat/>
    <w:rsid w:val="00512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467"/>
    <w:rPr>
      <w:i/>
      <w:iCs/>
      <w:color w:val="0F4761" w:themeColor="accent1" w:themeShade="BF"/>
    </w:rPr>
  </w:style>
  <w:style w:type="character" w:styleId="IntenseReference">
    <w:name w:val="Intense Reference"/>
    <w:basedOn w:val="DefaultParagraphFont"/>
    <w:uiPriority w:val="32"/>
    <w:qFormat/>
    <w:rsid w:val="00512467"/>
    <w:rPr>
      <w:b/>
      <w:bCs/>
      <w:smallCaps/>
      <w:color w:val="0F4761" w:themeColor="accent1" w:themeShade="BF"/>
      <w:spacing w:val="5"/>
    </w:rPr>
  </w:style>
  <w:style w:type="character" w:styleId="Hyperlink">
    <w:name w:val="Hyperlink"/>
    <w:basedOn w:val="DefaultParagraphFont"/>
    <w:uiPriority w:val="99"/>
    <w:unhideWhenUsed/>
    <w:rsid w:val="00F332B2"/>
    <w:rPr>
      <w:color w:val="467886" w:themeColor="hyperlink"/>
      <w:u w:val="single"/>
    </w:rPr>
  </w:style>
  <w:style w:type="character" w:styleId="UnresolvedMention">
    <w:name w:val="Unresolved Mention"/>
    <w:basedOn w:val="DefaultParagraphFont"/>
    <w:uiPriority w:val="99"/>
    <w:semiHidden/>
    <w:unhideWhenUsed/>
    <w:rsid w:val="00F33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802994">
      <w:bodyDiv w:val="1"/>
      <w:marLeft w:val="0"/>
      <w:marRight w:val="0"/>
      <w:marTop w:val="0"/>
      <w:marBottom w:val="0"/>
      <w:divBdr>
        <w:top w:val="none" w:sz="0" w:space="0" w:color="auto"/>
        <w:left w:val="none" w:sz="0" w:space="0" w:color="auto"/>
        <w:bottom w:val="none" w:sz="0" w:space="0" w:color="auto"/>
        <w:right w:val="none" w:sz="0" w:space="0" w:color="auto"/>
      </w:divBdr>
    </w:div>
    <w:div w:id="119349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je.yok.gov.tr/tr/page/635?utm_source=chatgpt.com" TargetMode="External"/><Relationship Id="rId13" Type="http://schemas.openxmlformats.org/officeDocument/2006/relationships/hyperlink" Target="https://etikkurul.ankara.edu.tr/yonerge/" TargetMode="External"/><Relationship Id="rId18" Type="http://schemas.openxmlformats.org/officeDocument/2006/relationships/hyperlink" Target="https://www.titck.gov.tr/faaliyetalanlari/ilac/klinik-arastirmalar" TargetMode="External"/><Relationship Id="rId26" Type="http://schemas.openxmlformats.org/officeDocument/2006/relationships/hyperlink" Target="https://www.yok.gov.tr/tr/page/mevzuat-aYrMB" TargetMode="External"/><Relationship Id="rId3" Type="http://schemas.openxmlformats.org/officeDocument/2006/relationships/webSettings" Target="webSettings.xml"/><Relationship Id="rId21" Type="http://schemas.openxmlformats.org/officeDocument/2006/relationships/hyperlink" Target="https://hadmek.tarimorman.gov.tr/Sayfa/Detay/644" TargetMode="External"/><Relationship Id="rId7" Type="http://schemas.openxmlformats.org/officeDocument/2006/relationships/hyperlink" Target="https://www.mevzuat.gov.tr/MevzuatMetin/yonetmelik/8.5.31390.pdf?utm_source=chatgpt.com" TargetMode="External"/><Relationship Id="rId12" Type="http://schemas.openxmlformats.org/officeDocument/2006/relationships/hyperlink" Target="https://www.tuseb.gov.tr/kurumsal/mevzuat/yonetmelikler" TargetMode="External"/><Relationship Id="rId17" Type="http://schemas.openxmlformats.org/officeDocument/2006/relationships/hyperlink" Target="https://sbu.edu.tr/arastirma/etik-kurullar/gulhane-klinik-arastirmalar-etik-kurulu/" TargetMode="External"/><Relationship Id="rId25" Type="http://schemas.openxmlformats.org/officeDocument/2006/relationships/hyperlink" Target="https://www.tuba.gov.tr/tr/haberler/akademiden-haberler/arastirma-etigi-ve-durustluk-konseyi-toplantisi-berlinde-yapildi" TargetMode="External"/><Relationship Id="rId2" Type="http://schemas.openxmlformats.org/officeDocument/2006/relationships/settings" Target="settings.xml"/><Relationship Id="rId16" Type="http://schemas.openxmlformats.org/officeDocument/2006/relationships/hyperlink" Target="https://bogazici.edu.tr/tr/pages/sosyal-ve-beseri-bilimler-insan-arastirmalari/192" TargetMode="External"/><Relationship Id="rId20" Type="http://schemas.openxmlformats.org/officeDocument/2006/relationships/hyperlink" Target="https://www.titck.gov.tr/faaliyetalanlari/ilac/klinik-arastirmalar" TargetMode="External"/><Relationship Id="rId1" Type="http://schemas.openxmlformats.org/officeDocument/2006/relationships/styles" Target="styles.xml"/><Relationship Id="rId6" Type="http://schemas.openxmlformats.org/officeDocument/2006/relationships/hyperlink" Target="https://www.yok.gov.tr/en/page/history-h6NVn" TargetMode="External"/><Relationship Id="rId11" Type="http://schemas.openxmlformats.org/officeDocument/2006/relationships/hyperlink" Target="https://tubitak.gov.tr/tr/taxonomy/term/163" TargetMode="External"/><Relationship Id="rId24" Type="http://schemas.openxmlformats.org/officeDocument/2006/relationships/hyperlink" Target="https://www.tuba.gov.tr/tr/yayinlar/suresiz-yayinlar/raporlar/tuba-bilimsel-arastirmada-etik-ve-sorunlari-1" TargetMode="External"/><Relationship Id="rId5" Type="http://schemas.openxmlformats.org/officeDocument/2006/relationships/hyperlink" Target="https://www.yok.gov.tr/en/page/history-h6NVn" TargetMode="External"/><Relationship Id="rId15" Type="http://schemas.openxmlformats.org/officeDocument/2006/relationships/hyperlink" Target="https://www.ktu.edu.tr/en/ethicalcommittees" TargetMode="External"/><Relationship Id="rId23" Type="http://schemas.openxmlformats.org/officeDocument/2006/relationships/hyperlink" Target="https://dokumantasyon.yok.gov.tr/tr/page/195?utm_source=chatgpt.com" TargetMode="External"/><Relationship Id="rId28" Type="http://schemas.openxmlformats.org/officeDocument/2006/relationships/theme" Target="theme/theme1.xml"/><Relationship Id="rId10" Type="http://schemas.openxmlformats.org/officeDocument/2006/relationships/hyperlink" Target="https://www.uak.gov.tr/documents/documents/68833f08eae85.pdf?utm_source=chatgpt.com" TargetMode="External"/><Relationship Id="rId19" Type="http://schemas.openxmlformats.org/officeDocument/2006/relationships/hyperlink" Target="https://www.titck.gov.tr/faaliyetalanlari/ilac/klinik-arastirmalar" TargetMode="External"/><Relationship Id="rId4" Type="http://schemas.openxmlformats.org/officeDocument/2006/relationships/hyperlink" Target="https://istatistik.yok.gov.tr/" TargetMode="External"/><Relationship Id="rId9" Type="http://schemas.openxmlformats.org/officeDocument/2006/relationships/hyperlink" Target="https://www.uak.gov.tr/documents/documents/68838b0a08031.pdf?utm_source=chatgpt.com" TargetMode="External"/><Relationship Id="rId14" Type="http://schemas.openxmlformats.org/officeDocument/2006/relationships/hyperlink" Target="https://arastirma.ege.edu.tr/tr-20652/projelerde_etik_kurul_belgesi.html" TargetMode="External"/><Relationship Id="rId22" Type="http://schemas.openxmlformats.org/officeDocument/2006/relationships/hyperlink" Target="https://hadmek.tarimorman.gov.tr/Sayfa/Detay/645"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3934</Words>
  <Characters>21638</Characters>
  <Application>Microsoft Office Word</Application>
  <DocSecurity>0</DocSecurity>
  <Lines>180</Lines>
  <Paragraphs>51</Paragraphs>
  <ScaleCrop>false</ScaleCrop>
  <Company/>
  <LinksUpToDate>false</LinksUpToDate>
  <CharactersWithSpaces>25521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2026-04-17T13:23:00Z</dcterms:created>
  <dcterms:modified xsi:type="dcterms:W3CDTF">2026-04-17T13:23:00Z</dcterms:modified>
</cp:coreProperties>
</file>