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i w:val="0"/>
          <w:color w:val="1F4E79"/>
          <w:sz w:val="48"/>
        </w:rPr>
        <w:t>Transparency in Research-Integrity Case Publication in Europe</w:t>
      </w:r>
    </w:p>
    <w:p>
      <w:pPr>
        <w:spacing w:after="280"/>
        <w:jc w:val="center"/>
      </w:pPr>
      <w:r>
        <w:rPr>
          <w:rFonts w:ascii="Calibri" w:hAnsi="Calibri"/>
          <w:b w:val="0"/>
          <w:i w:val="0"/>
          <w:color w:val="4F81BD"/>
          <w:sz w:val="24"/>
        </w:rPr>
        <w:t>Open accessible case databases, archives and publication practices across the EU-27,</w:t>
        <w:br/>
        <w:t>the United Kingdom, Switzerland, Norway and Iceland</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978"/>
      </w:tblGrid>
      <w:tr>
        <w:tc>
          <w:tcPr>
            <w:tcW w:type="dxa" w:w="9360"/>
            <w:shd w:fill="EAF2F8"/>
            <w:tcMar>
              <w:top w:w="130" w:type="dxa"/>
              <w:start w:w="130" w:type="dxa"/>
              <w:bottom w:w="120" w:type="dxa"/>
              <w:end w:w="130" w:type="dxa"/>
            </w:tcMar>
          </w:tcPr>
          <w:p>
            <w:r>
              <w:rPr>
                <w:rFonts w:ascii="Calibri" w:hAnsi="Calibri"/>
                <w:b/>
                <w:i w:val="0"/>
                <w:color w:val="1F4E79"/>
                <w:sz w:val="22"/>
              </w:rPr>
              <w:t xml:space="preserve">Scope. </w:t>
            </w:r>
            <w:r>
              <w:rPr>
                <w:rFonts w:ascii="Calibri" w:hAnsi="Calibri"/>
                <w:b w:val="0"/>
                <w:i w:val="0"/>
                <w:color w:val="000000"/>
                <w:sz w:val="22"/>
              </w:rPr>
              <w:t>31 jurisdictions: all 27 EU member states plus the United Kingdom, Switzerland, Norway and Iceland.</w:t>
            </w:r>
          </w:p>
          <w:p>
            <w:r>
              <w:rPr>
                <w:rFonts w:ascii="Calibri" w:hAnsi="Calibri"/>
                <w:b/>
                <w:i w:val="0"/>
                <w:color w:val="1F4E79"/>
                <w:sz w:val="22"/>
              </w:rPr>
              <w:t xml:space="preserve">Question. </w:t>
            </w:r>
            <w:r>
              <w:rPr>
                <w:rFonts w:ascii="Calibri" w:hAnsi="Calibri"/>
                <w:b w:val="0"/>
                <w:i w:val="0"/>
                <w:color w:val="000000"/>
                <w:sz w:val="22"/>
              </w:rPr>
              <w:t>How do national or quasi-national research-integrity bodies publish case material, and in what format?</w:t>
            </w:r>
          </w:p>
          <w:p>
            <w:r>
              <w:rPr>
                <w:rFonts w:ascii="Calibri" w:hAnsi="Calibri"/>
                <w:b/>
                <w:i w:val="0"/>
                <w:color w:val="1F4E79"/>
                <w:sz w:val="22"/>
              </w:rPr>
              <w:t xml:space="preserve">Deliverables. </w:t>
            </w:r>
            <w:r>
              <w:rPr>
                <w:rFonts w:ascii="Calibri" w:hAnsi="Calibri"/>
                <w:b w:val="0"/>
                <w:i w:val="0"/>
                <w:color w:val="000000"/>
                <w:sz w:val="22"/>
              </w:rPr>
              <w:t>An analytical report plus a companion workbook containing the full country matrix and a separate register of public resources.</w:t>
            </w:r>
          </w:p>
        </w:tc>
      </w:tr>
    </w:tbl>
    <w:p/>
    <w:p>
      <w:pPr>
        <w:spacing w:after="80"/>
      </w:pPr>
      <w:r>
        <w:rPr>
          <w:rFonts w:ascii="Calibri" w:hAnsi="Calibri"/>
          <w:b/>
          <w:i w:val="0"/>
          <w:color w:val="1F4E79"/>
          <w:sz w:val="21"/>
        </w:rPr>
        <w:t xml:space="preserve">Prepared: </w:t>
      </w:r>
      <w:r>
        <w:rPr>
          <w:rFonts w:ascii="Calibri" w:hAnsi="Calibri"/>
          <w:b w:val="0"/>
          <w:i w:val="0"/>
          <w:color w:val="000000"/>
          <w:sz w:val="21"/>
        </w:rPr>
        <w:t>17 April 2026</w:t>
      </w:r>
    </w:p>
    <w:p>
      <w:r>
        <w:rPr>
          <w:rFonts w:ascii="Calibri" w:hAnsi="Calibri"/>
          <w:b w:val="0"/>
          <w:i w:val="0"/>
          <w:color w:val="000000"/>
          <w:sz w:val="21"/>
        </w:rPr>
        <w:t>This review measures open public visibility of research-integrity case handling, not the overall quality of national misconduct systems. Where no national archive was found, the report records the strongest openly accessible alternative located (annual reports, institutional resources or sector-level guidance).</w:t>
      </w:r>
    </w:p>
    <w:p>
      <w:pPr>
        <w:sectPr>
          <w:pgSz w:w="11906" w:h="16838"/>
          <w:pgMar w:top="907" w:right="964" w:bottom="907" w:left="964" w:header="720" w:footer="720" w:gutter="0"/>
          <w:cols w:space="720"/>
          <w:docGrid w:linePitch="360"/>
        </w:sectPr>
      </w:pPr>
    </w:p>
    <w:p>
      <w:pPr>
        <w:pStyle w:val="Heading1"/>
        <w:spacing w:after="80" w:before="0" w:line="259" w:lineRule="auto"/>
      </w:pPr>
      <w:r>
        <w:rPr>
          <w:rFonts w:ascii="Calibri" w:hAnsi="Calibri"/>
          <w:b w:val="0"/>
          <w:color w:val="000000"/>
          <w:sz w:val="21"/>
        </w:rPr>
        <w:t>Executive summary</w:t>
      </w:r>
    </w:p>
    <w:p>
      <w:r>
        <w:rPr>
          <w:rFonts w:ascii="Calibri" w:hAnsi="Calibri"/>
          <w:b/>
          <w:i w:val="0"/>
          <w:color w:val="1F4E79"/>
          <w:sz w:val="22"/>
        </w:rPr>
        <w:t xml:space="preserve">Open case-level transparency is still the exception in Europe. </w:t>
      </w:r>
      <w:r>
        <w:rPr>
          <w:rFonts w:ascii="Calibri" w:hAnsi="Calibri"/>
          <w:b w:val="0"/>
          <w:i w:val="0"/>
          <w:color w:val="000000"/>
          <w:sz w:val="21"/>
        </w:rPr>
        <w:t>Only seven of the 31 jurisdictions surveyed had a structured national or quasi-national archive of decisions, opinions or statements. Another nine jurisdictions published some case-related material, but mainly through annual reports, fragmented opinion PDFs, subnational bodies, funder outputs or decentralized institutional statements. In the remaining fifteen jurisdictions, no stable open national archive was located; six of those also lacked any open national public case-publication mechanism in the reviewed materials.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89"/>
        <w:gridCol w:w="4989"/>
      </w:tblGrid>
      <w:tr>
        <w:tc>
          <w:tcPr>
            <w:tcW w:type="dxa" w:w="4608"/>
            <w:shd w:fill="EAF2F8"/>
            <w:tcMar>
              <w:top w:w="100" w:type="dxa"/>
              <w:start w:w="110" w:type="dxa"/>
              <w:bottom w:w="100" w:type="dxa"/>
              <w:end w:w="110" w:type="dxa"/>
            </w:tcMar>
          </w:tcPr>
          <w:p>
            <w:pPr>
              <w:spacing w:after="0"/>
              <w:jc w:val="center"/>
            </w:pPr>
            <w:r>
              <w:rPr>
                <w:rFonts w:ascii="Calibri" w:hAnsi="Calibri"/>
                <w:b/>
                <w:i w:val="0"/>
                <w:color w:val="1F4E79"/>
                <w:sz w:val="44"/>
              </w:rPr>
              <w:t>31</w:t>
            </w:r>
          </w:p>
          <w:p>
            <w:pPr>
              <w:spacing w:after="0"/>
              <w:jc w:val="center"/>
            </w:pPr>
            <w:r>
              <w:rPr>
                <w:rFonts w:ascii="Calibri" w:hAnsi="Calibri"/>
                <w:b w:val="0"/>
                <w:i w:val="0"/>
                <w:color w:val="3F3F3F"/>
                <w:sz w:val="20"/>
              </w:rPr>
              <w:t>jurisdictions reviewed</w:t>
            </w:r>
          </w:p>
        </w:tc>
        <w:tc>
          <w:tcPr>
            <w:tcW w:type="dxa" w:w="4608"/>
            <w:shd w:fill="F3F5F7"/>
            <w:tcMar>
              <w:top w:w="100" w:type="dxa"/>
              <w:start w:w="110" w:type="dxa"/>
              <w:bottom w:w="100" w:type="dxa"/>
              <w:end w:w="110" w:type="dxa"/>
            </w:tcMar>
          </w:tcPr>
          <w:p>
            <w:pPr>
              <w:spacing w:after="0"/>
              <w:jc w:val="center"/>
            </w:pPr>
            <w:r>
              <w:rPr>
                <w:rFonts w:ascii="Calibri" w:hAnsi="Calibri"/>
                <w:b/>
                <w:i w:val="0"/>
                <w:color w:val="1F4E79"/>
                <w:sz w:val="44"/>
              </w:rPr>
              <w:t>7</w:t>
            </w:r>
          </w:p>
          <w:p>
            <w:pPr>
              <w:spacing w:after="0"/>
              <w:jc w:val="center"/>
            </w:pPr>
            <w:r>
              <w:rPr>
                <w:rFonts w:ascii="Calibri" w:hAnsi="Calibri"/>
                <w:b w:val="0"/>
                <w:i w:val="0"/>
                <w:color w:val="3F3F3F"/>
                <w:sz w:val="20"/>
              </w:rPr>
              <w:t>structured national case archives</w:t>
            </w:r>
          </w:p>
        </w:tc>
      </w:tr>
      <w:tr>
        <w:tc>
          <w:tcPr>
            <w:tcW w:type="dxa" w:w="4608"/>
            <w:shd w:fill="EAF2F8"/>
            <w:tcMar>
              <w:top w:w="100" w:type="dxa"/>
              <w:start w:w="110" w:type="dxa"/>
              <w:bottom w:w="100" w:type="dxa"/>
              <w:end w:w="110" w:type="dxa"/>
            </w:tcMar>
          </w:tcPr>
          <w:p>
            <w:pPr>
              <w:spacing w:after="0"/>
              <w:jc w:val="center"/>
            </w:pPr>
            <w:r>
              <w:rPr>
                <w:rFonts w:ascii="Calibri" w:hAnsi="Calibri"/>
                <w:b/>
                <w:i w:val="0"/>
                <w:color w:val="1F4E79"/>
                <w:sz w:val="44"/>
              </w:rPr>
              <w:t>9</w:t>
            </w:r>
          </w:p>
          <w:p>
            <w:pPr>
              <w:spacing w:after="0"/>
              <w:jc w:val="center"/>
            </w:pPr>
            <w:r>
              <w:rPr>
                <w:rFonts w:ascii="Calibri" w:hAnsi="Calibri"/>
                <w:b w:val="0"/>
                <w:i w:val="0"/>
                <w:color w:val="3F3F3F"/>
                <w:sz w:val="20"/>
              </w:rPr>
              <w:t>summary / fragmented public publication models</w:t>
            </w:r>
          </w:p>
        </w:tc>
        <w:tc>
          <w:tcPr>
            <w:tcW w:type="dxa" w:w="4608"/>
            <w:shd w:fill="F3F5F7"/>
            <w:tcMar>
              <w:top w:w="100" w:type="dxa"/>
              <w:start w:w="110" w:type="dxa"/>
              <w:bottom w:w="100" w:type="dxa"/>
              <w:end w:w="110" w:type="dxa"/>
            </w:tcMar>
          </w:tcPr>
          <w:p>
            <w:pPr>
              <w:spacing w:after="0"/>
              <w:jc w:val="center"/>
            </w:pPr>
            <w:r>
              <w:rPr>
                <w:rFonts w:ascii="Calibri" w:hAnsi="Calibri"/>
                <w:b/>
                <w:i w:val="0"/>
                <w:color w:val="1F4E79"/>
                <w:sz w:val="44"/>
              </w:rPr>
              <w:t>15</w:t>
            </w:r>
          </w:p>
          <w:p>
            <w:pPr>
              <w:spacing w:after="0"/>
              <w:jc w:val="center"/>
            </w:pPr>
            <w:r>
              <w:rPr>
                <w:rFonts w:ascii="Calibri" w:hAnsi="Calibri"/>
                <w:b w:val="0"/>
                <w:i w:val="0"/>
                <w:color w:val="3F3F3F"/>
                <w:sz w:val="20"/>
              </w:rPr>
              <w:t>jurisdictions without a stable open national archive</w:t>
            </w:r>
          </w:p>
        </w:tc>
      </w:tr>
    </w:tbl>
    <w:p/>
    <w:p>
      <w:pPr>
        <w:spacing w:after="80"/>
        <w:jc w:val="center"/>
      </w:pPr>
      <w:r>
        <w:drawing>
          <wp:inline xmlns:a="http://schemas.openxmlformats.org/drawingml/2006/main" xmlns:pic="http://schemas.openxmlformats.org/drawingml/2006/picture">
            <wp:extent cx="5806440" cy="3151893"/>
            <wp:docPr id="1" name="Picture 1"/>
            <wp:cNvGraphicFramePr>
              <a:graphicFrameLocks noChangeAspect="1"/>
            </wp:cNvGraphicFramePr>
            <a:graphic>
              <a:graphicData uri="http://schemas.openxmlformats.org/drawingml/2006/picture">
                <pic:pic>
                  <pic:nvPicPr>
                    <pic:cNvPr id="0" name="tier_counts.png"/>
                    <pic:cNvPicPr/>
                  </pic:nvPicPr>
                  <pic:blipFill>
                    <a:blip r:embed="rId10"/>
                    <a:stretch>
                      <a:fillRect/>
                    </a:stretch>
                  </pic:blipFill>
                  <pic:spPr>
                    <a:xfrm>
                      <a:off x="0" y="0"/>
                      <a:ext cx="5806440" cy="3151893"/>
                    </a:xfrm>
                    <a:prstGeom prst="rect"/>
                  </pic:spPr>
                </pic:pic>
              </a:graphicData>
            </a:graphic>
          </wp:inline>
        </w:drawing>
      </w:r>
    </w:p>
    <w:p>
      <w:r>
        <w:rPr>
          <w:rFonts w:ascii="Calibri" w:hAnsi="Calibri"/>
          <w:b/>
          <w:i w:val="0"/>
          <w:color w:val="1F4E79"/>
          <w:sz w:val="21"/>
        </w:rPr>
        <w:t xml:space="preserve">Structured archive countries: </w:t>
      </w:r>
      <w:r>
        <w:rPr>
          <w:rFonts w:ascii="Calibri" w:hAnsi="Calibri"/>
          <w:b w:val="0"/>
          <w:i w:val="0"/>
          <w:color w:val="000000"/>
          <w:sz w:val="21"/>
        </w:rPr>
        <w:t>Denmark, Finland, Lithuania, Netherlands, Norway, Romania, Sweden.</w:t>
      </w:r>
    </w:p>
    <w:p>
      <w:r>
        <w:rPr>
          <w:rFonts w:ascii="Calibri" w:hAnsi="Calibri"/>
          <w:b/>
          <w:i w:val="0"/>
          <w:color w:val="1F4E79"/>
          <w:sz w:val="21"/>
        </w:rPr>
        <w:t xml:space="preserve">Most common publication pattern outside the leading group: </w:t>
      </w:r>
      <w:r>
        <w:rPr>
          <w:rFonts w:ascii="Calibri" w:hAnsi="Calibri"/>
          <w:b w:val="0"/>
          <w:i w:val="0"/>
          <w:color w:val="000000"/>
          <w:sz w:val="21"/>
        </w:rPr>
        <w:t>summary-based visibility rather than full case publication — annual reports, anonymised summaries, or decentralized institutional statements that make trends visible without providing a stable case database.</w:t>
      </w:r>
    </w:p>
    <w:p>
      <w:pPr>
        <w:pStyle w:val="Heading1"/>
        <w:spacing w:after="80" w:before="0" w:line="259" w:lineRule="auto"/>
      </w:pPr>
      <w:r>
        <w:rPr>
          <w:rFonts w:ascii="Calibri" w:hAnsi="Calibri"/>
          <w:b w:val="0"/>
          <w:color w:val="000000"/>
          <w:sz w:val="21"/>
        </w:rPr>
        <w:t>Method and scoring approach</w:t>
      </w:r>
    </w:p>
    <w:p>
      <w:r>
        <w:rPr>
          <w:rFonts w:ascii="Calibri" w:hAnsi="Calibri"/>
          <w:b w:val="0"/>
          <w:i w:val="0"/>
          <w:color w:val="000000"/>
          <w:sz w:val="21"/>
        </w:rPr>
        <w:t>The review focused on open web-accessible publication by research-integrity committees, ombudspersons, misconduct boards, appeal boards or the closest functional equivalent in each jurisdiction. Official committee pages, annual reports, decision archives, relevant laws and sector reports were checked; ENRIO country reports and other secondary profiles were used to orient the search where official structures were unclear.</w:t>
      </w:r>
    </w:p>
    <w:p>
      <w:r>
        <w:rPr>
          <w:rFonts w:ascii="Calibri" w:hAnsi="Calibri"/>
          <w:b/>
          <w:i w:val="0"/>
          <w:color w:val="1F4E79"/>
          <w:sz w:val="21"/>
        </w:rPr>
        <w:t xml:space="preserve">What counted as an open accessible database or archive? </w:t>
      </w:r>
      <w:r>
        <w:rPr>
          <w:rFonts w:ascii="Calibri" w:hAnsi="Calibri"/>
          <w:b w:val="0"/>
          <w:i w:val="0"/>
          <w:color w:val="000000"/>
          <w:sz w:val="21"/>
        </w:rPr>
        <w:t>A resource counted when it was freely reachable on the open web and contained recurrent research-integrity case material: decisions, opinions, statements, annual-report case summaries, or case-specific news. Generic ethics codes without case publication, internal procedures, or non-public institutional files did not count.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26"/>
        <w:gridCol w:w="3326"/>
        <w:gridCol w:w="3326"/>
      </w:tblGrid>
      <w:tr>
        <w:trPr>
          <w:tblHeader w:val="true"/>
        </w:trPr>
        <w:tc>
          <w:tcPr>
            <w:tcW w:type="dxa" w:w="792"/>
            <w:shd w:fill="1F4E79"/>
            <w:tcMar>
              <w:top w:w="45" w:type="dxa"/>
              <w:start w:w="60" w:type="dxa"/>
              <w:bottom w:w="45" w:type="dxa"/>
              <w:end w:w="60" w:type="dxa"/>
            </w:tcMar>
            <w:vAlign w:val="center"/>
          </w:tcPr>
          <w:p>
            <w:pPr>
              <w:spacing w:after="0"/>
              <w:jc w:val="center"/>
            </w:pPr>
            <w:r>
              <w:rPr>
                <w:rFonts w:ascii="Calibri" w:hAnsi="Calibri"/>
                <w:b/>
                <w:color w:val="FFFFFF"/>
                <w:sz w:val="18"/>
              </w:rPr>
              <w:t>Score</w:t>
            </w:r>
          </w:p>
        </w:tc>
        <w:tc>
          <w:tcPr>
            <w:tcW w:type="dxa" w:w="3096"/>
            <w:shd w:fill="1F4E79"/>
            <w:tcMar>
              <w:top w:w="45" w:type="dxa"/>
              <w:start w:w="60" w:type="dxa"/>
              <w:bottom w:w="45" w:type="dxa"/>
              <w:end w:w="60" w:type="dxa"/>
            </w:tcMar>
            <w:vAlign w:val="center"/>
          </w:tcPr>
          <w:p>
            <w:pPr>
              <w:spacing w:after="0"/>
              <w:jc w:val="center"/>
            </w:pPr>
            <w:r>
              <w:rPr>
                <w:rFonts w:ascii="Calibri" w:hAnsi="Calibri"/>
                <w:b/>
                <w:color w:val="FFFFFF"/>
                <w:sz w:val="18"/>
              </w:rPr>
              <w:t>Label</w:t>
            </w:r>
          </w:p>
        </w:tc>
        <w:tc>
          <w:tcPr>
            <w:tcW w:type="dxa" w:w="5688"/>
            <w:shd w:fill="1F4E79"/>
            <w:tcMar>
              <w:top w:w="45" w:type="dxa"/>
              <w:start w:w="60" w:type="dxa"/>
              <w:bottom w:w="45" w:type="dxa"/>
              <w:end w:w="60" w:type="dxa"/>
            </w:tcMar>
            <w:vAlign w:val="center"/>
          </w:tcPr>
          <w:p>
            <w:pPr>
              <w:spacing w:after="0"/>
              <w:jc w:val="center"/>
            </w:pPr>
            <w:r>
              <w:rPr>
                <w:rFonts w:ascii="Calibri" w:hAnsi="Calibri"/>
                <w:b/>
                <w:color w:val="FFFFFF"/>
                <w:sz w:val="18"/>
              </w:rPr>
              <w:t>Interpretation</w:t>
            </w:r>
          </w:p>
        </w:tc>
      </w:tr>
      <w:tr>
        <w:tc>
          <w:tcPr>
            <w:tcW w:type="dxa" w:w="792"/>
            <w:tcMar>
              <w:top w:w="35" w:type="dxa"/>
              <w:start w:w="50" w:type="dxa"/>
              <w:bottom w:w="35" w:type="dxa"/>
              <w:end w:w="50" w:type="dxa"/>
            </w:tcMar>
            <w:vAlign w:val="top"/>
            <w:shd w:fill="D9EAD3"/>
          </w:tcPr>
          <w:p>
            <w:pPr>
              <w:spacing w:after="0" w:line="240" w:lineRule="auto"/>
              <w:jc w:val="center"/>
            </w:pPr>
            <w:r>
              <w:rPr>
                <w:rFonts w:ascii="Calibri" w:hAnsi="Calibri"/>
                <w:b/>
                <w:color w:val="274E13"/>
                <w:sz w:val="17"/>
              </w:rPr>
              <w:t>4</w:t>
            </w:r>
          </w:p>
        </w:tc>
        <w:tc>
          <w:tcPr>
            <w:tcW w:type="dxa" w:w="3096"/>
            <w:tcMar>
              <w:top w:w="35" w:type="dxa"/>
              <w:start w:w="50" w:type="dxa"/>
              <w:bottom w:w="35" w:type="dxa"/>
              <w:end w:w="50" w:type="dxa"/>
            </w:tcMar>
            <w:vAlign w:val="top"/>
            <w:shd w:fill="EEF6EA"/>
          </w:tcPr>
          <w:p>
            <w:pPr>
              <w:spacing w:after="0" w:line="240" w:lineRule="auto"/>
              <w:jc w:val="left"/>
            </w:pPr>
            <w:r>
              <w:rPr>
                <w:rFonts w:ascii="Calibri" w:hAnsi="Calibri"/>
                <w:color w:val="000000"/>
                <w:sz w:val="17"/>
              </w:rPr>
              <w:t>Structured national case archive</w:t>
            </w:r>
          </w:p>
        </w:tc>
        <w:tc>
          <w:tcPr>
            <w:tcW w:type="dxa" w:w="5688"/>
            <w:tcMar>
              <w:top w:w="35" w:type="dxa"/>
              <w:start w:w="50" w:type="dxa"/>
              <w:bottom w:w="35" w:type="dxa"/>
              <w:end w:w="50" w:type="dxa"/>
            </w:tcMar>
            <w:vAlign w:val="top"/>
            <w:shd w:fill="EEF6EA"/>
          </w:tcPr>
          <w:p>
            <w:pPr>
              <w:spacing w:after="0" w:line="240" w:lineRule="auto"/>
              <w:jc w:val="left"/>
            </w:pPr>
            <w:r>
              <w:rPr>
                <w:rFonts w:ascii="Calibri" w:hAnsi="Calibri"/>
                <w:color w:val="000000"/>
                <w:sz w:val="17"/>
              </w:rPr>
              <w:t>National or quasi-national archive of decisions, statements or opinions that is openly accessible and recurrent.</w:t>
            </w:r>
          </w:p>
        </w:tc>
      </w:tr>
      <w:tr>
        <w:tc>
          <w:tcPr>
            <w:tcW w:type="dxa" w:w="792"/>
            <w:tcMar>
              <w:top w:w="35" w:type="dxa"/>
              <w:start w:w="50" w:type="dxa"/>
              <w:bottom w:w="35" w:type="dxa"/>
              <w:end w:w="50" w:type="dxa"/>
            </w:tcMar>
            <w:vAlign w:val="top"/>
            <w:shd w:fill="E2F0D9"/>
          </w:tcPr>
          <w:p>
            <w:pPr>
              <w:spacing w:after="0" w:line="240" w:lineRule="auto"/>
              <w:jc w:val="center"/>
            </w:pPr>
            <w:r>
              <w:rPr>
                <w:rFonts w:ascii="Calibri" w:hAnsi="Calibri"/>
                <w:b/>
                <w:color w:val="38761D"/>
                <w:sz w:val="17"/>
              </w:rPr>
              <w:t>3</w:t>
            </w:r>
          </w:p>
        </w:tc>
        <w:tc>
          <w:tcPr>
            <w:tcW w:type="dxa" w:w="3096"/>
            <w:tcMar>
              <w:top w:w="35" w:type="dxa"/>
              <w:start w:w="50" w:type="dxa"/>
              <w:bottom w:w="35" w:type="dxa"/>
              <w:end w:w="50" w:type="dxa"/>
            </w:tcMar>
            <w:vAlign w:val="top"/>
            <w:shd w:fill="F1F8ED"/>
          </w:tcPr>
          <w:p>
            <w:pPr>
              <w:spacing w:after="0" w:line="240" w:lineRule="auto"/>
              <w:jc w:val="left"/>
            </w:pPr>
            <w:r>
              <w:rPr>
                <w:rFonts w:ascii="Calibri" w:hAnsi="Calibri"/>
                <w:color w:val="000000"/>
                <w:sz w:val="17"/>
              </w:rPr>
              <w:t>Fragmented or subnational public publication</w:t>
            </w:r>
          </w:p>
        </w:tc>
        <w:tc>
          <w:tcPr>
            <w:tcW w:type="dxa" w:w="5688"/>
            <w:tcMar>
              <w:top w:w="35" w:type="dxa"/>
              <w:start w:w="50" w:type="dxa"/>
              <w:bottom w:w="35" w:type="dxa"/>
              <w:end w:w="50" w:type="dxa"/>
            </w:tcMar>
            <w:vAlign w:val="top"/>
            <w:shd w:fill="F1F8ED"/>
          </w:tcPr>
          <w:p>
            <w:pPr>
              <w:spacing w:after="0" w:line="240" w:lineRule="auto"/>
              <w:jc w:val="left"/>
            </w:pPr>
            <w:r>
              <w:rPr>
                <w:rFonts w:ascii="Calibri" w:hAnsi="Calibri"/>
                <w:color w:val="000000"/>
                <w:sz w:val="17"/>
              </w:rPr>
              <w:t>Public case-related materials exist, but publication is fragmented, subnational, or institutional rather than a coherent national archive.</w:t>
            </w:r>
          </w:p>
        </w:tc>
      </w:tr>
      <w:tr>
        <w:tc>
          <w:tcPr>
            <w:tcW w:type="dxa" w:w="792"/>
            <w:tcMar>
              <w:top w:w="35" w:type="dxa"/>
              <w:start w:w="50" w:type="dxa"/>
              <w:bottom w:w="35" w:type="dxa"/>
              <w:end w:w="50" w:type="dxa"/>
            </w:tcMar>
            <w:vAlign w:val="top"/>
            <w:shd w:fill="FFF2CC"/>
          </w:tcPr>
          <w:p>
            <w:pPr>
              <w:spacing w:after="0" w:line="240" w:lineRule="auto"/>
              <w:jc w:val="center"/>
            </w:pPr>
            <w:r>
              <w:rPr>
                <w:rFonts w:ascii="Calibri" w:hAnsi="Calibri"/>
                <w:b/>
                <w:color w:val="7F6000"/>
                <w:sz w:val="17"/>
              </w:rPr>
              <w:t>2</w:t>
            </w:r>
          </w:p>
        </w:tc>
        <w:tc>
          <w:tcPr>
            <w:tcW w:type="dxa" w:w="3096"/>
            <w:tcMar>
              <w:top w:w="35" w:type="dxa"/>
              <w:start w:w="50" w:type="dxa"/>
              <w:bottom w:w="35" w:type="dxa"/>
              <w:end w:w="50" w:type="dxa"/>
            </w:tcMar>
            <w:vAlign w:val="top"/>
            <w:shd w:fill="FFF8DD"/>
          </w:tcPr>
          <w:p>
            <w:pPr>
              <w:spacing w:after="0" w:line="240" w:lineRule="auto"/>
              <w:jc w:val="left"/>
            </w:pPr>
            <w:r>
              <w:rPr>
                <w:rFonts w:ascii="Calibri" w:hAnsi="Calibri"/>
                <w:color w:val="000000"/>
                <w:sz w:val="17"/>
              </w:rPr>
              <w:t>Summary-based national publication</w:t>
            </w:r>
          </w:p>
        </w:tc>
        <w:tc>
          <w:tcPr>
            <w:tcW w:type="dxa" w:w="5688"/>
            <w:tcMar>
              <w:top w:w="35" w:type="dxa"/>
              <w:start w:w="50" w:type="dxa"/>
              <w:bottom w:w="35" w:type="dxa"/>
              <w:end w:w="50" w:type="dxa"/>
            </w:tcMar>
            <w:vAlign w:val="top"/>
            <w:shd w:fill="FFF8DD"/>
          </w:tcPr>
          <w:p>
            <w:pPr>
              <w:spacing w:after="0" w:line="240" w:lineRule="auto"/>
              <w:jc w:val="left"/>
            </w:pPr>
            <w:r>
              <w:rPr>
                <w:rFonts w:ascii="Calibri" w:hAnsi="Calibri"/>
                <w:color w:val="000000"/>
                <w:sz w:val="17"/>
              </w:rPr>
              <w:t>National body publishes annual reports, case summaries or selective public outputs, but no structured case archive.</w:t>
            </w:r>
          </w:p>
        </w:tc>
      </w:tr>
      <w:tr>
        <w:tc>
          <w:tcPr>
            <w:tcW w:type="dxa" w:w="792"/>
            <w:tcMar>
              <w:top w:w="35" w:type="dxa"/>
              <w:start w:w="50" w:type="dxa"/>
              <w:bottom w:w="35" w:type="dxa"/>
              <w:end w:w="50" w:type="dxa"/>
            </w:tcMar>
            <w:vAlign w:val="top"/>
            <w:shd w:fill="FCE4D6"/>
          </w:tcPr>
          <w:p>
            <w:pPr>
              <w:spacing w:after="0" w:line="240" w:lineRule="auto"/>
              <w:jc w:val="center"/>
            </w:pPr>
            <w:r>
              <w:rPr>
                <w:rFonts w:ascii="Calibri" w:hAnsi="Calibri"/>
                <w:b/>
                <w:color w:val="A64D00"/>
                <w:sz w:val="17"/>
              </w:rPr>
              <w:t>1</w:t>
            </w:r>
          </w:p>
        </w:tc>
        <w:tc>
          <w:tcPr>
            <w:tcW w:type="dxa" w:w="3096"/>
            <w:tcMar>
              <w:top w:w="35" w:type="dxa"/>
              <w:start w:w="50" w:type="dxa"/>
              <w:bottom w:w="35" w:type="dxa"/>
              <w:end w:w="50" w:type="dxa"/>
            </w:tcMar>
            <w:vAlign w:val="top"/>
            <w:shd w:fill="FDF1EA"/>
          </w:tcPr>
          <w:p>
            <w:pPr>
              <w:spacing w:after="0" w:line="240" w:lineRule="auto"/>
              <w:jc w:val="left"/>
            </w:pPr>
            <w:r>
              <w:rPr>
                <w:rFonts w:ascii="Calibri" w:hAnsi="Calibri"/>
                <w:color w:val="000000"/>
                <w:sz w:val="17"/>
              </w:rPr>
              <w:t>Body exists but no stable open archive located</w:t>
            </w:r>
          </w:p>
        </w:tc>
        <w:tc>
          <w:tcPr>
            <w:tcW w:type="dxa" w:w="5688"/>
            <w:tcMar>
              <w:top w:w="35" w:type="dxa"/>
              <w:start w:w="50" w:type="dxa"/>
              <w:bottom w:w="35" w:type="dxa"/>
              <w:end w:w="50" w:type="dxa"/>
            </w:tcMar>
            <w:vAlign w:val="top"/>
            <w:shd w:fill="FDF1EA"/>
          </w:tcPr>
          <w:p>
            <w:pPr>
              <w:spacing w:after="0" w:line="240" w:lineRule="auto"/>
              <w:jc w:val="left"/>
            </w:pPr>
            <w:r>
              <w:rPr>
                <w:rFonts w:ascii="Calibri" w:hAnsi="Calibri"/>
                <w:color w:val="000000"/>
                <w:sz w:val="17"/>
              </w:rPr>
              <w:t>Committee/body/framework exists, but open case publication could not be located in a stable or recurring archive.</w:t>
            </w:r>
          </w:p>
        </w:tc>
      </w:tr>
      <w:tr>
        <w:tc>
          <w:tcPr>
            <w:tcW w:type="dxa" w:w="792"/>
            <w:tcMar>
              <w:top w:w="35" w:type="dxa"/>
              <w:start w:w="50" w:type="dxa"/>
              <w:bottom w:w="35" w:type="dxa"/>
              <w:end w:w="50" w:type="dxa"/>
            </w:tcMar>
            <w:vAlign w:val="top"/>
            <w:shd w:fill="F4CCCC"/>
          </w:tcPr>
          <w:p>
            <w:pPr>
              <w:spacing w:after="0" w:line="240" w:lineRule="auto"/>
              <w:jc w:val="center"/>
            </w:pPr>
            <w:r>
              <w:rPr>
                <w:rFonts w:ascii="Calibri" w:hAnsi="Calibri"/>
                <w:b/>
                <w:color w:val="990000"/>
                <w:sz w:val="17"/>
              </w:rPr>
              <w:t>0</w:t>
            </w:r>
          </w:p>
        </w:tc>
        <w:tc>
          <w:tcPr>
            <w:tcW w:type="dxa" w:w="3096"/>
            <w:tcMar>
              <w:top w:w="35" w:type="dxa"/>
              <w:start w:w="50" w:type="dxa"/>
              <w:bottom w:w="35" w:type="dxa"/>
              <w:end w:w="50" w:type="dxa"/>
            </w:tcMar>
            <w:vAlign w:val="top"/>
            <w:shd w:fill="F9E6E6"/>
          </w:tcPr>
          <w:p>
            <w:pPr>
              <w:spacing w:after="0" w:line="240" w:lineRule="auto"/>
              <w:jc w:val="left"/>
            </w:pPr>
            <w:r>
              <w:rPr>
                <w:rFonts w:ascii="Calibri" w:hAnsi="Calibri"/>
                <w:color w:val="000000"/>
                <w:sz w:val="17"/>
              </w:rPr>
              <w:t>No open national case publication located</w:t>
            </w:r>
          </w:p>
        </w:tc>
        <w:tc>
          <w:tcPr>
            <w:tcW w:type="dxa" w:w="5688"/>
            <w:tcMar>
              <w:top w:w="35" w:type="dxa"/>
              <w:start w:w="50" w:type="dxa"/>
              <w:bottom w:w="35" w:type="dxa"/>
              <w:end w:w="50" w:type="dxa"/>
            </w:tcMar>
            <w:vAlign w:val="top"/>
            <w:shd w:fill="F9E6E6"/>
          </w:tcPr>
          <w:p>
            <w:pPr>
              <w:spacing w:after="0" w:line="240" w:lineRule="auto"/>
              <w:jc w:val="left"/>
            </w:pPr>
            <w:r>
              <w:rPr>
                <w:rFonts w:ascii="Calibri" w:hAnsi="Calibri"/>
                <w:color w:val="000000"/>
                <w:sz w:val="17"/>
              </w:rPr>
              <w:t>No national public case-publication mechanism was located in open materials.</w:t>
            </w:r>
          </w:p>
        </w:tc>
      </w:tr>
    </w:tbl>
    <w:p>
      <w:r>
        <w:rPr>
          <w:rFonts w:ascii="Calibri" w:hAnsi="Calibri"/>
          <w:b/>
          <w:i w:val="0"/>
          <w:color w:val="1F4E79"/>
          <w:sz w:val="21"/>
        </w:rPr>
        <w:t xml:space="preserve">Important caution. </w:t>
      </w:r>
      <w:r>
        <w:rPr>
          <w:rFonts w:ascii="Calibri" w:hAnsi="Calibri"/>
          <w:b w:val="0"/>
          <w:i w:val="0"/>
          <w:color w:val="000000"/>
          <w:sz w:val="21"/>
        </w:rPr>
        <w:t>'No open national case publication located' is a web-finding as of 17 April 2026. It is not proof that no internal or non-public case handling exists.</w:t>
      </w:r>
    </w:p>
    <w:p>
      <w:pPr>
        <w:pStyle w:val="Heading1"/>
        <w:spacing w:after="80" w:before="0" w:line="259" w:lineRule="auto"/>
      </w:pPr>
      <w:r>
        <w:rPr>
          <w:rFonts w:ascii="Calibri" w:hAnsi="Calibri"/>
          <w:b w:val="0"/>
          <w:color w:val="000000"/>
          <w:sz w:val="21"/>
        </w:rPr>
        <w:t>What the European landscape looks like</w:t>
      </w:r>
    </w:p>
    <w:p>
      <w:pPr>
        <w:pStyle w:val="Heading2"/>
        <w:spacing w:after="80" w:before="0" w:line="259" w:lineRule="auto"/>
      </w:pPr>
      <w:r>
        <w:rPr>
          <w:rFonts w:ascii="Calibri" w:hAnsi="Calibri"/>
          <w:b w:val="0"/>
          <w:color w:val="000000"/>
          <w:sz w:val="21"/>
        </w:rPr>
        <w:t>1. Jurisdictions with structured public case archives</w:t>
      </w:r>
    </w:p>
    <w:p>
      <w:r>
        <w:rPr>
          <w:rFonts w:ascii="Calibri" w:hAnsi="Calibri"/>
          <w:b w:val="0"/>
          <w:i w:val="0"/>
          <w:color w:val="000000"/>
          <w:sz w:val="21"/>
        </w:rPr>
        <w:t>These jurisdictions provide the clearest public entry points for case material. They differ in whether they publish full decisions, statements or summaries, but each offers a stable archive rather than one-off reporting.</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96"/>
        <w:gridCol w:w="1996"/>
        <w:gridCol w:w="1996"/>
        <w:gridCol w:w="1996"/>
        <w:gridCol w:w="1996"/>
      </w:tblGrid>
      <w:tr>
        <w:trPr>
          <w:tblHeader w:val="true"/>
        </w:trPr>
        <w:tc>
          <w:tcPr>
            <w:tcW w:type="dxa" w:w="1181"/>
            <w:shd w:fill="1F4E79"/>
            <w:tcMar>
              <w:top w:w="45" w:type="dxa"/>
              <w:start w:w="60" w:type="dxa"/>
              <w:bottom w:w="45" w:type="dxa"/>
              <w:end w:w="60" w:type="dxa"/>
            </w:tcMar>
            <w:vAlign w:val="center"/>
          </w:tcPr>
          <w:p>
            <w:pPr>
              <w:spacing w:after="0"/>
              <w:jc w:val="center"/>
            </w:pPr>
            <w:r>
              <w:rPr>
                <w:rFonts w:ascii="Calibri" w:hAnsi="Calibri"/>
                <w:b/>
                <w:color w:val="FFFFFF"/>
                <w:sz w:val="17"/>
              </w:rPr>
              <w:t>Country</w:t>
            </w:r>
          </w:p>
        </w:tc>
        <w:tc>
          <w:tcPr>
            <w:tcW w:type="dxa" w:w="2880"/>
            <w:shd w:fill="1F4E79"/>
            <w:tcMar>
              <w:top w:w="45" w:type="dxa"/>
              <w:start w:w="60" w:type="dxa"/>
              <w:bottom w:w="45" w:type="dxa"/>
              <w:end w:w="60" w:type="dxa"/>
            </w:tcMar>
            <w:vAlign w:val="center"/>
          </w:tcPr>
          <w:p>
            <w:pPr>
              <w:spacing w:after="0"/>
              <w:jc w:val="center"/>
            </w:pPr>
            <w:r>
              <w:rPr>
                <w:rFonts w:ascii="Calibri" w:hAnsi="Calibri"/>
                <w:b/>
                <w:color w:val="FFFFFF"/>
                <w:sz w:val="17"/>
              </w:rPr>
              <w:t>Main body</w:t>
            </w:r>
          </w:p>
        </w:tc>
        <w:tc>
          <w:tcPr>
            <w:tcW w:type="dxa" w:w="2232"/>
            <w:shd w:fill="1F4E79"/>
            <w:tcMar>
              <w:top w:w="45" w:type="dxa"/>
              <w:start w:w="60" w:type="dxa"/>
              <w:bottom w:w="45" w:type="dxa"/>
              <w:end w:w="60" w:type="dxa"/>
            </w:tcMar>
            <w:vAlign w:val="center"/>
          </w:tcPr>
          <w:p>
            <w:pPr>
              <w:spacing w:after="0"/>
              <w:jc w:val="center"/>
            </w:pPr>
            <w:r>
              <w:rPr>
                <w:rFonts w:ascii="Calibri" w:hAnsi="Calibri"/>
                <w:b/>
                <w:color w:val="FFFFFF"/>
                <w:sz w:val="17"/>
              </w:rPr>
              <w:t>Public resource</w:t>
            </w:r>
          </w:p>
        </w:tc>
        <w:tc>
          <w:tcPr>
            <w:tcW w:type="dxa" w:w="1512"/>
            <w:shd w:fill="1F4E79"/>
            <w:tcMar>
              <w:top w:w="45" w:type="dxa"/>
              <w:start w:w="60" w:type="dxa"/>
              <w:bottom w:w="45" w:type="dxa"/>
              <w:end w:w="60" w:type="dxa"/>
            </w:tcMar>
            <w:vAlign w:val="center"/>
          </w:tcPr>
          <w:p>
            <w:pPr>
              <w:spacing w:after="0"/>
              <w:jc w:val="center"/>
            </w:pPr>
            <w:r>
              <w:rPr>
                <w:rFonts w:ascii="Calibri" w:hAnsi="Calibri"/>
                <w:b/>
                <w:color w:val="FFFFFF"/>
                <w:sz w:val="17"/>
              </w:rPr>
              <w:t>Format</w:t>
            </w:r>
          </w:p>
        </w:tc>
        <w:tc>
          <w:tcPr>
            <w:tcW w:type="dxa" w:w="3211"/>
            <w:shd w:fill="1F4E79"/>
            <w:tcMar>
              <w:top w:w="45" w:type="dxa"/>
              <w:start w:w="60" w:type="dxa"/>
              <w:bottom w:w="45" w:type="dxa"/>
              <w:end w:w="60" w:type="dxa"/>
            </w:tcMar>
            <w:vAlign w:val="center"/>
          </w:tcPr>
          <w:p>
            <w:pPr>
              <w:spacing w:after="0"/>
              <w:jc w:val="center"/>
            </w:pPr>
            <w:r>
              <w:rPr>
                <w:rFonts w:ascii="Calibri" w:hAnsi="Calibri"/>
                <w:b/>
                <w:color w:val="FFFFFF"/>
                <w:sz w:val="17"/>
              </w:rPr>
              <w:t>Why it stands out</w:t>
            </w:r>
          </w:p>
        </w:tc>
      </w:tr>
      <w:tr>
        <w:tc>
          <w:tcPr>
            <w:tcW w:type="dxa" w:w="118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Denmark</w:t>
            </w:r>
          </w:p>
        </w:tc>
        <w:tc>
          <w:tcPr>
            <w:tcW w:type="dxa" w:w="288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Danish Board on Research Misconduct</w:t>
            </w:r>
          </w:p>
        </w:tc>
        <w:tc>
          <w:tcPr>
            <w:tcW w:type="dxa" w:w="2232"/>
            <w:tcMar>
              <w:top w:w="28" w:type="dxa"/>
              <w:start w:w="45" w:type="dxa"/>
              <w:bottom w:w="28" w:type="dxa"/>
              <w:end w:w="45" w:type="dxa"/>
            </w:tcMar>
            <w:vAlign w:val="top"/>
            <w:shd w:fill="F8FAFC"/>
          </w:tcPr>
          <w:p>
            <w:pPr>
              <w:spacing w:after="0" w:line="240" w:lineRule="auto"/>
              <w:jc w:val="left"/>
            </w:pPr>
            <w:hyperlink r:id="rId11">
              <w:r>
                <w:rPr>
                  <w:color w:val="0563C1"/>
                  <w:u w:val="single"/>
                  <w:sz w:val="16"/>
                  <w:szCs w:val="16"/>
                  <w:rFonts w:ascii="Calibri" w:hAnsi="Calibri"/>
                </w:rPr>
                <w:t>Decisions of the Danish Board on Research Misconduct</w:t>
              </w:r>
            </w:hyperlink>
          </w:p>
        </w:tc>
        <w:tc>
          <w:tcPr>
            <w:tcW w:type="dxa" w:w="151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HTML + linked files</w:t>
            </w:r>
          </w:p>
        </w:tc>
        <w:tc>
          <w:tcPr>
            <w:tcW w:type="dxa" w:w="321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Statutory board with public decisions archive.</w:t>
            </w:r>
          </w:p>
        </w:tc>
      </w:tr>
      <w:tr>
        <w:tc>
          <w:tcPr>
            <w:tcW w:type="dxa" w:w="1181"/>
            <w:tcMar>
              <w:top w:w="28" w:type="dxa"/>
              <w:start w:w="45" w:type="dxa"/>
              <w:bottom w:w="28" w:type="dxa"/>
              <w:end w:w="45" w:type="dxa"/>
            </w:tcMar>
            <w:vAlign w:val="top"/>
          </w:tcPr>
          <w:p>
            <w:pPr>
              <w:spacing w:after="0" w:line="240" w:lineRule="auto"/>
              <w:jc w:val="left"/>
            </w:pPr>
            <w:r>
              <w:rPr>
                <w:rFonts w:ascii="Calibri" w:hAnsi="Calibri"/>
                <w:color w:val="000000"/>
                <w:sz w:val="16"/>
              </w:rPr>
              <w:t>Finland</w:t>
            </w:r>
          </w:p>
        </w:tc>
        <w:tc>
          <w:tcPr>
            <w:tcW w:type="dxa" w:w="2880"/>
            <w:tcMar>
              <w:top w:w="28" w:type="dxa"/>
              <w:start w:w="45" w:type="dxa"/>
              <w:bottom w:w="28" w:type="dxa"/>
              <w:end w:w="45" w:type="dxa"/>
            </w:tcMar>
            <w:vAlign w:val="top"/>
          </w:tcPr>
          <w:p>
            <w:pPr>
              <w:spacing w:after="0" w:line="240" w:lineRule="auto"/>
              <w:jc w:val="left"/>
            </w:pPr>
            <w:r>
              <w:rPr>
                <w:rFonts w:ascii="Calibri" w:hAnsi="Calibri"/>
                <w:color w:val="000000"/>
                <w:sz w:val="16"/>
              </w:rPr>
              <w:t>TENK</w:t>
            </w:r>
          </w:p>
        </w:tc>
        <w:tc>
          <w:tcPr>
            <w:tcW w:type="dxa" w:w="2232"/>
            <w:tcMar>
              <w:top w:w="28" w:type="dxa"/>
              <w:start w:w="45" w:type="dxa"/>
              <w:bottom w:w="28" w:type="dxa"/>
              <w:end w:w="45" w:type="dxa"/>
            </w:tcMar>
            <w:vAlign w:val="top"/>
          </w:tcPr>
          <w:p>
            <w:pPr>
              <w:spacing w:after="0" w:line="240" w:lineRule="auto"/>
              <w:jc w:val="left"/>
            </w:pPr>
            <w:hyperlink r:id="rId12">
              <w:r>
                <w:rPr>
                  <w:color w:val="0563C1"/>
                  <w:u w:val="single"/>
                  <w:sz w:val="16"/>
                  <w:szCs w:val="16"/>
                  <w:rFonts w:ascii="Calibri" w:hAnsi="Calibri"/>
                </w:rPr>
                <w:t>TENK statement summaries</w:t>
              </w:r>
            </w:hyperlink>
          </w:p>
        </w:tc>
        <w:tc>
          <w:tcPr>
            <w:tcW w:type="dxa" w:w="1512"/>
            <w:tcMar>
              <w:top w:w="28" w:type="dxa"/>
              <w:start w:w="45" w:type="dxa"/>
              <w:bottom w:w="28" w:type="dxa"/>
              <w:end w:w="45" w:type="dxa"/>
            </w:tcMar>
            <w:vAlign w:val="top"/>
          </w:tcPr>
          <w:p>
            <w:pPr>
              <w:spacing w:after="0" w:line="240" w:lineRule="auto"/>
              <w:jc w:val="left"/>
            </w:pPr>
            <w:r>
              <w:rPr>
                <w:rFonts w:ascii="Calibri" w:hAnsi="Calibri"/>
                <w:color w:val="000000"/>
                <w:sz w:val="16"/>
              </w:rPr>
              <w:t>HTML summaries</w:t>
            </w:r>
          </w:p>
        </w:tc>
        <w:tc>
          <w:tcPr>
            <w:tcW w:type="dxa" w:w="3211"/>
            <w:tcMar>
              <w:top w:w="28" w:type="dxa"/>
              <w:start w:w="45" w:type="dxa"/>
              <w:bottom w:w="28" w:type="dxa"/>
              <w:end w:w="45" w:type="dxa"/>
            </w:tcMar>
            <w:vAlign w:val="top"/>
          </w:tcPr>
          <w:p>
            <w:pPr>
              <w:spacing w:after="0" w:line="240" w:lineRule="auto"/>
              <w:jc w:val="left"/>
            </w:pPr>
            <w:r>
              <w:rPr>
                <w:rFonts w:ascii="Calibri" w:hAnsi="Calibri"/>
                <w:color w:val="000000"/>
                <w:sz w:val="16"/>
              </w:rPr>
              <w:t>Stable archive of statement summaries.</w:t>
            </w:r>
          </w:p>
        </w:tc>
      </w:tr>
      <w:tr>
        <w:tc>
          <w:tcPr>
            <w:tcW w:type="dxa" w:w="118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Lithuania</w:t>
            </w:r>
          </w:p>
        </w:tc>
        <w:tc>
          <w:tcPr>
            <w:tcW w:type="dxa" w:w="288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Ombudsperson for Academic Ethics and Procedures</w:t>
            </w:r>
          </w:p>
        </w:tc>
        <w:tc>
          <w:tcPr>
            <w:tcW w:type="dxa" w:w="2232"/>
            <w:tcMar>
              <w:top w:w="28" w:type="dxa"/>
              <w:start w:w="45" w:type="dxa"/>
              <w:bottom w:w="28" w:type="dxa"/>
              <w:end w:w="45" w:type="dxa"/>
            </w:tcMar>
            <w:vAlign w:val="top"/>
            <w:shd w:fill="F8FAFC"/>
          </w:tcPr>
          <w:p>
            <w:pPr>
              <w:spacing w:after="0" w:line="240" w:lineRule="auto"/>
              <w:jc w:val="left"/>
            </w:pPr>
            <w:hyperlink r:id="rId13">
              <w:r>
                <w:rPr>
                  <w:color w:val="0563C1"/>
                  <w:u w:val="single"/>
                  <w:sz w:val="16"/>
                  <w:szCs w:val="16"/>
                  <w:rFonts w:ascii="Calibri" w:hAnsi="Calibri"/>
                </w:rPr>
                <w:t>Ombudsperson decisions archive</w:t>
              </w:r>
            </w:hyperlink>
          </w:p>
        </w:tc>
        <w:tc>
          <w:tcPr>
            <w:tcW w:type="dxa" w:w="151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HTML archive</w:t>
            </w:r>
          </w:p>
        </w:tc>
        <w:tc>
          <w:tcPr>
            <w:tcW w:type="dxa" w:w="321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Decisions archive plus privacy guidance.</w:t>
            </w:r>
          </w:p>
        </w:tc>
      </w:tr>
      <w:tr>
        <w:tc>
          <w:tcPr>
            <w:tcW w:type="dxa" w:w="1181"/>
            <w:tcMar>
              <w:top w:w="28" w:type="dxa"/>
              <w:start w:w="45" w:type="dxa"/>
              <w:bottom w:w="28" w:type="dxa"/>
              <w:end w:w="45" w:type="dxa"/>
            </w:tcMar>
            <w:vAlign w:val="top"/>
          </w:tcPr>
          <w:p>
            <w:pPr>
              <w:spacing w:after="0" w:line="240" w:lineRule="auto"/>
              <w:jc w:val="left"/>
            </w:pPr>
            <w:r>
              <w:rPr>
                <w:rFonts w:ascii="Calibri" w:hAnsi="Calibri"/>
                <w:color w:val="000000"/>
                <w:sz w:val="16"/>
              </w:rPr>
              <w:t>Netherlands</w:t>
            </w:r>
          </w:p>
        </w:tc>
        <w:tc>
          <w:tcPr>
            <w:tcW w:type="dxa" w:w="2880"/>
            <w:tcMar>
              <w:top w:w="28" w:type="dxa"/>
              <w:start w:w="45" w:type="dxa"/>
              <w:bottom w:w="28" w:type="dxa"/>
              <w:end w:w="45" w:type="dxa"/>
            </w:tcMar>
            <w:vAlign w:val="top"/>
          </w:tcPr>
          <w:p>
            <w:pPr>
              <w:spacing w:after="0" w:line="240" w:lineRule="auto"/>
              <w:jc w:val="left"/>
            </w:pPr>
            <w:r>
              <w:rPr>
                <w:rFonts w:ascii="Calibri" w:hAnsi="Calibri"/>
                <w:color w:val="000000"/>
                <w:sz w:val="16"/>
              </w:rPr>
              <w:t>LOWI</w:t>
            </w:r>
          </w:p>
        </w:tc>
        <w:tc>
          <w:tcPr>
            <w:tcW w:type="dxa" w:w="2232"/>
            <w:tcMar>
              <w:top w:w="28" w:type="dxa"/>
              <w:start w:w="45" w:type="dxa"/>
              <w:bottom w:w="28" w:type="dxa"/>
              <w:end w:w="45" w:type="dxa"/>
            </w:tcMar>
            <w:vAlign w:val="top"/>
          </w:tcPr>
          <w:p>
            <w:pPr>
              <w:spacing w:after="0" w:line="240" w:lineRule="auto"/>
              <w:jc w:val="left"/>
            </w:pPr>
            <w:hyperlink r:id="rId14">
              <w:r>
                <w:rPr>
                  <w:color w:val="0563C1"/>
                  <w:u w:val="single"/>
                  <w:sz w:val="16"/>
                  <w:szCs w:val="16"/>
                  <w:rFonts w:ascii="Calibri" w:hAnsi="Calibri"/>
                </w:rPr>
                <w:t>LOWI opinions archive</w:t>
              </w:r>
            </w:hyperlink>
          </w:p>
        </w:tc>
        <w:tc>
          <w:tcPr>
            <w:tcW w:type="dxa" w:w="1512"/>
            <w:tcMar>
              <w:top w:w="28" w:type="dxa"/>
              <w:start w:w="45" w:type="dxa"/>
              <w:bottom w:w="28" w:type="dxa"/>
              <w:end w:w="45" w:type="dxa"/>
            </w:tcMar>
            <w:vAlign w:val="top"/>
          </w:tcPr>
          <w:p>
            <w:pPr>
              <w:spacing w:after="0" w:line="240" w:lineRule="auto"/>
              <w:jc w:val="left"/>
            </w:pPr>
            <w:r>
              <w:rPr>
                <w:rFonts w:ascii="Calibri" w:hAnsi="Calibri"/>
                <w:color w:val="000000"/>
                <w:sz w:val="16"/>
              </w:rPr>
              <w:t>HTML archive</w:t>
            </w:r>
          </w:p>
        </w:tc>
        <w:tc>
          <w:tcPr>
            <w:tcW w:type="dxa" w:w="3211"/>
            <w:tcMar>
              <w:top w:w="28" w:type="dxa"/>
              <w:start w:w="45" w:type="dxa"/>
              <w:bottom w:w="28" w:type="dxa"/>
              <w:end w:w="45" w:type="dxa"/>
            </w:tcMar>
            <w:vAlign w:val="top"/>
          </w:tcPr>
          <w:p>
            <w:pPr>
              <w:spacing w:after="0" w:line="240" w:lineRule="auto"/>
              <w:jc w:val="left"/>
            </w:pPr>
            <w:r>
              <w:rPr>
                <w:rFonts w:ascii="Calibri" w:hAnsi="Calibri"/>
                <w:color w:val="000000"/>
                <w:sz w:val="16"/>
              </w:rPr>
              <w:t>Mature public archive of opinions.</w:t>
            </w:r>
          </w:p>
        </w:tc>
      </w:tr>
      <w:tr>
        <w:tc>
          <w:tcPr>
            <w:tcW w:type="dxa" w:w="118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Norway</w:t>
            </w:r>
          </w:p>
        </w:tc>
        <w:tc>
          <w:tcPr>
            <w:tcW w:type="dxa" w:w="288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Granskingsutvalget</w:t>
            </w:r>
          </w:p>
        </w:tc>
        <w:tc>
          <w:tcPr>
            <w:tcW w:type="dxa" w:w="2232"/>
            <w:tcMar>
              <w:top w:w="28" w:type="dxa"/>
              <w:start w:w="45" w:type="dxa"/>
              <w:bottom w:w="28" w:type="dxa"/>
              <w:end w:w="45" w:type="dxa"/>
            </w:tcMar>
            <w:vAlign w:val="top"/>
            <w:shd w:fill="F8FAFC"/>
          </w:tcPr>
          <w:p>
            <w:pPr>
              <w:spacing w:after="0" w:line="240" w:lineRule="auto"/>
              <w:jc w:val="left"/>
            </w:pPr>
            <w:hyperlink r:id="rId15">
              <w:r>
                <w:rPr>
                  <w:color w:val="0563C1"/>
                  <w:u w:val="single"/>
                  <w:sz w:val="16"/>
                  <w:szCs w:val="16"/>
                  <w:rFonts w:ascii="Calibri" w:hAnsi="Calibri"/>
                </w:rPr>
                <w:t>Granskingsutvalget statements archive</w:t>
              </w:r>
            </w:hyperlink>
          </w:p>
        </w:tc>
        <w:tc>
          <w:tcPr>
            <w:tcW w:type="dxa" w:w="151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HTML archive</w:t>
            </w:r>
          </w:p>
        </w:tc>
        <w:tc>
          <w:tcPr>
            <w:tcW w:type="dxa" w:w="321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Stable archive of commission statements.</w:t>
            </w:r>
          </w:p>
        </w:tc>
      </w:tr>
      <w:tr>
        <w:tc>
          <w:tcPr>
            <w:tcW w:type="dxa" w:w="1181"/>
            <w:tcMar>
              <w:top w:w="28" w:type="dxa"/>
              <w:start w:w="45" w:type="dxa"/>
              <w:bottom w:w="28" w:type="dxa"/>
              <w:end w:w="45" w:type="dxa"/>
            </w:tcMar>
            <w:vAlign w:val="top"/>
          </w:tcPr>
          <w:p>
            <w:pPr>
              <w:spacing w:after="0" w:line="240" w:lineRule="auto"/>
              <w:jc w:val="left"/>
            </w:pPr>
            <w:r>
              <w:rPr>
                <w:rFonts w:ascii="Calibri" w:hAnsi="Calibri"/>
                <w:color w:val="000000"/>
                <w:sz w:val="16"/>
              </w:rPr>
              <w:t>Romania</w:t>
            </w:r>
          </w:p>
        </w:tc>
        <w:tc>
          <w:tcPr>
            <w:tcW w:type="dxa" w:w="2880"/>
            <w:tcMar>
              <w:top w:w="28" w:type="dxa"/>
              <w:start w:w="45" w:type="dxa"/>
              <w:bottom w:w="28" w:type="dxa"/>
              <w:end w:w="45" w:type="dxa"/>
            </w:tcMar>
            <w:vAlign w:val="top"/>
          </w:tcPr>
          <w:p>
            <w:pPr>
              <w:spacing w:after="0" w:line="240" w:lineRule="auto"/>
              <w:jc w:val="left"/>
            </w:pPr>
            <w:r>
              <w:rPr>
                <w:rFonts w:ascii="Calibri" w:hAnsi="Calibri"/>
                <w:color w:val="000000"/>
                <w:sz w:val="16"/>
              </w:rPr>
              <w:t>CNECSDTI</w:t>
            </w:r>
          </w:p>
        </w:tc>
        <w:tc>
          <w:tcPr>
            <w:tcW w:type="dxa" w:w="2232"/>
            <w:tcMar>
              <w:top w:w="28" w:type="dxa"/>
              <w:start w:w="45" w:type="dxa"/>
              <w:bottom w:w="28" w:type="dxa"/>
              <w:end w:w="45" w:type="dxa"/>
            </w:tcMar>
            <w:vAlign w:val="top"/>
          </w:tcPr>
          <w:p>
            <w:pPr>
              <w:spacing w:after="0" w:line="240" w:lineRule="auto"/>
              <w:jc w:val="left"/>
            </w:pPr>
            <w:hyperlink r:id="rId16">
              <w:r>
                <w:rPr>
                  <w:color w:val="0563C1"/>
                  <w:u w:val="single"/>
                  <w:sz w:val="16"/>
                  <w:szCs w:val="16"/>
                  <w:rFonts w:ascii="Calibri" w:hAnsi="Calibri"/>
                </w:rPr>
                <w:t>CNECSDTI decisions archive</w:t>
              </w:r>
            </w:hyperlink>
          </w:p>
        </w:tc>
        <w:tc>
          <w:tcPr>
            <w:tcW w:type="dxa" w:w="1512"/>
            <w:tcMar>
              <w:top w:w="28" w:type="dxa"/>
              <w:start w:w="45" w:type="dxa"/>
              <w:bottom w:w="28" w:type="dxa"/>
              <w:end w:w="45" w:type="dxa"/>
            </w:tcMar>
            <w:vAlign w:val="top"/>
          </w:tcPr>
          <w:p>
            <w:pPr>
              <w:spacing w:after="0" w:line="240" w:lineRule="auto"/>
              <w:jc w:val="left"/>
            </w:pPr>
            <w:r>
              <w:rPr>
                <w:rFonts w:ascii="Calibri" w:hAnsi="Calibri"/>
                <w:color w:val="000000"/>
                <w:sz w:val="16"/>
              </w:rPr>
              <w:t>HTML + PDFs</w:t>
            </w:r>
          </w:p>
        </w:tc>
        <w:tc>
          <w:tcPr>
            <w:tcW w:type="dxa" w:w="3211"/>
            <w:tcMar>
              <w:top w:w="28" w:type="dxa"/>
              <w:start w:w="45" w:type="dxa"/>
              <w:bottom w:w="28" w:type="dxa"/>
              <w:end w:w="45" w:type="dxa"/>
            </w:tcMar>
            <w:vAlign w:val="top"/>
          </w:tcPr>
          <w:p>
            <w:pPr>
              <w:spacing w:after="0" w:line="240" w:lineRule="auto"/>
              <w:jc w:val="left"/>
            </w:pPr>
            <w:r>
              <w:rPr>
                <w:rFonts w:ascii="Calibri" w:hAnsi="Calibri"/>
                <w:color w:val="000000"/>
                <w:sz w:val="16"/>
              </w:rPr>
              <w:t>Formal decisions and historical archives are public.</w:t>
            </w:r>
          </w:p>
        </w:tc>
      </w:tr>
      <w:tr>
        <w:tc>
          <w:tcPr>
            <w:tcW w:type="dxa" w:w="118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Sweden</w:t>
            </w:r>
          </w:p>
        </w:tc>
        <w:tc>
          <w:tcPr>
            <w:tcW w:type="dxa" w:w="288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NPOF</w:t>
            </w:r>
          </w:p>
        </w:tc>
        <w:tc>
          <w:tcPr>
            <w:tcW w:type="dxa" w:w="2232"/>
            <w:tcMar>
              <w:top w:w="28" w:type="dxa"/>
              <w:start w:w="45" w:type="dxa"/>
              <w:bottom w:w="28" w:type="dxa"/>
              <w:end w:w="45" w:type="dxa"/>
            </w:tcMar>
            <w:vAlign w:val="top"/>
            <w:shd w:fill="F8FAFC"/>
          </w:tcPr>
          <w:p>
            <w:pPr>
              <w:spacing w:after="0" w:line="240" w:lineRule="auto"/>
              <w:jc w:val="left"/>
            </w:pPr>
            <w:hyperlink r:id="rId17">
              <w:r>
                <w:rPr>
                  <w:color w:val="0563C1"/>
                  <w:u w:val="single"/>
                  <w:sz w:val="16"/>
                  <w:szCs w:val="16"/>
                  <w:rFonts w:ascii="Calibri" w:hAnsi="Calibri"/>
                </w:rPr>
                <w:t>NPOF decisions archive</w:t>
              </w:r>
            </w:hyperlink>
          </w:p>
        </w:tc>
        <w:tc>
          <w:tcPr>
            <w:tcW w:type="dxa" w:w="151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HTML archive</w:t>
            </w:r>
          </w:p>
        </w:tc>
        <w:tc>
          <w:tcPr>
            <w:tcW w:type="dxa" w:w="3211"/>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Clear national decisions archive.</w:t>
            </w:r>
          </w:p>
        </w:tc>
      </w:tr>
    </w:tbl>
    <w:p>
      <w:pPr>
        <w:pStyle w:val="Heading2"/>
        <w:spacing w:after="80" w:before="0" w:line="259" w:lineRule="auto"/>
      </w:pPr>
      <w:r>
        <w:rPr>
          <w:rFonts w:ascii="Calibri" w:hAnsi="Calibri"/>
          <w:b w:val="0"/>
          <w:color w:val="000000"/>
          <w:sz w:val="21"/>
        </w:rPr>
        <w:t>2. Publication exists, but not as a searchable national archive</w:t>
      </w:r>
    </w:p>
    <w:p>
      <w:r>
        <w:rPr>
          <w:rFonts w:ascii="Calibri" w:hAnsi="Calibri"/>
          <w:b w:val="0"/>
          <w:i w:val="0"/>
          <w:color w:val="000000"/>
          <w:sz w:val="21"/>
        </w:rPr>
        <w:t>These systems publish some case-related material, but transparency is partial. The most common patterns are annual reports with anonymised summaries, subnational or institutional publication, and decentralized institutional statements.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4"/>
        <w:gridCol w:w="2494"/>
        <w:gridCol w:w="2494"/>
        <w:gridCol w:w="2494"/>
      </w:tblGrid>
      <w:tr>
        <w:trPr>
          <w:tblHeader w:val="true"/>
        </w:trPr>
        <w:tc>
          <w:tcPr>
            <w:tcW w:type="dxa" w:w="1440"/>
            <w:shd w:fill="1F4E79"/>
            <w:tcMar>
              <w:top w:w="45" w:type="dxa"/>
              <w:start w:w="60" w:type="dxa"/>
              <w:bottom w:w="45" w:type="dxa"/>
              <w:end w:w="60" w:type="dxa"/>
            </w:tcMar>
            <w:vAlign w:val="center"/>
          </w:tcPr>
          <w:p>
            <w:pPr>
              <w:spacing w:after="0"/>
              <w:jc w:val="center"/>
            </w:pPr>
            <w:r>
              <w:rPr>
                <w:rFonts w:ascii="Calibri" w:hAnsi="Calibri"/>
                <w:b/>
                <w:color w:val="FFFFFF"/>
                <w:sz w:val="17"/>
              </w:rPr>
              <w:t>Country</w:t>
            </w:r>
          </w:p>
        </w:tc>
        <w:tc>
          <w:tcPr>
            <w:tcW w:type="dxa" w:w="3528"/>
            <w:shd w:fill="1F4E79"/>
            <w:tcMar>
              <w:top w:w="45" w:type="dxa"/>
              <w:start w:w="60" w:type="dxa"/>
              <w:bottom w:w="45" w:type="dxa"/>
              <w:end w:w="60" w:type="dxa"/>
            </w:tcMar>
            <w:vAlign w:val="center"/>
          </w:tcPr>
          <w:p>
            <w:pPr>
              <w:spacing w:after="0"/>
              <w:jc w:val="center"/>
            </w:pPr>
            <w:r>
              <w:rPr>
                <w:rFonts w:ascii="Calibri" w:hAnsi="Calibri"/>
                <w:b/>
                <w:color w:val="FFFFFF"/>
                <w:sz w:val="17"/>
              </w:rPr>
              <w:t>Publication model</w:t>
            </w:r>
          </w:p>
        </w:tc>
        <w:tc>
          <w:tcPr>
            <w:tcW w:type="dxa" w:w="2232"/>
            <w:shd w:fill="1F4E79"/>
            <w:tcMar>
              <w:top w:w="45" w:type="dxa"/>
              <w:start w:w="60" w:type="dxa"/>
              <w:bottom w:w="45" w:type="dxa"/>
              <w:end w:w="60" w:type="dxa"/>
            </w:tcMar>
            <w:vAlign w:val="center"/>
          </w:tcPr>
          <w:p>
            <w:pPr>
              <w:spacing w:after="0"/>
              <w:jc w:val="center"/>
            </w:pPr>
            <w:r>
              <w:rPr>
                <w:rFonts w:ascii="Calibri" w:hAnsi="Calibri"/>
                <w:b/>
                <w:color w:val="FFFFFF"/>
                <w:sz w:val="17"/>
              </w:rPr>
              <w:t>Format</w:t>
            </w:r>
          </w:p>
        </w:tc>
        <w:tc>
          <w:tcPr>
            <w:tcW w:type="dxa" w:w="3240"/>
            <w:shd w:fill="1F4E79"/>
            <w:tcMar>
              <w:top w:w="45" w:type="dxa"/>
              <w:start w:w="60" w:type="dxa"/>
              <w:bottom w:w="45" w:type="dxa"/>
              <w:end w:w="60" w:type="dxa"/>
            </w:tcMar>
            <w:vAlign w:val="center"/>
          </w:tcPr>
          <w:p>
            <w:pPr>
              <w:spacing w:after="0"/>
              <w:jc w:val="center"/>
            </w:pPr>
            <w:r>
              <w:rPr>
                <w:rFonts w:ascii="Calibri" w:hAnsi="Calibri"/>
                <w:b/>
                <w:color w:val="FFFFFF"/>
                <w:sz w:val="17"/>
              </w:rPr>
              <w:t>Transparency implication</w:t>
            </w:r>
          </w:p>
        </w:tc>
      </w:tr>
      <w:tr>
        <w:tc>
          <w:tcPr>
            <w:tcW w:type="dxa" w:w="14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Austria</w:t>
            </w:r>
          </w:p>
        </w:tc>
        <w:tc>
          <w:tcPr>
            <w:tcW w:type="dxa" w:w="3528"/>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Annual reports with anonymised summaries</w:t>
            </w:r>
          </w:p>
        </w:tc>
        <w:tc>
          <w:tcPr>
            <w:tcW w:type="dxa" w:w="223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PDF reports</w:t>
            </w:r>
          </w:p>
        </w:tc>
        <w:tc>
          <w:tcPr>
            <w:tcW w:type="dxa" w:w="32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Annual-report visibility; no searchable case archive.</w:t>
            </w:r>
          </w:p>
        </w:tc>
      </w:tr>
      <w:tr>
        <w:tc>
          <w:tcPr>
            <w:tcW w:type="dxa" w:w="1440"/>
            <w:tcMar>
              <w:top w:w="28" w:type="dxa"/>
              <w:start w:w="45" w:type="dxa"/>
              <w:bottom w:w="28" w:type="dxa"/>
              <w:end w:w="45" w:type="dxa"/>
            </w:tcMar>
            <w:vAlign w:val="top"/>
          </w:tcPr>
          <w:p>
            <w:pPr>
              <w:spacing w:after="0" w:line="240" w:lineRule="auto"/>
              <w:jc w:val="left"/>
            </w:pPr>
            <w:r>
              <w:rPr>
                <w:rFonts w:ascii="Calibri" w:hAnsi="Calibri"/>
                <w:color w:val="000000"/>
                <w:sz w:val="16"/>
              </w:rPr>
              <w:t>Belgium</w:t>
            </w:r>
          </w:p>
        </w:tc>
        <w:tc>
          <w:tcPr>
            <w:tcW w:type="dxa" w:w="3528"/>
            <w:tcMar>
              <w:top w:w="28" w:type="dxa"/>
              <w:start w:w="45" w:type="dxa"/>
              <w:bottom w:w="28" w:type="dxa"/>
              <w:end w:w="45" w:type="dxa"/>
            </w:tcMar>
            <w:vAlign w:val="top"/>
          </w:tcPr>
          <w:p>
            <w:pPr>
              <w:spacing w:after="0" w:line="240" w:lineRule="auto"/>
              <w:jc w:val="left"/>
            </w:pPr>
            <w:r>
              <w:rPr>
                <w:rFonts w:ascii="Calibri" w:hAnsi="Calibri"/>
                <w:color w:val="000000"/>
                <w:sz w:val="16"/>
              </w:rPr>
              <w:t>VCWI yearbooks / advice; no national archive</w:t>
            </w:r>
          </w:p>
        </w:tc>
        <w:tc>
          <w:tcPr>
            <w:tcW w:type="dxa" w:w="2232"/>
            <w:tcMar>
              <w:top w:w="28" w:type="dxa"/>
              <w:start w:w="45" w:type="dxa"/>
              <w:bottom w:w="28" w:type="dxa"/>
              <w:end w:w="45" w:type="dxa"/>
            </w:tcMar>
            <w:vAlign w:val="top"/>
          </w:tcPr>
          <w:p>
            <w:pPr>
              <w:spacing w:after="0" w:line="240" w:lineRule="auto"/>
              <w:jc w:val="left"/>
            </w:pPr>
            <w:r>
              <w:rPr>
                <w:rFonts w:ascii="Calibri" w:hAnsi="Calibri"/>
                <w:color w:val="000000"/>
                <w:sz w:val="16"/>
              </w:rPr>
              <w:t>PDF yearbooks + web</w:t>
            </w:r>
          </w:p>
        </w:tc>
        <w:tc>
          <w:tcPr>
            <w:tcW w:type="dxa" w:w="3240"/>
            <w:tcMar>
              <w:top w:w="28" w:type="dxa"/>
              <w:start w:w="45" w:type="dxa"/>
              <w:bottom w:w="28" w:type="dxa"/>
              <w:end w:w="45" w:type="dxa"/>
            </w:tcMar>
            <w:vAlign w:val="top"/>
          </w:tcPr>
          <w:p>
            <w:pPr>
              <w:spacing w:after="0" w:line="240" w:lineRule="auto"/>
              <w:jc w:val="left"/>
            </w:pPr>
            <w:r>
              <w:rPr>
                <w:rFonts w:ascii="Calibri" w:hAnsi="Calibri"/>
                <w:color w:val="000000"/>
                <w:sz w:val="16"/>
              </w:rPr>
              <w:t>Flanders only; no single Belgian national archive located.</w:t>
            </w:r>
          </w:p>
        </w:tc>
      </w:tr>
      <w:tr>
        <w:tc>
          <w:tcPr>
            <w:tcW w:type="dxa" w:w="14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Croatia</w:t>
            </w:r>
          </w:p>
        </w:tc>
        <w:tc>
          <w:tcPr>
            <w:tcW w:type="dxa" w:w="3528"/>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Public opinions and reports; fragmented publication</w:t>
            </w:r>
          </w:p>
        </w:tc>
        <w:tc>
          <w:tcPr>
            <w:tcW w:type="dxa" w:w="223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Web + PDF</w:t>
            </w:r>
          </w:p>
        </w:tc>
        <w:tc>
          <w:tcPr>
            <w:tcW w:type="dxa" w:w="32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Public case materials exist, but publication is fragmented.</w:t>
            </w:r>
          </w:p>
        </w:tc>
      </w:tr>
      <w:tr>
        <w:tc>
          <w:tcPr>
            <w:tcW w:type="dxa" w:w="1440"/>
            <w:tcMar>
              <w:top w:w="28" w:type="dxa"/>
              <w:start w:w="45" w:type="dxa"/>
              <w:bottom w:w="28" w:type="dxa"/>
              <w:end w:w="45" w:type="dxa"/>
            </w:tcMar>
            <w:vAlign w:val="top"/>
          </w:tcPr>
          <w:p>
            <w:pPr>
              <w:spacing w:after="0" w:line="240" w:lineRule="auto"/>
              <w:jc w:val="left"/>
            </w:pPr>
            <w:r>
              <w:rPr>
                <w:rFonts w:ascii="Calibri" w:hAnsi="Calibri"/>
                <w:color w:val="000000"/>
                <w:sz w:val="16"/>
              </w:rPr>
              <w:t>Germany</w:t>
            </w:r>
          </w:p>
        </w:tc>
        <w:tc>
          <w:tcPr>
            <w:tcW w:type="dxa" w:w="3528"/>
            <w:tcMar>
              <w:top w:w="28" w:type="dxa"/>
              <w:start w:w="45" w:type="dxa"/>
              <w:bottom w:w="28" w:type="dxa"/>
              <w:end w:w="45" w:type="dxa"/>
            </w:tcMar>
            <w:vAlign w:val="top"/>
          </w:tcPr>
          <w:p>
            <w:pPr>
              <w:spacing w:after="0" w:line="240" w:lineRule="auto"/>
              <w:jc w:val="left"/>
            </w:pPr>
            <w:r>
              <w:rPr>
                <w:rFonts w:ascii="Calibri" w:hAnsi="Calibri"/>
                <w:color w:val="000000"/>
                <w:sz w:val="16"/>
              </w:rPr>
              <w:t>Annual reports / public info; no case database</w:t>
            </w:r>
          </w:p>
        </w:tc>
        <w:tc>
          <w:tcPr>
            <w:tcW w:type="dxa" w:w="2232"/>
            <w:tcMar>
              <w:top w:w="28" w:type="dxa"/>
              <w:start w:w="45" w:type="dxa"/>
              <w:bottom w:w="28" w:type="dxa"/>
              <w:end w:w="45" w:type="dxa"/>
            </w:tcMar>
            <w:vAlign w:val="top"/>
          </w:tcPr>
          <w:p>
            <w:pPr>
              <w:spacing w:after="0" w:line="240" w:lineRule="auto"/>
              <w:jc w:val="left"/>
            </w:pPr>
            <w:r>
              <w:rPr>
                <w:rFonts w:ascii="Calibri" w:hAnsi="Calibri"/>
                <w:color w:val="000000"/>
                <w:sz w:val="16"/>
              </w:rPr>
              <w:t>Web + reports</w:t>
            </w:r>
          </w:p>
        </w:tc>
        <w:tc>
          <w:tcPr>
            <w:tcW w:type="dxa" w:w="3240"/>
            <w:tcMar>
              <w:top w:w="28" w:type="dxa"/>
              <w:start w:w="45" w:type="dxa"/>
              <w:bottom w:w="28" w:type="dxa"/>
              <w:end w:w="45" w:type="dxa"/>
            </w:tcMar>
            <w:vAlign w:val="top"/>
          </w:tcPr>
          <w:p>
            <w:pPr>
              <w:spacing w:after="0" w:line="240" w:lineRule="auto"/>
              <w:jc w:val="left"/>
            </w:pPr>
            <w:r>
              <w:rPr>
                <w:rFonts w:ascii="Calibri" w:hAnsi="Calibri"/>
                <w:color w:val="000000"/>
                <w:sz w:val="16"/>
              </w:rPr>
              <w:t>Annual reports/public info, but no searchable case archive.</w:t>
            </w:r>
          </w:p>
        </w:tc>
      </w:tr>
      <w:tr>
        <w:tc>
          <w:tcPr>
            <w:tcW w:type="dxa" w:w="14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Italy</w:t>
            </w:r>
          </w:p>
        </w:tc>
        <w:tc>
          <w:tcPr>
            <w:tcW w:type="dxa" w:w="3528"/>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Institutional documents (CNR); no national archive</w:t>
            </w:r>
          </w:p>
        </w:tc>
        <w:tc>
          <w:tcPr>
            <w:tcW w:type="dxa" w:w="223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Document archive</w:t>
            </w:r>
          </w:p>
        </w:tc>
        <w:tc>
          <w:tcPr>
            <w:tcW w:type="dxa" w:w="32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Best public material found at CNR, not nationwide.</w:t>
            </w:r>
          </w:p>
        </w:tc>
      </w:tr>
      <w:tr>
        <w:tc>
          <w:tcPr>
            <w:tcW w:type="dxa" w:w="1440"/>
            <w:tcMar>
              <w:top w:w="28" w:type="dxa"/>
              <w:start w:w="45" w:type="dxa"/>
              <w:bottom w:w="28" w:type="dxa"/>
              <w:end w:w="45" w:type="dxa"/>
            </w:tcMar>
            <w:vAlign w:val="top"/>
          </w:tcPr>
          <w:p>
            <w:pPr>
              <w:spacing w:after="0" w:line="240" w:lineRule="auto"/>
              <w:jc w:val="left"/>
            </w:pPr>
            <w:r>
              <w:rPr>
                <w:rFonts w:ascii="Calibri" w:hAnsi="Calibri"/>
                <w:color w:val="000000"/>
                <w:sz w:val="16"/>
              </w:rPr>
              <w:t>Luxembourg</w:t>
            </w:r>
          </w:p>
        </w:tc>
        <w:tc>
          <w:tcPr>
            <w:tcW w:type="dxa" w:w="3528"/>
            <w:tcMar>
              <w:top w:w="28" w:type="dxa"/>
              <w:start w:w="45" w:type="dxa"/>
              <w:bottom w:w="28" w:type="dxa"/>
              <w:end w:w="45" w:type="dxa"/>
            </w:tcMar>
            <w:vAlign w:val="top"/>
          </w:tcPr>
          <w:p>
            <w:pPr>
              <w:spacing w:after="0" w:line="240" w:lineRule="auto"/>
              <w:jc w:val="left"/>
            </w:pPr>
            <w:r>
              <w:rPr>
                <w:rFonts w:ascii="Calibri" w:hAnsi="Calibri"/>
                <w:color w:val="000000"/>
                <w:sz w:val="16"/>
              </w:rPr>
              <w:t>Annual reports / public info; no case archive</w:t>
            </w:r>
          </w:p>
        </w:tc>
        <w:tc>
          <w:tcPr>
            <w:tcW w:type="dxa" w:w="2232"/>
            <w:tcMar>
              <w:top w:w="28" w:type="dxa"/>
              <w:start w:w="45" w:type="dxa"/>
              <w:bottom w:w="28" w:type="dxa"/>
              <w:end w:w="45" w:type="dxa"/>
            </w:tcMar>
            <w:vAlign w:val="top"/>
          </w:tcPr>
          <w:p>
            <w:pPr>
              <w:spacing w:after="0" w:line="240" w:lineRule="auto"/>
              <w:jc w:val="left"/>
            </w:pPr>
            <w:r>
              <w:rPr>
                <w:rFonts w:ascii="Calibri" w:hAnsi="Calibri"/>
                <w:color w:val="000000"/>
                <w:sz w:val="16"/>
              </w:rPr>
              <w:t>Web + reports</w:t>
            </w:r>
          </w:p>
        </w:tc>
        <w:tc>
          <w:tcPr>
            <w:tcW w:type="dxa" w:w="3240"/>
            <w:tcMar>
              <w:top w:w="28" w:type="dxa"/>
              <w:start w:w="45" w:type="dxa"/>
              <w:bottom w:w="28" w:type="dxa"/>
              <w:end w:w="45" w:type="dxa"/>
            </w:tcMar>
            <w:vAlign w:val="top"/>
          </w:tcPr>
          <w:p>
            <w:pPr>
              <w:spacing w:after="0" w:line="240" w:lineRule="auto"/>
              <w:jc w:val="left"/>
            </w:pPr>
            <w:r>
              <w:rPr>
                <w:rFonts w:ascii="Calibri" w:hAnsi="Calibri"/>
                <w:color w:val="000000"/>
                <w:sz w:val="16"/>
              </w:rPr>
              <w:t>Annual reporting visible; no searchable case repository.</w:t>
            </w:r>
          </w:p>
        </w:tc>
      </w:tr>
      <w:tr>
        <w:tc>
          <w:tcPr>
            <w:tcW w:type="dxa" w:w="14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Poland</w:t>
            </w:r>
          </w:p>
        </w:tc>
        <w:tc>
          <w:tcPr>
            <w:tcW w:type="dxa" w:w="3528"/>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Public opinions / activity; not structured archive</w:t>
            </w:r>
          </w:p>
        </w:tc>
        <w:tc>
          <w:tcPr>
            <w:tcW w:type="dxa" w:w="223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Web / statements</w:t>
            </w:r>
          </w:p>
        </w:tc>
        <w:tc>
          <w:tcPr>
            <w:tcW w:type="dxa" w:w="32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Public outputs exist, but not a coherent case archive.</w:t>
            </w:r>
          </w:p>
        </w:tc>
      </w:tr>
      <w:tr>
        <w:tc>
          <w:tcPr>
            <w:tcW w:type="dxa" w:w="1440"/>
            <w:tcMar>
              <w:top w:w="28" w:type="dxa"/>
              <w:start w:w="45" w:type="dxa"/>
              <w:bottom w:w="28" w:type="dxa"/>
              <w:end w:w="45" w:type="dxa"/>
            </w:tcMar>
            <w:vAlign w:val="top"/>
          </w:tcPr>
          <w:p>
            <w:pPr>
              <w:spacing w:after="0" w:line="240" w:lineRule="auto"/>
              <w:jc w:val="left"/>
            </w:pPr>
            <w:r>
              <w:rPr>
                <w:rFonts w:ascii="Calibri" w:hAnsi="Calibri"/>
                <w:color w:val="000000"/>
                <w:sz w:val="16"/>
              </w:rPr>
              <w:t>United Kingdom</w:t>
            </w:r>
          </w:p>
        </w:tc>
        <w:tc>
          <w:tcPr>
            <w:tcW w:type="dxa" w:w="3528"/>
            <w:tcMar>
              <w:top w:w="28" w:type="dxa"/>
              <w:start w:w="45" w:type="dxa"/>
              <w:bottom w:w="28" w:type="dxa"/>
              <w:end w:w="45" w:type="dxa"/>
            </w:tcMar>
            <w:vAlign w:val="top"/>
          </w:tcPr>
          <w:p>
            <w:pPr>
              <w:spacing w:after="0" w:line="240" w:lineRule="auto"/>
              <w:jc w:val="left"/>
            </w:pPr>
            <w:r>
              <w:rPr>
                <w:rFonts w:ascii="Calibri" w:hAnsi="Calibri"/>
                <w:color w:val="000000"/>
                <w:sz w:val="16"/>
              </w:rPr>
              <w:t>Institutional annual statements + synthetic case studies</w:t>
            </w:r>
          </w:p>
        </w:tc>
        <w:tc>
          <w:tcPr>
            <w:tcW w:type="dxa" w:w="2232"/>
            <w:tcMar>
              <w:top w:w="28" w:type="dxa"/>
              <w:start w:w="45" w:type="dxa"/>
              <w:bottom w:w="28" w:type="dxa"/>
              <w:end w:w="45" w:type="dxa"/>
            </w:tcMar>
            <w:vAlign w:val="top"/>
          </w:tcPr>
          <w:p>
            <w:pPr>
              <w:spacing w:after="0" w:line="240" w:lineRule="auto"/>
              <w:jc w:val="left"/>
            </w:pPr>
            <w:r>
              <w:rPr>
                <w:rFonts w:ascii="Calibri" w:hAnsi="Calibri"/>
                <w:color w:val="000000"/>
                <w:sz w:val="16"/>
              </w:rPr>
              <w:t>Web hubs + PDFs</w:t>
            </w:r>
          </w:p>
        </w:tc>
        <w:tc>
          <w:tcPr>
            <w:tcW w:type="dxa" w:w="3240"/>
            <w:tcMar>
              <w:top w:w="28" w:type="dxa"/>
              <w:start w:w="45" w:type="dxa"/>
              <w:bottom w:w="28" w:type="dxa"/>
              <w:end w:w="45" w:type="dxa"/>
            </w:tcMar>
            <w:vAlign w:val="top"/>
          </w:tcPr>
          <w:p>
            <w:pPr>
              <w:spacing w:after="0" w:line="240" w:lineRule="auto"/>
              <w:jc w:val="left"/>
            </w:pPr>
            <w:r>
              <w:rPr>
                <w:rFonts w:ascii="Calibri" w:hAnsi="Calibri"/>
                <w:color w:val="000000"/>
                <w:sz w:val="16"/>
              </w:rPr>
              <w:t>Decentralized institutional publication under Concordat model.</w:t>
            </w:r>
          </w:p>
        </w:tc>
      </w:tr>
      <w:tr>
        <w:tc>
          <w:tcPr>
            <w:tcW w:type="dxa" w:w="14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Switzerland</w:t>
            </w:r>
          </w:p>
        </w:tc>
        <w:tc>
          <w:tcPr>
            <w:tcW w:type="dxa" w:w="3528"/>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Annual reports + occasional case news</w:t>
            </w:r>
          </w:p>
        </w:tc>
        <w:tc>
          <w:tcPr>
            <w:tcW w:type="dxa" w:w="2232"/>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PDF + web news</w:t>
            </w:r>
          </w:p>
        </w:tc>
        <w:tc>
          <w:tcPr>
            <w:tcW w:type="dxa" w:w="3240"/>
            <w:tcMar>
              <w:top w:w="28" w:type="dxa"/>
              <w:start w:w="45" w:type="dxa"/>
              <w:bottom w:w="28" w:type="dxa"/>
              <w:end w:w="45" w:type="dxa"/>
            </w:tcMar>
            <w:vAlign w:val="top"/>
            <w:shd w:fill="F8FAFC"/>
          </w:tcPr>
          <w:p>
            <w:pPr>
              <w:spacing w:after="0" w:line="240" w:lineRule="auto"/>
              <w:jc w:val="left"/>
            </w:pPr>
            <w:r>
              <w:rPr>
                <w:rFonts w:ascii="Calibri" w:hAnsi="Calibri"/>
                <w:color w:val="000000"/>
                <w:sz w:val="16"/>
              </w:rPr>
              <w:t>Selective annual reports/news; no stable case database.</w:t>
            </w:r>
          </w:p>
        </w:tc>
      </w:tr>
    </w:tbl>
    <w:p>
      <w:pPr>
        <w:pStyle w:val="Heading2"/>
        <w:spacing w:after="80" w:before="0" w:line="259" w:lineRule="auto"/>
      </w:pPr>
      <w:r>
        <w:rPr>
          <w:rFonts w:ascii="Calibri" w:hAnsi="Calibri"/>
          <w:b w:val="0"/>
          <w:color w:val="000000"/>
          <w:sz w:val="21"/>
        </w:rPr>
        <w:t>3. Where no stable open national archive was located</w:t>
      </w:r>
    </w:p>
    <w:p>
      <w:r>
        <w:rPr>
          <w:rFonts w:ascii="Calibri" w:hAnsi="Calibri"/>
          <w:b w:val="0"/>
          <w:i w:val="0"/>
          <w:color w:val="000000"/>
          <w:sz w:val="21"/>
        </w:rPr>
        <w:t>For many jurisdictions, the strongest public materials were policy documents, codes, committee descriptions or institutional procedures rather than published cases. This makes cross-country comparison difficult because external observers can often see the rules, but not the outcomes.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89"/>
        <w:gridCol w:w="4989"/>
      </w:tblGrid>
      <w:tr>
        <w:trPr>
          <w:tblHeader w:val="true"/>
        </w:trPr>
        <w:tc>
          <w:tcPr>
            <w:tcW w:type="dxa" w:w="4680"/>
            <w:shd w:fill="1F4E79"/>
            <w:tcMar>
              <w:top w:w="45" w:type="dxa"/>
              <w:start w:w="60" w:type="dxa"/>
              <w:bottom w:w="45" w:type="dxa"/>
              <w:end w:w="60" w:type="dxa"/>
            </w:tcMar>
            <w:vAlign w:val="center"/>
          </w:tcPr>
          <w:p>
            <w:pPr>
              <w:spacing w:after="0"/>
              <w:jc w:val="center"/>
            </w:pPr>
            <w:r>
              <w:rPr>
                <w:rFonts w:ascii="Calibri" w:hAnsi="Calibri"/>
                <w:b/>
                <w:color w:val="FFFFFF"/>
                <w:sz w:val="17"/>
              </w:rPr>
              <w:t>Body/framework present, but no stable archive located (9)</w:t>
            </w:r>
          </w:p>
        </w:tc>
        <w:tc>
          <w:tcPr>
            <w:tcW w:type="dxa" w:w="4680"/>
            <w:shd w:fill="1F4E79"/>
            <w:tcMar>
              <w:top w:w="45" w:type="dxa"/>
              <w:start w:w="60" w:type="dxa"/>
              <w:bottom w:w="45" w:type="dxa"/>
              <w:end w:w="60" w:type="dxa"/>
            </w:tcMar>
            <w:vAlign w:val="center"/>
          </w:tcPr>
          <w:p>
            <w:pPr>
              <w:spacing w:after="0"/>
              <w:jc w:val="center"/>
            </w:pPr>
            <w:r>
              <w:rPr>
                <w:rFonts w:ascii="Calibri" w:hAnsi="Calibri"/>
                <w:b/>
                <w:color w:val="FFFFFF"/>
                <w:sz w:val="17"/>
              </w:rPr>
              <w:t>No open national case publication located (6)</w:t>
            </w:r>
          </w:p>
        </w:tc>
      </w:tr>
      <w:tr>
        <w:tc>
          <w:tcPr>
            <w:tcW w:type="dxa" w:w="4680"/>
            <w:tcMar>
              <w:top w:w="36" w:type="dxa"/>
              <w:start w:w="50" w:type="dxa"/>
              <w:bottom w:w="36" w:type="dxa"/>
              <w:end w:w="50" w:type="dxa"/>
            </w:tcMar>
            <w:vAlign w:val="top"/>
            <w:shd w:fill="FDF1EA"/>
          </w:tcPr>
          <w:p>
            <w:pPr>
              <w:spacing w:after="0" w:line="240" w:lineRule="auto"/>
              <w:jc w:val="left"/>
            </w:pPr>
            <w:r>
              <w:rPr>
                <w:rFonts w:ascii="Calibri" w:hAnsi="Calibri"/>
                <w:color w:val="000000"/>
                <w:sz w:val="18"/>
              </w:rPr>
              <w:t>Bulgaria, Czech Republic, Estonia, France, Hungary, Ireland, Slovakia, Spain, Iceland</w:t>
            </w:r>
          </w:p>
        </w:tc>
        <w:tc>
          <w:tcPr>
            <w:tcW w:type="dxa" w:w="4680"/>
            <w:tcMar>
              <w:top w:w="36" w:type="dxa"/>
              <w:start w:w="50" w:type="dxa"/>
              <w:bottom w:w="36" w:type="dxa"/>
              <w:end w:w="50" w:type="dxa"/>
            </w:tcMar>
            <w:vAlign w:val="top"/>
            <w:shd w:fill="F9E6E6"/>
          </w:tcPr>
          <w:p>
            <w:pPr>
              <w:spacing w:after="0" w:line="240" w:lineRule="auto"/>
              <w:jc w:val="left"/>
            </w:pPr>
            <w:r>
              <w:rPr>
                <w:rFonts w:ascii="Calibri" w:hAnsi="Calibri"/>
                <w:color w:val="000000"/>
                <w:sz w:val="18"/>
              </w:rPr>
              <w:t>Cyprus, Greece, Latvia, Malta, Portugal, Slovenia</w:t>
            </w:r>
          </w:p>
        </w:tc>
      </w:tr>
    </w:tbl>
    <w:p>
      <w:pPr>
        <w:pStyle w:val="Heading2"/>
        <w:spacing w:after="80" w:before="0" w:line="259" w:lineRule="auto"/>
      </w:pPr>
      <w:r>
        <w:rPr>
          <w:rFonts w:ascii="Calibri" w:hAnsi="Calibri"/>
          <w:b w:val="0"/>
          <w:color w:val="000000"/>
          <w:sz w:val="21"/>
        </w:rPr>
        <w:t>Bottom line</w:t>
      </w:r>
    </w:p>
    <w:p>
      <w:r>
        <w:rPr>
          <w:rFonts w:ascii="Calibri" w:hAnsi="Calibri"/>
          <w:b w:val="0"/>
          <w:i w:val="0"/>
          <w:color w:val="000000"/>
          <w:sz w:val="21"/>
        </w:rPr>
        <w:t>Europe does contain exemplary public case archives, but they are still a minority pattern. The dominant reality is either summary-based transparency or no stable national public case publication at all. That means transparency about research-integrity enforcement remains uneven, difficult to compare and heavily dependent on national institutional design.</w:t>
      </w:r>
    </w:p>
    <w:p>
      <w:pPr>
        <w:pStyle w:val="Heading2"/>
        <w:spacing w:after="80" w:before="0" w:line="259" w:lineRule="auto"/>
      </w:pPr>
      <w:r>
        <w:rPr>
          <w:rFonts w:ascii="Calibri" w:hAnsi="Calibri"/>
          <w:b w:val="0"/>
          <w:color w:val="000000"/>
          <w:sz w:val="21"/>
        </w:rPr>
        <w:t>Patterns behind the results</w:t>
      </w:r>
    </w:p>
    <w:p>
      <w:r>
        <w:rPr>
          <w:rFonts w:ascii="Calibri" w:hAnsi="Calibri"/>
          <w:b w:val="0"/>
          <w:i w:val="0"/>
          <w:color w:val="000000"/>
          <w:sz w:val="20"/>
        </w:rPr>
        <w:t>• Statutory boards and ombudspersons are the systems most likely to publish stable case archives.</w:t>
      </w:r>
    </w:p>
    <w:p>
      <w:r>
        <w:rPr>
          <w:rFonts w:ascii="Calibri" w:hAnsi="Calibri"/>
          <w:b w:val="0"/>
          <w:i w:val="0"/>
          <w:color w:val="000000"/>
          <w:sz w:val="20"/>
        </w:rPr>
        <w:t>• Even in more transparent systems, anonymisation is the norm; public visibility rarely means full disclosure of every case file.</w:t>
      </w:r>
    </w:p>
    <w:p>
      <w:r>
        <w:rPr>
          <w:rFonts w:ascii="Calibri" w:hAnsi="Calibri"/>
          <w:b w:val="0"/>
          <w:i w:val="0"/>
          <w:color w:val="000000"/>
          <w:sz w:val="20"/>
        </w:rPr>
        <w:t>• Decentralized models reduce national comparability because publication happens at institution level rather than through one archive.</w:t>
      </w:r>
    </w:p>
    <w:p>
      <w:r>
        <w:rPr>
          <w:rFonts w:ascii="Calibri" w:hAnsi="Calibri"/>
          <w:b w:val="0"/>
          <w:i w:val="0"/>
          <w:color w:val="000000"/>
          <w:sz w:val="20"/>
        </w:rPr>
        <w:t>• Institutional codes are widespread across Europe, but openly accessible national case publication is not.</w:t>
      </w:r>
    </w:p>
    <w:p>
      <w:pPr>
        <w:sectPr>
          <w:footerReference w:type="default" r:id="rId9"/>
          <w:pgSz w:w="11906" w:h="16838"/>
          <w:pgMar w:top="907" w:right="964" w:bottom="907" w:left="964" w:header="720" w:footer="720" w:gutter="0"/>
          <w:cols w:space="720"/>
          <w:docGrid w:linePitch="360"/>
        </w:sectPr>
      </w:pPr>
    </w:p>
    <w:p>
      <w:pPr>
        <w:pStyle w:val="Heading1"/>
        <w:spacing w:after="80" w:before="0" w:line="259" w:lineRule="auto"/>
      </w:pPr>
      <w:r>
        <w:rPr>
          <w:rFonts w:ascii="Calibri" w:hAnsi="Calibri"/>
          <w:b w:val="0"/>
          <w:color w:val="000000"/>
          <w:sz w:val="21"/>
        </w:rPr>
        <w:t>Country-by-country transparency matrix</w:t>
      </w:r>
    </w:p>
    <w:p>
      <w:r>
        <w:rPr>
          <w:rFonts w:ascii="Calibri" w:hAnsi="Calibri"/>
          <w:b w:val="0"/>
          <w:i w:val="0"/>
          <w:color w:val="000000"/>
          <w:sz w:val="20"/>
        </w:rPr>
        <w:t>This matrix condenses the review variables requested by the user. The companion workbook provides the same matrix in spreadsheet form, with raw URLs and a separate public-resource register.</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58"/>
        <w:gridCol w:w="1758"/>
        <w:gridCol w:w="1758"/>
        <w:gridCol w:w="1758"/>
        <w:gridCol w:w="1758"/>
        <w:gridCol w:w="1758"/>
        <w:gridCol w:w="1758"/>
        <w:gridCol w:w="1758"/>
        <w:gridCol w:w="1758"/>
      </w:tblGrid>
      <w:tr>
        <w:trPr>
          <w:tblHeader w:val="true"/>
        </w:trPr>
        <w:tc>
          <w:tcPr>
            <w:tcW w:type="dxa" w:w="1037"/>
            <w:shd w:fill="1F4E79"/>
            <w:tcMar>
              <w:top w:w="45" w:type="dxa"/>
              <w:start w:w="60" w:type="dxa"/>
              <w:bottom w:w="45" w:type="dxa"/>
              <w:end w:w="60" w:type="dxa"/>
            </w:tcMar>
            <w:vAlign w:val="center"/>
          </w:tcPr>
          <w:p>
            <w:pPr>
              <w:spacing w:after="0"/>
              <w:jc w:val="center"/>
            </w:pPr>
            <w:r>
              <w:rPr>
                <w:rFonts w:ascii="Calibri" w:hAnsi="Calibri"/>
                <w:b/>
                <w:color w:val="FFFFFF"/>
                <w:sz w:val="16"/>
              </w:rPr>
              <w:t>Country</w:t>
            </w:r>
          </w:p>
        </w:tc>
        <w:tc>
          <w:tcPr>
            <w:tcW w:type="dxa" w:w="2376"/>
            <w:shd w:fill="1F4E79"/>
            <w:tcMar>
              <w:top w:w="45" w:type="dxa"/>
              <w:start w:w="60" w:type="dxa"/>
              <w:bottom w:w="45" w:type="dxa"/>
              <w:end w:w="60" w:type="dxa"/>
            </w:tcMar>
            <w:vAlign w:val="center"/>
          </w:tcPr>
          <w:p>
            <w:pPr>
              <w:spacing w:after="0"/>
              <w:jc w:val="center"/>
            </w:pPr>
            <w:r>
              <w:rPr>
                <w:rFonts w:ascii="Calibri" w:hAnsi="Calibri"/>
                <w:b/>
                <w:color w:val="FFFFFF"/>
                <w:sz w:val="16"/>
              </w:rPr>
              <w:t>Main body</w:t>
            </w:r>
          </w:p>
        </w:tc>
        <w:tc>
          <w:tcPr>
            <w:tcW w:type="dxa" w:w="1037"/>
            <w:shd w:fill="1F4E79"/>
            <w:tcMar>
              <w:top w:w="45" w:type="dxa"/>
              <w:start w:w="60" w:type="dxa"/>
              <w:bottom w:w="45" w:type="dxa"/>
              <w:end w:w="60" w:type="dxa"/>
            </w:tcMar>
            <w:vAlign w:val="center"/>
          </w:tcPr>
          <w:p>
            <w:pPr>
              <w:spacing w:after="0"/>
              <w:jc w:val="center"/>
            </w:pPr>
            <w:r>
              <w:rPr>
                <w:rFonts w:ascii="Calibri" w:hAnsi="Calibri"/>
                <w:b/>
                <w:color w:val="FFFFFF"/>
                <w:sz w:val="16"/>
              </w:rPr>
              <w:t>Coverage</w:t>
            </w:r>
          </w:p>
        </w:tc>
        <w:tc>
          <w:tcPr>
            <w:tcW w:type="dxa" w:w="749"/>
            <w:shd w:fill="1F4E79"/>
            <w:tcMar>
              <w:top w:w="45" w:type="dxa"/>
              <w:start w:w="60" w:type="dxa"/>
              <w:bottom w:w="45" w:type="dxa"/>
              <w:end w:w="60" w:type="dxa"/>
            </w:tcMar>
            <w:vAlign w:val="center"/>
          </w:tcPr>
          <w:p>
            <w:pPr>
              <w:spacing w:after="0"/>
              <w:jc w:val="center"/>
            </w:pPr>
            <w:r>
              <w:rPr>
                <w:rFonts w:ascii="Calibri" w:hAnsi="Calibri"/>
                <w:b/>
                <w:color w:val="FFFFFF"/>
                <w:sz w:val="16"/>
              </w:rPr>
              <w:t>Public</w:t>
            </w:r>
          </w:p>
        </w:tc>
        <w:tc>
          <w:tcPr>
            <w:tcW w:type="dxa" w:w="2088"/>
            <w:shd w:fill="1F4E79"/>
            <w:tcMar>
              <w:top w:w="45" w:type="dxa"/>
              <w:start w:w="60" w:type="dxa"/>
              <w:bottom w:w="45" w:type="dxa"/>
              <w:end w:w="60" w:type="dxa"/>
            </w:tcMar>
            <w:vAlign w:val="center"/>
          </w:tcPr>
          <w:p>
            <w:pPr>
              <w:spacing w:after="0"/>
              <w:jc w:val="center"/>
            </w:pPr>
            <w:r>
              <w:rPr>
                <w:rFonts w:ascii="Calibri" w:hAnsi="Calibri"/>
                <w:b/>
                <w:color w:val="FFFFFF"/>
                <w:sz w:val="16"/>
              </w:rPr>
              <w:t>Publication model</w:t>
            </w:r>
          </w:p>
        </w:tc>
        <w:tc>
          <w:tcPr>
            <w:tcW w:type="dxa" w:w="1224"/>
            <w:shd w:fill="1F4E79"/>
            <w:tcMar>
              <w:top w:w="45" w:type="dxa"/>
              <w:start w:w="60" w:type="dxa"/>
              <w:bottom w:w="45" w:type="dxa"/>
              <w:end w:w="60" w:type="dxa"/>
            </w:tcMar>
            <w:vAlign w:val="center"/>
          </w:tcPr>
          <w:p>
            <w:pPr>
              <w:spacing w:after="0"/>
              <w:jc w:val="center"/>
            </w:pPr>
            <w:r>
              <w:rPr>
                <w:rFonts w:ascii="Calibri" w:hAnsi="Calibri"/>
                <w:b/>
                <w:color w:val="FFFFFF"/>
                <w:sz w:val="16"/>
              </w:rPr>
              <w:t>Format</w:t>
            </w:r>
          </w:p>
        </w:tc>
        <w:tc>
          <w:tcPr>
            <w:tcW w:type="dxa" w:w="893"/>
            <w:shd w:fill="1F4E79"/>
            <w:tcMar>
              <w:top w:w="45" w:type="dxa"/>
              <w:start w:w="60" w:type="dxa"/>
              <w:bottom w:w="45" w:type="dxa"/>
              <w:end w:w="60" w:type="dxa"/>
            </w:tcMar>
            <w:vAlign w:val="center"/>
          </w:tcPr>
          <w:p>
            <w:pPr>
              <w:spacing w:after="0"/>
              <w:jc w:val="center"/>
            </w:pPr>
            <w:r>
              <w:rPr>
                <w:rFonts w:ascii="Calibri" w:hAnsi="Calibri"/>
                <w:b/>
                <w:color w:val="FFFFFF"/>
                <w:sz w:val="16"/>
              </w:rPr>
              <w:t>Archive</w:t>
            </w:r>
          </w:p>
        </w:tc>
        <w:tc>
          <w:tcPr>
            <w:tcW w:type="dxa" w:w="1512"/>
            <w:shd w:fill="1F4E79"/>
            <w:tcMar>
              <w:top w:w="45" w:type="dxa"/>
              <w:start w:w="60" w:type="dxa"/>
              <w:bottom w:w="45" w:type="dxa"/>
              <w:end w:w="60" w:type="dxa"/>
            </w:tcMar>
            <w:vAlign w:val="center"/>
          </w:tcPr>
          <w:p>
            <w:pPr>
              <w:spacing w:after="0"/>
              <w:jc w:val="center"/>
            </w:pPr>
            <w:r>
              <w:rPr>
                <w:rFonts w:ascii="Calibri" w:hAnsi="Calibri"/>
                <w:b/>
                <w:color w:val="FFFFFF"/>
                <w:sz w:val="16"/>
              </w:rPr>
              <w:t>Tier</w:t>
            </w:r>
          </w:p>
        </w:tc>
        <w:tc>
          <w:tcPr>
            <w:tcW w:type="dxa" w:w="2621"/>
            <w:shd w:fill="1F4E79"/>
            <w:tcMar>
              <w:top w:w="45" w:type="dxa"/>
              <w:start w:w="60" w:type="dxa"/>
              <w:bottom w:w="45" w:type="dxa"/>
              <w:end w:w="60" w:type="dxa"/>
            </w:tcMar>
            <w:vAlign w:val="center"/>
          </w:tcPr>
          <w:p>
            <w:pPr>
              <w:spacing w:after="0"/>
              <w:jc w:val="center"/>
            </w:pPr>
            <w:r>
              <w:rPr>
                <w:rFonts w:ascii="Calibri" w:hAnsi="Calibri"/>
                <w:b/>
                <w:color w:val="FFFFFF"/>
                <w:sz w:val="16"/>
              </w:rPr>
              <w:t>Key note</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Austria</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OeAWI / OeAWI Commission</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Annual reports with anonymised summaries</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PDF reports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FF2CC"/>
          </w:tcPr>
          <w:p>
            <w:pPr>
              <w:spacing w:after="0" w:line="240" w:lineRule="auto"/>
              <w:jc w:val="center"/>
            </w:pPr>
            <w:r>
              <w:rPr>
                <w:rFonts w:ascii="Calibri" w:hAnsi="Calibri"/>
                <w:b/>
                <w:color w:val="000000"/>
                <w:sz w:val="14"/>
              </w:rPr>
              <w:t>Summary-based</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Annual-report visibility; no searchable case archive.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Belgium</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VCWI (Flanders); no single national body</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Subnational / regional (Flanders)</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VCWI yearbooks / advice; no national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PDF yearbooks + web</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E2F0D9"/>
          </w:tcPr>
          <w:p>
            <w:pPr>
              <w:spacing w:after="0" w:line="240" w:lineRule="auto"/>
              <w:jc w:val="center"/>
            </w:pPr>
            <w:r>
              <w:rPr>
                <w:rFonts w:ascii="Calibri" w:hAnsi="Calibri"/>
                <w:b/>
                <w:color w:val="000000"/>
                <w:sz w:val="14"/>
              </w:rPr>
              <w:t>Fragmented / subnational</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Flanders only; no single Belgian national archive located.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Bulgaria</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Academic Ethics Committee + institutional committees</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 + institutional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Some public opinions reported; no stable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Fragmentary reports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Some public opinions reported; no stable official archive found.</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Croatia</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Committee on Ethics in Science and Higher Education</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Public opinions and reports; fragmented publication</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 PDF</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E2F0D9"/>
          </w:tcPr>
          <w:p>
            <w:pPr>
              <w:spacing w:after="0" w:line="240" w:lineRule="auto"/>
              <w:jc w:val="center"/>
            </w:pPr>
            <w:r>
              <w:rPr>
                <w:rFonts w:ascii="Calibri" w:hAnsi="Calibri"/>
                <w:b/>
                <w:color w:val="000000"/>
                <w:sz w:val="14"/>
              </w:rPr>
              <w:t>Fragmented / subnational</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Public case materials exist, but publication is fragmented.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Cyprus</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No national body located</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Institutional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Codes / guidance only</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Guidance PDFs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4CCCC"/>
          </w:tcPr>
          <w:p>
            <w:pPr>
              <w:spacing w:after="0" w:line="240" w:lineRule="auto"/>
              <w:jc w:val="center"/>
            </w:pPr>
            <w:r>
              <w:rPr>
                <w:rFonts w:ascii="Calibri" w:hAnsi="Calibri"/>
                <w:b/>
                <w:color w:val="000000"/>
                <w:sz w:val="14"/>
              </w:rPr>
              <w:t>No national publication</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Codes/guidance public; no national case-publication route found.</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Czech Republic</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CAS Scientific Integrity Committee (academy only)</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Institutional / academy-specific</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Committee exists; no public case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 profile</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CAS committee exists, but no national open case archive found.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Denmark</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Danish Board on Research Misconduct</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Structured board decisions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HTML + linked files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Statutory board with public decisions archive.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Estonia</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Estonian Research Council / transition arrangements</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 + institutional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Framework described; no public case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 profiles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Framework described; no open case archive found.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Finland</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TENK</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Structured statement-summary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HTML summaries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Stable archive of statement summaries.</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France</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OFIS + institutional RI officers</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 coordination + institutional investigations</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Observatory / guidance; no central case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 reports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Strong coordination structure; no central case archive found.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Germany</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Ombuds Committee for Research Integrity in Germany</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Annual reports / public info; no case database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Web + reports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FF2CC"/>
          </w:tcPr>
          <w:p>
            <w:pPr>
              <w:spacing w:after="0" w:line="240" w:lineRule="auto"/>
              <w:jc w:val="center"/>
            </w:pPr>
            <w:r>
              <w:rPr>
                <w:rFonts w:ascii="Calibri" w:hAnsi="Calibri"/>
                <w:b/>
                <w:color w:val="000000"/>
                <w:sz w:val="14"/>
              </w:rPr>
              <w:t>Summary-based</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Annual reports/public info, but no searchable case archive.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Greece</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No national structure located</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Institutional / fragmented</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No national case-publication mechanism located</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Profiles / institutional</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4CCCC"/>
          </w:tcPr>
          <w:p>
            <w:pPr>
              <w:spacing w:after="0" w:line="240" w:lineRule="auto"/>
              <w:jc w:val="center"/>
            </w:pPr>
            <w:r>
              <w:rPr>
                <w:rFonts w:ascii="Calibri" w:hAnsi="Calibri"/>
                <w:b/>
                <w:color w:val="000000"/>
                <w:sz w:val="14"/>
              </w:rPr>
              <w:t>No national publication</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No open national committee archive located.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Hungary</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HAS Science Ethics Committee</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Academy-led / national influence</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Procedures public; no open case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Codes / procedures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Procedures public; resolved cases not openly archived.</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Ireland</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National Research Integrity Forum + institutions</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 coordination + institutional investigations</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Policy coordination; no central case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Policy PDFs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Policy coordination public; no central case archive.</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Italy</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CNR Research Ethics and Integrity Committee / RI Unit</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Institution-specific (CNR) with broader national relevance</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Institutional documents (CNR); no national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Document archive</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E2F0D9"/>
          </w:tcPr>
          <w:p>
            <w:pPr>
              <w:spacing w:after="0" w:line="240" w:lineRule="auto"/>
              <w:jc w:val="center"/>
            </w:pPr>
            <w:r>
              <w:rPr>
                <w:rFonts w:ascii="Calibri" w:hAnsi="Calibri"/>
                <w:b/>
                <w:color w:val="000000"/>
                <w:sz w:val="14"/>
              </w:rPr>
              <w:t>Fragmented / subnational</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Best public material found at CNR, not nationwide.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Latvia</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No national body located</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Institutional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Institutional procedures only</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University regs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4CCCC"/>
          </w:tcPr>
          <w:p>
            <w:pPr>
              <w:spacing w:after="0" w:line="240" w:lineRule="auto"/>
              <w:jc w:val="center"/>
            </w:pPr>
            <w:r>
              <w:rPr>
                <w:rFonts w:ascii="Calibri" w:hAnsi="Calibri"/>
                <w:b/>
                <w:color w:val="000000"/>
                <w:sz w:val="14"/>
              </w:rPr>
              <w:t>No national publication</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Institutional rules only; no national public case mechanism located.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Lithuania</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Ombudsperson for Academic Ethics and Procedures</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Structured decisions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HTML archive</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Decisions archive plus privacy guidance.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Luxembourg</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LARI / CRI</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Annual reports / public info; no case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 reports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FF2CC"/>
          </w:tcPr>
          <w:p>
            <w:pPr>
              <w:spacing w:after="0" w:line="240" w:lineRule="auto"/>
              <w:jc w:val="center"/>
            </w:pPr>
            <w:r>
              <w:rPr>
                <w:rFonts w:ascii="Calibri" w:hAnsi="Calibri"/>
                <w:b/>
                <w:color w:val="000000"/>
                <w:sz w:val="14"/>
              </w:rPr>
              <w:t>Summary-based</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Annual reporting visible; no searchable case repository.</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Malta</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No national body clearly located</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Institutional / policy</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Guidelines / ethics procedures only</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Guidance PDFs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4CCCC"/>
          </w:tcPr>
          <w:p>
            <w:pPr>
              <w:spacing w:after="0" w:line="240" w:lineRule="auto"/>
              <w:jc w:val="center"/>
            </w:pPr>
            <w:r>
              <w:rPr>
                <w:rFonts w:ascii="Calibri" w:hAnsi="Calibri"/>
                <w:b/>
                <w:color w:val="000000"/>
                <w:sz w:val="14"/>
              </w:rPr>
              <w:t>No national publication</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Ethics guidance public; no case archive found.</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Netherlands</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LOWI</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 appeal / advisory body</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Structured opinions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HTML archive</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Mature public archive of opinions.</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Poland</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Committee on Ethics in Science (PAN)</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 committee / academy-led</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Public opinions / activity; not structured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Web / statements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FF2CC"/>
          </w:tcPr>
          <w:p>
            <w:pPr>
              <w:spacing w:after="0" w:line="240" w:lineRule="auto"/>
              <w:jc w:val="center"/>
            </w:pPr>
            <w:r>
              <w:rPr>
                <w:rFonts w:ascii="Calibri" w:hAnsi="Calibri"/>
                <w:b/>
                <w:color w:val="000000"/>
                <w:sz w:val="14"/>
              </w:rPr>
              <w:t>Summary-based</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Public outputs exist, but not a coherent case archive.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Portugal</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No national structure located</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Institutional / fragmented</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No national public case publication located</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Profile / institutional</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4CCCC"/>
          </w:tcPr>
          <w:p>
            <w:pPr>
              <w:spacing w:after="0" w:line="240" w:lineRule="auto"/>
              <w:jc w:val="center"/>
            </w:pPr>
            <w:r>
              <w:rPr>
                <w:rFonts w:ascii="Calibri" w:hAnsi="Calibri"/>
                <w:b/>
                <w:color w:val="000000"/>
                <w:sz w:val="14"/>
              </w:rPr>
              <w:t>No national publication</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No national open archive or recurring publication channel found.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Romania</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CNECSDTI</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Structured decisions and reports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HTML + PDFs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Formal decisions and historical archives are public.</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Slovakia</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No national commission located</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Institutional / academy-specific</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Codes / committee structures; no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Profile + code</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Committee structures public; no national archive found.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Slovenia</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No national structure located</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Institutional / fragmented</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No national public case publication located</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Profile</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4CCCC"/>
          </w:tcPr>
          <w:p>
            <w:pPr>
              <w:spacing w:after="0" w:line="240" w:lineRule="auto"/>
              <w:jc w:val="center"/>
            </w:pPr>
            <w:r>
              <w:rPr>
                <w:rFonts w:ascii="Calibri" w:hAnsi="Calibri"/>
                <w:b/>
                <w:color w:val="000000"/>
                <w:sz w:val="14"/>
              </w:rPr>
              <w:t>No national publication</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No national public archive located.</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Spain</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CSIC Ethics Committee + institutions</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Institutional / council-level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Advisory structure; no central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 profiles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Advisory structures public; national case publication limited.</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Sweden</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NPOF</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Structured decisions archive</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HTML archive</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Clear national decisions archive.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United Kingdom</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UKRIO / Concordat decentralized model</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UK-wide decentralized / institutional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Institutional annual statements + synthetic case studies</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Web hubs + PDFs</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FF2CC"/>
          </w:tcPr>
          <w:p>
            <w:pPr>
              <w:spacing w:after="0" w:line="240" w:lineRule="auto"/>
              <w:jc w:val="center"/>
            </w:pPr>
            <w:r>
              <w:rPr>
                <w:rFonts w:ascii="Calibri" w:hAnsi="Calibri"/>
                <w:b/>
                <w:color w:val="000000"/>
                <w:sz w:val="14"/>
              </w:rPr>
              <w:t>Summary-based</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Decentralized institutional publication under Concordat model.</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Switzerland</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SNSF Commission on Research Integrity</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National funder / national framework</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Annual reports + occasional case news</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PDF + web news</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FF2CC"/>
          </w:tcPr>
          <w:p>
            <w:pPr>
              <w:spacing w:after="0" w:line="240" w:lineRule="auto"/>
              <w:jc w:val="center"/>
            </w:pPr>
            <w:r>
              <w:rPr>
                <w:rFonts w:ascii="Calibri" w:hAnsi="Calibri"/>
                <w:b/>
                <w:color w:val="000000"/>
                <w:sz w:val="14"/>
              </w:rPr>
              <w:t>Summary-based</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Selective annual reports/news; no stable case database.</w:t>
            </w:r>
          </w:p>
        </w:tc>
      </w:tr>
      <w:tr>
        <w:tc>
          <w:tcPr>
            <w:tcW w:type="dxa" w:w="1037"/>
            <w:tcMar>
              <w:top w:w="18" w:type="dxa"/>
              <w:start w:w="32" w:type="dxa"/>
              <w:bottom w:w="18" w:type="dxa"/>
              <w:end w:w="32" w:type="dxa"/>
            </w:tcMar>
            <w:vAlign w:val="top"/>
          </w:tcPr>
          <w:p>
            <w:pPr>
              <w:spacing w:after="0" w:line="240" w:lineRule="auto"/>
              <w:jc w:val="left"/>
            </w:pPr>
            <w:r>
              <w:rPr>
                <w:rFonts w:ascii="Calibri" w:hAnsi="Calibri"/>
                <w:color w:val="000000"/>
                <w:sz w:val="14"/>
              </w:rPr>
              <w:t>Norway</w:t>
            </w:r>
          </w:p>
        </w:tc>
        <w:tc>
          <w:tcPr>
            <w:tcW w:type="dxa" w:w="2376"/>
            <w:tcMar>
              <w:top w:w="18" w:type="dxa"/>
              <w:start w:w="32" w:type="dxa"/>
              <w:bottom w:w="18" w:type="dxa"/>
              <w:end w:w="32" w:type="dxa"/>
            </w:tcMar>
            <w:vAlign w:val="top"/>
          </w:tcPr>
          <w:p>
            <w:pPr>
              <w:spacing w:after="0" w:line="240" w:lineRule="auto"/>
              <w:jc w:val="left"/>
            </w:pPr>
            <w:r>
              <w:rPr>
                <w:rFonts w:ascii="Calibri" w:hAnsi="Calibri"/>
                <w:color w:val="000000"/>
                <w:sz w:val="14"/>
              </w:rPr>
              <w:t>Granskingsutvalget</w:t>
            </w:r>
          </w:p>
        </w:tc>
        <w:tc>
          <w:tcPr>
            <w:tcW w:type="dxa" w:w="1037"/>
            <w:tcMar>
              <w:top w:w="18" w:type="dxa"/>
              <w:start w:w="32" w:type="dxa"/>
              <w:bottom w:w="18" w:type="dxa"/>
              <w:end w:w="32" w:type="dxa"/>
            </w:tcMar>
            <w:vAlign w:val="top"/>
          </w:tcPr>
          <w:p>
            <w:pPr>
              <w:spacing w:after="0" w:line="240" w:lineRule="auto"/>
              <w:jc w:val="center"/>
            </w:pPr>
            <w:r>
              <w:rPr>
                <w:rFonts w:ascii="Calibri" w:hAnsi="Calibri"/>
                <w:color w:val="000000"/>
                <w:sz w:val="14"/>
              </w:rPr>
              <w:t>National</w:t>
            </w:r>
          </w:p>
        </w:tc>
        <w:tc>
          <w:tcPr>
            <w:tcW w:type="dxa" w:w="749"/>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2088"/>
            <w:tcMar>
              <w:top w:w="18" w:type="dxa"/>
              <w:start w:w="32" w:type="dxa"/>
              <w:bottom w:w="18" w:type="dxa"/>
              <w:end w:w="32" w:type="dxa"/>
            </w:tcMar>
            <w:vAlign w:val="top"/>
          </w:tcPr>
          <w:p>
            <w:pPr>
              <w:spacing w:after="0" w:line="240" w:lineRule="auto"/>
              <w:jc w:val="left"/>
            </w:pPr>
            <w:r>
              <w:rPr>
                <w:rFonts w:ascii="Calibri" w:hAnsi="Calibri"/>
                <w:color w:val="000000"/>
                <w:sz w:val="14"/>
              </w:rPr>
              <w:t>Structured statements archive</w:t>
            </w:r>
          </w:p>
        </w:tc>
        <w:tc>
          <w:tcPr>
            <w:tcW w:type="dxa" w:w="1224"/>
            <w:tcMar>
              <w:top w:w="18" w:type="dxa"/>
              <w:start w:w="32" w:type="dxa"/>
              <w:bottom w:w="18" w:type="dxa"/>
              <w:end w:w="32" w:type="dxa"/>
            </w:tcMar>
            <w:vAlign w:val="top"/>
          </w:tcPr>
          <w:p>
            <w:pPr>
              <w:spacing w:after="0" w:line="240" w:lineRule="auto"/>
              <w:jc w:val="left"/>
            </w:pPr>
            <w:r>
              <w:rPr>
                <w:rFonts w:ascii="Calibri" w:hAnsi="Calibri"/>
                <w:color w:val="000000"/>
                <w:sz w:val="14"/>
              </w:rPr>
              <w:t>HTML archive</w:t>
            </w:r>
          </w:p>
        </w:tc>
        <w:tc>
          <w:tcPr>
            <w:tcW w:type="dxa" w:w="893"/>
            <w:tcMar>
              <w:top w:w="18" w:type="dxa"/>
              <w:start w:w="32" w:type="dxa"/>
              <w:bottom w:w="18" w:type="dxa"/>
              <w:end w:w="32" w:type="dxa"/>
            </w:tcMar>
            <w:vAlign w:val="top"/>
          </w:tcPr>
          <w:p>
            <w:pPr>
              <w:spacing w:after="0" w:line="240" w:lineRule="auto"/>
              <w:jc w:val="center"/>
            </w:pPr>
            <w:r>
              <w:rPr>
                <w:rFonts w:ascii="Calibri" w:hAnsi="Calibri"/>
                <w:color w:val="000000"/>
                <w:sz w:val="14"/>
              </w:rPr>
              <w:t>Yes</w:t>
            </w:r>
          </w:p>
        </w:tc>
        <w:tc>
          <w:tcPr>
            <w:tcW w:type="dxa" w:w="1512"/>
            <w:tcMar>
              <w:top w:w="18" w:type="dxa"/>
              <w:start w:w="32" w:type="dxa"/>
              <w:bottom w:w="18" w:type="dxa"/>
              <w:end w:w="32" w:type="dxa"/>
            </w:tcMar>
            <w:vAlign w:val="top"/>
            <w:shd w:fill="D9EAD3"/>
          </w:tcPr>
          <w:p>
            <w:pPr>
              <w:spacing w:after="0" w:line="240" w:lineRule="auto"/>
              <w:jc w:val="center"/>
            </w:pPr>
            <w:r>
              <w:rPr>
                <w:rFonts w:ascii="Calibri" w:hAnsi="Calibri"/>
                <w:b/>
                <w:color w:val="000000"/>
                <w:sz w:val="14"/>
              </w:rPr>
              <w:t>Structured archive</w:t>
            </w:r>
          </w:p>
        </w:tc>
        <w:tc>
          <w:tcPr>
            <w:tcW w:type="dxa" w:w="2621"/>
            <w:tcMar>
              <w:top w:w="18" w:type="dxa"/>
              <w:start w:w="32" w:type="dxa"/>
              <w:bottom w:w="18" w:type="dxa"/>
              <w:end w:w="32" w:type="dxa"/>
            </w:tcMar>
            <w:vAlign w:val="top"/>
          </w:tcPr>
          <w:p>
            <w:pPr>
              <w:spacing w:after="0" w:line="240" w:lineRule="auto"/>
              <w:jc w:val="left"/>
            </w:pPr>
            <w:r>
              <w:rPr>
                <w:rFonts w:ascii="Calibri" w:hAnsi="Calibri"/>
                <w:color w:val="000000"/>
                <w:sz w:val="14"/>
              </w:rPr>
              <w:t>Stable archive of commission statements.</w:t>
            </w:r>
          </w:p>
        </w:tc>
      </w:tr>
      <w:tr>
        <w:tc>
          <w:tcPr>
            <w:tcW w:type="dxa" w:w="1037"/>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Iceland</w:t>
            </w:r>
          </w:p>
        </w:tc>
        <w:tc>
          <w:tcPr>
            <w:tcW w:type="dxa" w:w="2376"/>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No national body located</w:t>
            </w:r>
          </w:p>
        </w:tc>
        <w:tc>
          <w:tcPr>
            <w:tcW w:type="dxa" w:w="1037"/>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Institutional</w:t>
            </w:r>
          </w:p>
        </w:tc>
        <w:tc>
          <w:tcPr>
            <w:tcW w:type="dxa" w:w="749"/>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Some</w:t>
            </w:r>
          </w:p>
        </w:tc>
        <w:tc>
          <w:tcPr>
            <w:tcW w:type="dxa" w:w="2088"/>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Institutional codes only</w:t>
            </w:r>
          </w:p>
        </w:tc>
        <w:tc>
          <w:tcPr>
            <w:tcW w:type="dxa" w:w="1224"/>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Codes / web</w:t>
            </w:r>
          </w:p>
        </w:tc>
        <w:tc>
          <w:tcPr>
            <w:tcW w:type="dxa" w:w="893"/>
            <w:tcMar>
              <w:top w:w="18" w:type="dxa"/>
              <w:start w:w="32" w:type="dxa"/>
              <w:bottom w:w="18" w:type="dxa"/>
              <w:end w:w="32" w:type="dxa"/>
            </w:tcMar>
            <w:vAlign w:val="top"/>
            <w:shd w:fill="F8FAFC"/>
          </w:tcPr>
          <w:p>
            <w:pPr>
              <w:spacing w:after="0" w:line="240" w:lineRule="auto"/>
              <w:jc w:val="center"/>
            </w:pPr>
            <w:r>
              <w:rPr>
                <w:rFonts w:ascii="Calibri" w:hAnsi="Calibri"/>
                <w:color w:val="000000"/>
                <w:sz w:val="14"/>
              </w:rPr>
              <w:t>No</w:t>
            </w:r>
          </w:p>
        </w:tc>
        <w:tc>
          <w:tcPr>
            <w:tcW w:type="dxa" w:w="1512"/>
            <w:tcMar>
              <w:top w:w="18" w:type="dxa"/>
              <w:start w:w="32" w:type="dxa"/>
              <w:bottom w:w="18" w:type="dxa"/>
              <w:end w:w="32" w:type="dxa"/>
            </w:tcMar>
            <w:vAlign w:val="top"/>
            <w:shd w:fill="FCE4D6"/>
          </w:tcPr>
          <w:p>
            <w:pPr>
              <w:spacing w:after="0" w:line="240" w:lineRule="auto"/>
              <w:jc w:val="center"/>
            </w:pPr>
            <w:r>
              <w:rPr>
                <w:rFonts w:ascii="Calibri" w:hAnsi="Calibri"/>
                <w:b/>
                <w:color w:val="000000"/>
                <w:sz w:val="14"/>
              </w:rPr>
              <w:t>Body, no archive</w:t>
            </w:r>
          </w:p>
        </w:tc>
        <w:tc>
          <w:tcPr>
            <w:tcW w:type="dxa" w:w="2621"/>
            <w:tcMar>
              <w:top w:w="18" w:type="dxa"/>
              <w:start w:w="32" w:type="dxa"/>
              <w:bottom w:w="18" w:type="dxa"/>
              <w:end w:w="32" w:type="dxa"/>
            </w:tcMar>
            <w:vAlign w:val="top"/>
            <w:shd w:fill="F8FAFC"/>
          </w:tcPr>
          <w:p>
            <w:pPr>
              <w:spacing w:after="0" w:line="240" w:lineRule="auto"/>
              <w:jc w:val="left"/>
            </w:pPr>
            <w:r>
              <w:rPr>
                <w:rFonts w:ascii="Calibri" w:hAnsi="Calibri"/>
                <w:color w:val="000000"/>
                <w:sz w:val="14"/>
              </w:rPr>
              <w:t>Institutional codes only; no national archive found.</w:t>
            </w:r>
          </w:p>
        </w:tc>
      </w:tr>
    </w:tbl>
    <w:p>
      <w:pPr>
        <w:sectPr>
          <w:footerReference w:type="default" r:id="rId18"/>
          <w:pgSz w:w="16838" w:h="11906" w:orient="landscape"/>
          <w:pgMar w:top="510" w:right="510" w:bottom="510" w:left="510" w:header="720" w:footer="720" w:gutter="0"/>
          <w:cols w:space="720"/>
          <w:docGrid w:linePitch="360"/>
        </w:sectPr>
      </w:pPr>
    </w:p>
    <w:p>
      <w:pPr>
        <w:pStyle w:val="Heading1"/>
        <w:spacing w:after="80" w:before="0" w:line="259" w:lineRule="auto"/>
      </w:pPr>
      <w:r>
        <w:rPr>
          <w:rFonts w:ascii="Calibri" w:hAnsi="Calibri"/>
          <w:b w:val="0"/>
          <w:color w:val="000000"/>
          <w:sz w:val="21"/>
        </w:rPr>
        <w:t>Appendix A. Open databases, archives and recurring public resources</w:t>
      </w:r>
    </w:p>
    <w:p>
      <w:r>
        <w:rPr>
          <w:rFonts w:ascii="Calibri" w:hAnsi="Calibri"/>
          <w:b w:val="0"/>
          <w:i w:val="0"/>
          <w:color w:val="000000"/>
          <w:sz w:val="20"/>
        </w:rPr>
        <w:t>The table below lists the main open resources identified during the review. Resource titles are clickable in the DOCX. The companion workbook reproduces the raw URLs in plain text.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36"/>
        <w:gridCol w:w="2636"/>
        <w:gridCol w:w="2636"/>
        <w:gridCol w:w="2636"/>
        <w:gridCol w:w="2636"/>
        <w:gridCol w:w="2636"/>
      </w:tblGrid>
      <w:tr>
        <w:trPr>
          <w:tblHeader w:val="true"/>
        </w:trPr>
        <w:tc>
          <w:tcPr>
            <w:tcW w:type="dxa" w:w="1296"/>
            <w:shd w:fill="1F4E79"/>
            <w:tcMar>
              <w:top w:w="45" w:type="dxa"/>
              <w:start w:w="60" w:type="dxa"/>
              <w:bottom w:w="45" w:type="dxa"/>
              <w:end w:w="60" w:type="dxa"/>
            </w:tcMar>
            <w:vAlign w:val="center"/>
          </w:tcPr>
          <w:p>
            <w:pPr>
              <w:spacing w:after="0"/>
              <w:jc w:val="center"/>
            </w:pPr>
            <w:r>
              <w:rPr>
                <w:rFonts w:ascii="Calibri" w:hAnsi="Calibri"/>
                <w:b/>
                <w:color w:val="FFFFFF"/>
                <w:sz w:val="16"/>
              </w:rPr>
              <w:t>Country</w:t>
            </w:r>
          </w:p>
        </w:tc>
        <w:tc>
          <w:tcPr>
            <w:tcW w:type="dxa" w:w="3168"/>
            <w:shd w:fill="1F4E79"/>
            <w:tcMar>
              <w:top w:w="45" w:type="dxa"/>
              <w:start w:w="60" w:type="dxa"/>
              <w:bottom w:w="45" w:type="dxa"/>
              <w:end w:w="60" w:type="dxa"/>
            </w:tcMar>
            <w:vAlign w:val="center"/>
          </w:tcPr>
          <w:p>
            <w:pPr>
              <w:spacing w:after="0"/>
              <w:jc w:val="center"/>
            </w:pPr>
            <w:r>
              <w:rPr>
                <w:rFonts w:ascii="Calibri" w:hAnsi="Calibri"/>
                <w:b/>
                <w:color w:val="FFFFFF"/>
                <w:sz w:val="16"/>
              </w:rPr>
              <w:t>Resource</w:t>
            </w:r>
          </w:p>
        </w:tc>
        <w:tc>
          <w:tcPr>
            <w:tcW w:type="dxa" w:w="2232"/>
            <w:shd w:fill="1F4E79"/>
            <w:tcMar>
              <w:top w:w="45" w:type="dxa"/>
              <w:start w:w="60" w:type="dxa"/>
              <w:bottom w:w="45" w:type="dxa"/>
              <w:end w:w="60" w:type="dxa"/>
            </w:tcMar>
            <w:vAlign w:val="center"/>
          </w:tcPr>
          <w:p>
            <w:pPr>
              <w:spacing w:after="0"/>
              <w:jc w:val="center"/>
            </w:pPr>
            <w:r>
              <w:rPr>
                <w:rFonts w:ascii="Calibri" w:hAnsi="Calibri"/>
                <w:b/>
                <w:color w:val="FFFFFF"/>
                <w:sz w:val="16"/>
              </w:rPr>
              <w:t>Class</w:t>
            </w:r>
          </w:p>
        </w:tc>
        <w:tc>
          <w:tcPr>
            <w:tcW w:type="dxa" w:w="1584"/>
            <w:shd w:fill="1F4E79"/>
            <w:tcMar>
              <w:top w:w="45" w:type="dxa"/>
              <w:start w:w="60" w:type="dxa"/>
              <w:bottom w:w="45" w:type="dxa"/>
              <w:end w:w="60" w:type="dxa"/>
            </w:tcMar>
            <w:vAlign w:val="center"/>
          </w:tcPr>
          <w:p>
            <w:pPr>
              <w:spacing w:after="0"/>
              <w:jc w:val="center"/>
            </w:pPr>
            <w:r>
              <w:rPr>
                <w:rFonts w:ascii="Calibri" w:hAnsi="Calibri"/>
                <w:b/>
                <w:color w:val="FFFFFF"/>
                <w:sz w:val="16"/>
              </w:rPr>
              <w:t>Scope</w:t>
            </w:r>
          </w:p>
        </w:tc>
        <w:tc>
          <w:tcPr>
            <w:tcW w:type="dxa" w:w="1944"/>
            <w:shd w:fill="1F4E79"/>
            <w:tcMar>
              <w:top w:w="45" w:type="dxa"/>
              <w:start w:w="60" w:type="dxa"/>
              <w:bottom w:w="45" w:type="dxa"/>
              <w:end w:w="60" w:type="dxa"/>
            </w:tcMar>
            <w:vAlign w:val="center"/>
          </w:tcPr>
          <w:p>
            <w:pPr>
              <w:spacing w:after="0"/>
              <w:jc w:val="center"/>
            </w:pPr>
            <w:r>
              <w:rPr>
                <w:rFonts w:ascii="Calibri" w:hAnsi="Calibri"/>
                <w:b/>
                <w:color w:val="FFFFFF"/>
                <w:sz w:val="16"/>
              </w:rPr>
              <w:t>Case-level info</w:t>
            </w:r>
          </w:p>
        </w:tc>
        <w:tc>
          <w:tcPr>
            <w:tcW w:type="dxa" w:w="3528"/>
            <w:shd w:fill="1F4E79"/>
            <w:tcMar>
              <w:top w:w="45" w:type="dxa"/>
              <w:start w:w="60" w:type="dxa"/>
              <w:bottom w:w="45" w:type="dxa"/>
              <w:end w:w="60" w:type="dxa"/>
            </w:tcMar>
            <w:vAlign w:val="center"/>
          </w:tcPr>
          <w:p>
            <w:pPr>
              <w:spacing w:after="0"/>
              <w:jc w:val="center"/>
            </w:pPr>
            <w:r>
              <w:rPr>
                <w:rFonts w:ascii="Calibri" w:hAnsi="Calibri"/>
                <w:b/>
                <w:color w:val="FFFFFF"/>
                <w:sz w:val="16"/>
              </w:rPr>
              <w:t>Comment</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Denmark</w:t>
            </w:r>
          </w:p>
        </w:tc>
        <w:tc>
          <w:tcPr>
            <w:tcW w:type="dxa" w:w="3168"/>
            <w:tcMar>
              <w:top w:w="18" w:type="dxa"/>
              <w:start w:w="32" w:type="dxa"/>
              <w:bottom w:w="18" w:type="dxa"/>
              <w:end w:w="32" w:type="dxa"/>
            </w:tcMar>
            <w:vAlign w:val="top"/>
            <w:shd w:fill="F8FAFC"/>
          </w:tcPr>
          <w:p>
            <w:pPr>
              <w:spacing w:after="0" w:line="240" w:lineRule="auto"/>
              <w:jc w:val="left"/>
            </w:pPr>
            <w:hyperlink r:id="rId11">
              <w:r>
                <w:rPr>
                  <w:color w:val="0563C1"/>
                  <w:u w:val="single"/>
                  <w:sz w:val="15"/>
                  <w:szCs w:val="15"/>
                  <w:rFonts w:ascii="Calibri" w:hAnsi="Calibri"/>
                </w:rPr>
                <w:t>Decisions of the Danish Board on Research Misconduct</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Structured decision archive</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Board decisions (anonymised)</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Statutory national publication route.</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Finland</w:t>
            </w:r>
          </w:p>
        </w:tc>
        <w:tc>
          <w:tcPr>
            <w:tcW w:type="dxa" w:w="3168"/>
            <w:tcMar>
              <w:top w:w="18" w:type="dxa"/>
              <w:start w:w="32" w:type="dxa"/>
              <w:bottom w:w="18" w:type="dxa"/>
              <w:end w:w="32" w:type="dxa"/>
            </w:tcMar>
            <w:vAlign w:val="top"/>
          </w:tcPr>
          <w:p>
            <w:pPr>
              <w:spacing w:after="0" w:line="240" w:lineRule="auto"/>
              <w:jc w:val="left"/>
            </w:pPr>
            <w:hyperlink r:id="rId12">
              <w:r>
                <w:rPr>
                  <w:color w:val="0563C1"/>
                  <w:u w:val="single"/>
                  <w:sz w:val="15"/>
                  <w:szCs w:val="15"/>
                  <w:rFonts w:ascii="Calibri" w:hAnsi="Calibri"/>
                </w:rPr>
                <w:t>TENK statement summaries</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Structured summary archive</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Statement summaries</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Stable archive of summaries rather than full case files.</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Lithuania</w:t>
            </w:r>
          </w:p>
        </w:tc>
        <w:tc>
          <w:tcPr>
            <w:tcW w:type="dxa" w:w="3168"/>
            <w:tcMar>
              <w:top w:w="18" w:type="dxa"/>
              <w:start w:w="32" w:type="dxa"/>
              <w:bottom w:w="18" w:type="dxa"/>
              <w:end w:w="32" w:type="dxa"/>
            </w:tcMar>
            <w:vAlign w:val="top"/>
            <w:shd w:fill="F8FAFC"/>
          </w:tcPr>
          <w:p>
            <w:pPr>
              <w:spacing w:after="0" w:line="240" w:lineRule="auto"/>
              <w:jc w:val="left"/>
            </w:pPr>
            <w:hyperlink r:id="rId13">
              <w:r>
                <w:rPr>
                  <w:color w:val="0563C1"/>
                  <w:u w:val="single"/>
                  <w:sz w:val="15"/>
                  <w:szCs w:val="15"/>
                  <w:rFonts w:ascii="Calibri" w:hAnsi="Calibri"/>
                </w:rPr>
                <w:t>Decisions archive</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Structured decision archive</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Published decisions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Supported by explicit privacy guidance for published decisions.</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Netherlands</w:t>
            </w:r>
          </w:p>
        </w:tc>
        <w:tc>
          <w:tcPr>
            <w:tcW w:type="dxa" w:w="3168"/>
            <w:tcMar>
              <w:top w:w="18" w:type="dxa"/>
              <w:start w:w="32" w:type="dxa"/>
              <w:bottom w:w="18" w:type="dxa"/>
              <w:end w:w="32" w:type="dxa"/>
            </w:tcMar>
            <w:vAlign w:val="top"/>
          </w:tcPr>
          <w:p>
            <w:pPr>
              <w:spacing w:after="0" w:line="240" w:lineRule="auto"/>
              <w:jc w:val="left"/>
            </w:pPr>
            <w:hyperlink r:id="rId14">
              <w:r>
                <w:rPr>
                  <w:color w:val="0563C1"/>
                  <w:u w:val="single"/>
                  <w:sz w:val="15"/>
                  <w:szCs w:val="15"/>
                  <w:rFonts w:ascii="Calibri" w:hAnsi="Calibri"/>
                </w:rPr>
                <w:t>LOWI opinions archive</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Structured opinion archive</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Published opinions</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One of the most mature public archives identified.</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Norway</w:t>
            </w:r>
          </w:p>
        </w:tc>
        <w:tc>
          <w:tcPr>
            <w:tcW w:type="dxa" w:w="3168"/>
            <w:tcMar>
              <w:top w:w="18" w:type="dxa"/>
              <w:start w:w="32" w:type="dxa"/>
              <w:bottom w:w="18" w:type="dxa"/>
              <w:end w:w="32" w:type="dxa"/>
            </w:tcMar>
            <w:vAlign w:val="top"/>
            <w:shd w:fill="F8FAFC"/>
          </w:tcPr>
          <w:p>
            <w:pPr>
              <w:spacing w:after="0" w:line="240" w:lineRule="auto"/>
              <w:jc w:val="left"/>
            </w:pPr>
            <w:hyperlink r:id="rId15">
              <w:r>
                <w:rPr>
                  <w:color w:val="0563C1"/>
                  <w:u w:val="single"/>
                  <w:sz w:val="15"/>
                  <w:szCs w:val="15"/>
                  <w:rFonts w:ascii="Calibri" w:hAnsi="Calibri"/>
                </w:rPr>
                <w:t>Granskingsutvalget statements archive</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Structured statements archive</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Public statements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Stable public archive of case-related statements.</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Romania</w:t>
            </w:r>
          </w:p>
        </w:tc>
        <w:tc>
          <w:tcPr>
            <w:tcW w:type="dxa" w:w="3168"/>
            <w:tcMar>
              <w:top w:w="18" w:type="dxa"/>
              <w:start w:w="32" w:type="dxa"/>
              <w:bottom w:w="18" w:type="dxa"/>
              <w:end w:w="32" w:type="dxa"/>
            </w:tcMar>
            <w:vAlign w:val="top"/>
          </w:tcPr>
          <w:p>
            <w:pPr>
              <w:spacing w:after="0" w:line="240" w:lineRule="auto"/>
              <w:jc w:val="left"/>
            </w:pPr>
            <w:hyperlink r:id="rId16">
              <w:r>
                <w:rPr>
                  <w:color w:val="0563C1"/>
                  <w:u w:val="single"/>
                  <w:sz w:val="15"/>
                  <w:szCs w:val="15"/>
                  <w:rFonts w:ascii="Calibri" w:hAnsi="Calibri"/>
                </w:rPr>
                <w:t>CNECSDTI decisions archive</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Structured decision archive</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Formal decisions</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Current archive of council decisions.</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Romania</w:t>
            </w:r>
          </w:p>
        </w:tc>
        <w:tc>
          <w:tcPr>
            <w:tcW w:type="dxa" w:w="3168"/>
            <w:tcMar>
              <w:top w:w="18" w:type="dxa"/>
              <w:start w:w="32" w:type="dxa"/>
              <w:bottom w:w="18" w:type="dxa"/>
              <w:end w:w="32" w:type="dxa"/>
            </w:tcMar>
            <w:vAlign w:val="top"/>
            <w:shd w:fill="F8FAFC"/>
          </w:tcPr>
          <w:p>
            <w:pPr>
              <w:spacing w:after="0" w:line="240" w:lineRule="auto"/>
              <w:jc w:val="left"/>
            </w:pPr>
            <w:hyperlink r:id="rId20">
              <w:r>
                <w:rPr>
                  <w:color w:val="0563C1"/>
                  <w:u w:val="single"/>
                  <w:sz w:val="15"/>
                  <w:szCs w:val="15"/>
                  <w:rFonts w:ascii="Calibri" w:hAnsi="Calibri"/>
                </w:rPr>
                <w:t>Historical decisions archive (2012–2015)</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Structured historical archive</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Historical decisions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Improves temporal continuity of public records.</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Sweden</w:t>
            </w:r>
          </w:p>
        </w:tc>
        <w:tc>
          <w:tcPr>
            <w:tcW w:type="dxa" w:w="3168"/>
            <w:tcMar>
              <w:top w:w="18" w:type="dxa"/>
              <w:start w:w="32" w:type="dxa"/>
              <w:bottom w:w="18" w:type="dxa"/>
              <w:end w:w="32" w:type="dxa"/>
            </w:tcMar>
            <w:vAlign w:val="top"/>
          </w:tcPr>
          <w:p>
            <w:pPr>
              <w:spacing w:after="0" w:line="240" w:lineRule="auto"/>
              <w:jc w:val="left"/>
            </w:pPr>
            <w:hyperlink r:id="rId17">
              <w:r>
                <w:rPr>
                  <w:color w:val="0563C1"/>
                  <w:u w:val="single"/>
                  <w:sz w:val="15"/>
                  <w:szCs w:val="15"/>
                  <w:rFonts w:ascii="Calibri" w:hAnsi="Calibri"/>
                </w:rPr>
                <w:t>NPOF decisions archive</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Structured decision archive</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Published decisions</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Clear national case-publication route.</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Austria</w:t>
            </w:r>
          </w:p>
        </w:tc>
        <w:tc>
          <w:tcPr>
            <w:tcW w:type="dxa" w:w="3168"/>
            <w:tcMar>
              <w:top w:w="18" w:type="dxa"/>
              <w:start w:w="32" w:type="dxa"/>
              <w:bottom w:w="18" w:type="dxa"/>
              <w:end w:w="32" w:type="dxa"/>
            </w:tcMar>
            <w:vAlign w:val="top"/>
            <w:shd w:fill="F8FAFC"/>
          </w:tcPr>
          <w:p>
            <w:pPr>
              <w:spacing w:after="0" w:line="240" w:lineRule="auto"/>
              <w:jc w:val="left"/>
            </w:pPr>
            <w:hyperlink r:id="rId21">
              <w:r>
                <w:rPr>
                  <w:color w:val="0563C1"/>
                  <w:u w:val="single"/>
                  <w:sz w:val="15"/>
                  <w:szCs w:val="15"/>
                  <w:rFonts w:ascii="Calibri" w:hAnsi="Calibri"/>
                </w:rPr>
                <w:t>OeAWI Commission annual report 2023</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Annual report with case material</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Statistics + anonymised summaries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Public visibility exists, but not via a searchable archive.</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Belgium</w:t>
            </w:r>
          </w:p>
        </w:tc>
        <w:tc>
          <w:tcPr>
            <w:tcW w:type="dxa" w:w="3168"/>
            <w:tcMar>
              <w:top w:w="18" w:type="dxa"/>
              <w:start w:w="32" w:type="dxa"/>
              <w:bottom w:w="18" w:type="dxa"/>
              <w:end w:w="32" w:type="dxa"/>
            </w:tcMar>
            <w:vAlign w:val="top"/>
          </w:tcPr>
          <w:p>
            <w:pPr>
              <w:spacing w:after="0" w:line="240" w:lineRule="auto"/>
              <w:jc w:val="left"/>
            </w:pPr>
            <w:hyperlink r:id="rId22">
              <w:r>
                <w:rPr>
                  <w:color w:val="0563C1"/>
                  <w:u w:val="single"/>
                  <w:sz w:val="15"/>
                  <w:szCs w:val="15"/>
                  <w:rFonts w:ascii="Calibri" w:hAnsi="Calibri"/>
                </w:rPr>
                <w:t>VCWI official page</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Official publication hub</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Subnational / regional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General information and outputs</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Transparency strongest in Flanders rather than nationwide.</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Belgium</w:t>
            </w:r>
          </w:p>
        </w:tc>
        <w:tc>
          <w:tcPr>
            <w:tcW w:type="dxa" w:w="3168"/>
            <w:tcMar>
              <w:top w:w="18" w:type="dxa"/>
              <w:start w:w="32" w:type="dxa"/>
              <w:bottom w:w="18" w:type="dxa"/>
              <w:end w:w="32" w:type="dxa"/>
            </w:tcMar>
            <w:vAlign w:val="top"/>
            <w:shd w:fill="F8FAFC"/>
          </w:tcPr>
          <w:p>
            <w:pPr>
              <w:spacing w:after="0" w:line="240" w:lineRule="auto"/>
              <w:jc w:val="left"/>
            </w:pPr>
            <w:hyperlink r:id="rId23">
              <w:r>
                <w:rPr>
                  <w:color w:val="0563C1"/>
                  <w:u w:val="single"/>
                  <w:sz w:val="15"/>
                  <w:szCs w:val="15"/>
                  <w:rFonts w:ascii="Calibri" w:hAnsi="Calibri"/>
                </w:rPr>
                <w:t>VCWI Yearbook 2024</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Yearbook with case summaries</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Subnational / regional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Anonymised second-opinion summaries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Illustrates recurrent but non-database publication.</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Croatia</w:t>
            </w:r>
          </w:p>
        </w:tc>
        <w:tc>
          <w:tcPr>
            <w:tcW w:type="dxa" w:w="3168"/>
            <w:tcMar>
              <w:top w:w="18" w:type="dxa"/>
              <w:start w:w="32" w:type="dxa"/>
              <w:bottom w:w="18" w:type="dxa"/>
              <w:end w:w="32" w:type="dxa"/>
            </w:tcMar>
            <w:vAlign w:val="top"/>
          </w:tcPr>
          <w:p>
            <w:pPr>
              <w:spacing w:after="0" w:line="240" w:lineRule="auto"/>
              <w:jc w:val="left"/>
            </w:pPr>
            <w:hyperlink r:id="rId24">
              <w:r>
                <w:rPr>
                  <w:color w:val="0563C1"/>
                  <w:u w:val="single"/>
                  <w:sz w:val="15"/>
                  <w:szCs w:val="15"/>
                  <w:rFonts w:ascii="Calibri" w:hAnsi="Calibri"/>
                </w:rPr>
                <w:t>Committee work report (2017)</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Annual/activity report</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Committee work and case-related reporting</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Reporting is public but fragmented.</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Croatia</w:t>
            </w:r>
          </w:p>
        </w:tc>
        <w:tc>
          <w:tcPr>
            <w:tcW w:type="dxa" w:w="3168"/>
            <w:tcMar>
              <w:top w:w="18" w:type="dxa"/>
              <w:start w:w="32" w:type="dxa"/>
              <w:bottom w:w="18" w:type="dxa"/>
              <w:end w:w="32" w:type="dxa"/>
            </w:tcMar>
            <w:vAlign w:val="top"/>
            <w:shd w:fill="F8FAFC"/>
          </w:tcPr>
          <w:p>
            <w:pPr>
              <w:spacing w:after="0" w:line="240" w:lineRule="auto"/>
              <w:jc w:val="left"/>
            </w:pPr>
            <w:hyperlink r:id="rId25">
              <w:r>
                <w:rPr>
                  <w:color w:val="0563C1"/>
                  <w:u w:val="single"/>
                  <w:sz w:val="15"/>
                  <w:szCs w:val="15"/>
                  <w:rFonts w:ascii="Calibri" w:hAnsi="Calibri"/>
                </w:rPr>
                <w:t>Example opinion (Radman case)</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Published case opinion</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Case-specific opinion</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Shows that named opinions can be public.</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Germany</w:t>
            </w:r>
          </w:p>
        </w:tc>
        <w:tc>
          <w:tcPr>
            <w:tcW w:type="dxa" w:w="3168"/>
            <w:tcMar>
              <w:top w:w="18" w:type="dxa"/>
              <w:start w:w="32" w:type="dxa"/>
              <w:bottom w:w="18" w:type="dxa"/>
              <w:end w:w="32" w:type="dxa"/>
            </w:tcMar>
            <w:vAlign w:val="top"/>
          </w:tcPr>
          <w:p>
            <w:pPr>
              <w:spacing w:after="0" w:line="240" w:lineRule="auto"/>
              <w:jc w:val="left"/>
            </w:pPr>
            <w:hyperlink r:id="rId26">
              <w:r>
                <w:rPr>
                  <w:color w:val="0563C1"/>
                  <w:u w:val="single"/>
                  <w:sz w:val="15"/>
                  <w:szCs w:val="15"/>
                  <w:rFonts w:ascii="Calibri" w:hAnsi="Calibri"/>
                </w:rPr>
                <w:t>Ombuds Committee official site</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Official publication hub</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Procedural information and public reporting</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No standalone public case database identified.</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Italy</w:t>
            </w:r>
          </w:p>
        </w:tc>
        <w:tc>
          <w:tcPr>
            <w:tcW w:type="dxa" w:w="3168"/>
            <w:tcMar>
              <w:top w:w="18" w:type="dxa"/>
              <w:start w:w="32" w:type="dxa"/>
              <w:bottom w:w="18" w:type="dxa"/>
              <w:end w:w="32" w:type="dxa"/>
            </w:tcMar>
            <w:vAlign w:val="top"/>
            <w:shd w:fill="F8FAFC"/>
          </w:tcPr>
          <w:p>
            <w:pPr>
              <w:spacing w:after="0" w:line="240" w:lineRule="auto"/>
              <w:jc w:val="left"/>
            </w:pPr>
            <w:hyperlink r:id="rId27">
              <w:r>
                <w:rPr>
                  <w:color w:val="0563C1"/>
                  <w:u w:val="single"/>
                  <w:sz w:val="15"/>
                  <w:szCs w:val="15"/>
                  <w:rFonts w:ascii="Calibri" w:hAnsi="Calibri"/>
                </w:rPr>
                <w:t>CNR ethics documents archive</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Institutional document archive</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Institution-specific</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Ethics opinions / misconduct-related documents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Strongest openly accessible public material located for Italy.</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Luxembourg</w:t>
            </w:r>
          </w:p>
        </w:tc>
        <w:tc>
          <w:tcPr>
            <w:tcW w:type="dxa" w:w="3168"/>
            <w:tcMar>
              <w:top w:w="18" w:type="dxa"/>
              <w:start w:w="32" w:type="dxa"/>
              <w:bottom w:w="18" w:type="dxa"/>
              <w:end w:w="32" w:type="dxa"/>
            </w:tcMar>
            <w:vAlign w:val="top"/>
          </w:tcPr>
          <w:p>
            <w:pPr>
              <w:spacing w:after="0" w:line="240" w:lineRule="auto"/>
              <w:jc w:val="left"/>
            </w:pPr>
            <w:hyperlink r:id="rId28">
              <w:r>
                <w:rPr>
                  <w:color w:val="0563C1"/>
                  <w:u w:val="single"/>
                  <w:sz w:val="15"/>
                  <w:szCs w:val="15"/>
                  <w:rFonts w:ascii="Calibri" w:hAnsi="Calibri"/>
                </w:rPr>
                <w:t>LARI about / reports page</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Agency publication hub</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Annual reports and general information</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Annual-report visibility, but no case database found.</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Poland</w:t>
            </w:r>
          </w:p>
        </w:tc>
        <w:tc>
          <w:tcPr>
            <w:tcW w:type="dxa" w:w="3168"/>
            <w:tcMar>
              <w:top w:w="18" w:type="dxa"/>
              <w:start w:w="32" w:type="dxa"/>
              <w:bottom w:w="18" w:type="dxa"/>
              <w:end w:w="32" w:type="dxa"/>
            </w:tcMar>
            <w:vAlign w:val="top"/>
            <w:shd w:fill="F8FAFC"/>
          </w:tcPr>
          <w:p>
            <w:pPr>
              <w:spacing w:after="0" w:line="240" w:lineRule="auto"/>
              <w:jc w:val="left"/>
            </w:pPr>
            <w:hyperlink r:id="rId29">
              <w:r>
                <w:rPr>
                  <w:color w:val="0563C1"/>
                  <w:u w:val="single"/>
                  <w:sz w:val="15"/>
                  <w:szCs w:val="15"/>
                  <w:rFonts w:ascii="Calibri" w:hAnsi="Calibri"/>
                </w:rPr>
                <w:t>Ethics in Science page</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Official publication hub</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Opinions and activity materials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Public outputs exist, but not as a structured case archive.</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United Kingdom</w:t>
            </w:r>
          </w:p>
        </w:tc>
        <w:tc>
          <w:tcPr>
            <w:tcW w:type="dxa" w:w="3168"/>
            <w:tcMar>
              <w:top w:w="18" w:type="dxa"/>
              <w:start w:w="32" w:type="dxa"/>
              <w:bottom w:w="18" w:type="dxa"/>
              <w:end w:w="32" w:type="dxa"/>
            </w:tcMar>
            <w:vAlign w:val="top"/>
          </w:tcPr>
          <w:p>
            <w:pPr>
              <w:spacing w:after="0" w:line="240" w:lineRule="auto"/>
              <w:jc w:val="left"/>
            </w:pPr>
            <w:hyperlink r:id="rId30">
              <w:r>
                <w:rPr>
                  <w:color w:val="0563C1"/>
                  <w:u w:val="single"/>
                  <w:sz w:val="15"/>
                  <w:szCs w:val="15"/>
                  <w:rFonts w:ascii="Calibri" w:hAnsi="Calibri"/>
                </w:rPr>
                <w:t>Concordat to Support Research Integrity publications hub</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Central hub for decentralized annual statements</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UK-wide decentralized</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Institutional annual statements and guidance</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No national real-case archive; transparency depends on institutional publication.</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United Kingdom</w:t>
            </w:r>
          </w:p>
        </w:tc>
        <w:tc>
          <w:tcPr>
            <w:tcW w:type="dxa" w:w="3168"/>
            <w:tcMar>
              <w:top w:w="18" w:type="dxa"/>
              <w:start w:w="32" w:type="dxa"/>
              <w:bottom w:w="18" w:type="dxa"/>
              <w:end w:w="32" w:type="dxa"/>
            </w:tcMar>
            <w:vAlign w:val="top"/>
            <w:shd w:fill="F8FAFC"/>
          </w:tcPr>
          <w:p>
            <w:pPr>
              <w:spacing w:after="0" w:line="240" w:lineRule="auto"/>
              <w:jc w:val="left"/>
            </w:pPr>
            <w:hyperlink r:id="rId31">
              <w:r>
                <w:rPr>
                  <w:color w:val="0563C1"/>
                  <w:u w:val="single"/>
                  <w:sz w:val="15"/>
                  <w:szCs w:val="15"/>
                  <w:rFonts w:ascii="Calibri" w:hAnsi="Calibri"/>
                </w:rPr>
                <w:t>UKRIO Case study pack No. 1</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Synthetic case-study resource</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UK-wide</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Synthetic examples, not adjudicated case records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Useful for transparency culture, but not a database of real cases.</w:t>
            </w:r>
          </w:p>
        </w:tc>
      </w:tr>
      <w:tr>
        <w:tc>
          <w:tcPr>
            <w:tcW w:type="dxa" w:w="1296"/>
            <w:tcMar>
              <w:top w:w="18" w:type="dxa"/>
              <w:start w:w="32" w:type="dxa"/>
              <w:bottom w:w="18" w:type="dxa"/>
              <w:end w:w="32" w:type="dxa"/>
            </w:tcMar>
            <w:vAlign w:val="top"/>
          </w:tcPr>
          <w:p>
            <w:pPr>
              <w:spacing w:after="0" w:line="240" w:lineRule="auto"/>
              <w:jc w:val="left"/>
            </w:pPr>
            <w:r>
              <w:rPr>
                <w:rFonts w:ascii="Calibri" w:hAnsi="Calibri"/>
                <w:color w:val="000000"/>
                <w:sz w:val="15"/>
              </w:rPr>
              <w:t>Switzerland</w:t>
            </w:r>
          </w:p>
        </w:tc>
        <w:tc>
          <w:tcPr>
            <w:tcW w:type="dxa" w:w="3168"/>
            <w:tcMar>
              <w:top w:w="18" w:type="dxa"/>
              <w:start w:w="32" w:type="dxa"/>
              <w:bottom w:w="18" w:type="dxa"/>
              <w:end w:w="32" w:type="dxa"/>
            </w:tcMar>
            <w:vAlign w:val="top"/>
          </w:tcPr>
          <w:p>
            <w:pPr>
              <w:spacing w:after="0" w:line="240" w:lineRule="auto"/>
              <w:jc w:val="left"/>
            </w:pPr>
            <w:hyperlink r:id="rId32">
              <w:r>
                <w:rPr>
                  <w:color w:val="0563C1"/>
                  <w:u w:val="single"/>
                  <w:sz w:val="15"/>
                  <w:szCs w:val="15"/>
                  <w:rFonts w:ascii="Calibri" w:hAnsi="Calibri"/>
                </w:rPr>
                <w:t>SNSF Commission on Research Integrity annual report 2024</w:t>
              </w:r>
            </w:hyperlink>
          </w:p>
        </w:tc>
        <w:tc>
          <w:tcPr>
            <w:tcW w:type="dxa" w:w="2232"/>
            <w:tcMar>
              <w:top w:w="18" w:type="dxa"/>
              <w:start w:w="32" w:type="dxa"/>
              <w:bottom w:w="18" w:type="dxa"/>
              <w:end w:w="32" w:type="dxa"/>
            </w:tcMar>
            <w:vAlign w:val="top"/>
          </w:tcPr>
          <w:p>
            <w:pPr>
              <w:spacing w:after="0" w:line="240" w:lineRule="auto"/>
              <w:jc w:val="left"/>
            </w:pPr>
            <w:r>
              <w:rPr>
                <w:rFonts w:ascii="Calibri" w:hAnsi="Calibri"/>
                <w:color w:val="000000"/>
                <w:sz w:val="15"/>
              </w:rPr>
              <w:t>Annual report with case material</w:t>
            </w:r>
          </w:p>
        </w:tc>
        <w:tc>
          <w:tcPr>
            <w:tcW w:type="dxa" w:w="1584"/>
            <w:tcMar>
              <w:top w:w="18" w:type="dxa"/>
              <w:start w:w="32" w:type="dxa"/>
              <w:bottom w:w="18" w:type="dxa"/>
              <w:end w:w="32" w:type="dxa"/>
            </w:tcMar>
            <w:vAlign w:val="top"/>
          </w:tcPr>
          <w:p>
            <w:pPr>
              <w:spacing w:after="0" w:line="240" w:lineRule="auto"/>
              <w:jc w:val="left"/>
            </w:pPr>
            <w:r>
              <w:rPr>
                <w:rFonts w:ascii="Calibri" w:hAnsi="Calibri"/>
                <w:color w:val="000000"/>
                <w:sz w:val="15"/>
              </w:rPr>
              <w:t>National funder / national framework</w:t>
            </w:r>
          </w:p>
        </w:tc>
        <w:tc>
          <w:tcPr>
            <w:tcW w:type="dxa" w:w="1944"/>
            <w:tcMar>
              <w:top w:w="18" w:type="dxa"/>
              <w:start w:w="32" w:type="dxa"/>
              <w:bottom w:w="18" w:type="dxa"/>
              <w:end w:w="32" w:type="dxa"/>
            </w:tcMar>
            <w:vAlign w:val="top"/>
          </w:tcPr>
          <w:p>
            <w:pPr>
              <w:spacing w:after="0" w:line="240" w:lineRule="auto"/>
              <w:jc w:val="left"/>
            </w:pPr>
            <w:r>
              <w:rPr>
                <w:rFonts w:ascii="Calibri" w:hAnsi="Calibri"/>
                <w:color w:val="000000"/>
                <w:sz w:val="15"/>
              </w:rPr>
              <w:t>Case statistics and anonymised reporting</w:t>
            </w:r>
          </w:p>
        </w:tc>
        <w:tc>
          <w:tcPr>
            <w:tcW w:type="dxa" w:w="3528"/>
            <w:tcMar>
              <w:top w:w="18" w:type="dxa"/>
              <w:start w:w="32" w:type="dxa"/>
              <w:bottom w:w="18" w:type="dxa"/>
              <w:end w:w="32" w:type="dxa"/>
            </w:tcMar>
            <w:vAlign w:val="top"/>
          </w:tcPr>
          <w:p>
            <w:pPr>
              <w:spacing w:after="0" w:line="240" w:lineRule="auto"/>
              <w:jc w:val="left"/>
            </w:pPr>
            <w:r>
              <w:rPr>
                <w:rFonts w:ascii="Calibri" w:hAnsi="Calibri"/>
                <w:color w:val="000000"/>
                <w:sz w:val="15"/>
              </w:rPr>
              <w:t>Selective visibility rather than database publication.</w:t>
            </w:r>
          </w:p>
        </w:tc>
      </w:tr>
      <w:tr>
        <w:tc>
          <w:tcPr>
            <w:tcW w:type="dxa" w:w="1296"/>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Switzerland</w:t>
            </w:r>
          </w:p>
        </w:tc>
        <w:tc>
          <w:tcPr>
            <w:tcW w:type="dxa" w:w="3168"/>
            <w:tcMar>
              <w:top w:w="18" w:type="dxa"/>
              <w:start w:w="32" w:type="dxa"/>
              <w:bottom w:w="18" w:type="dxa"/>
              <w:end w:w="32" w:type="dxa"/>
            </w:tcMar>
            <w:vAlign w:val="top"/>
            <w:shd w:fill="F8FAFC"/>
          </w:tcPr>
          <w:p>
            <w:pPr>
              <w:spacing w:after="0" w:line="240" w:lineRule="auto"/>
              <w:jc w:val="left"/>
            </w:pPr>
            <w:hyperlink r:id="rId33">
              <w:r>
                <w:rPr>
                  <w:color w:val="0563C1"/>
                  <w:u w:val="single"/>
                  <w:sz w:val="15"/>
                  <w:szCs w:val="15"/>
                  <w:rFonts w:ascii="Calibri" w:hAnsi="Calibri"/>
                </w:rPr>
                <w:t>Results of investigation into plagiarism accusations</w:t>
              </w:r>
            </w:hyperlink>
          </w:p>
        </w:tc>
        <w:tc>
          <w:tcPr>
            <w:tcW w:type="dxa" w:w="2232"/>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Public case news item</w:t>
            </w:r>
          </w:p>
        </w:tc>
        <w:tc>
          <w:tcPr>
            <w:tcW w:type="dxa" w:w="158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National funder / national framework</w:t>
            </w:r>
          </w:p>
        </w:tc>
        <w:tc>
          <w:tcPr>
            <w:tcW w:type="dxa" w:w="1944"/>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Specific case news</w:t>
            </w:r>
          </w:p>
        </w:tc>
        <w:tc>
          <w:tcPr>
            <w:tcW w:type="dxa" w:w="3528"/>
            <w:tcMar>
              <w:top w:w="18" w:type="dxa"/>
              <w:start w:w="32" w:type="dxa"/>
              <w:bottom w:w="18" w:type="dxa"/>
              <w:end w:w="32" w:type="dxa"/>
            </w:tcMar>
            <w:vAlign w:val="top"/>
            <w:shd w:fill="F8FAFC"/>
          </w:tcPr>
          <w:p>
            <w:pPr>
              <w:spacing w:after="0" w:line="240" w:lineRule="auto"/>
              <w:jc w:val="left"/>
            </w:pPr>
            <w:r>
              <w:rPr>
                <w:rFonts w:ascii="Calibri" w:hAnsi="Calibri"/>
                <w:color w:val="000000"/>
                <w:sz w:val="15"/>
              </w:rPr>
              <w:t>Illustrates occasional case-specific public communication.</w:t>
            </w:r>
          </w:p>
        </w:tc>
      </w:tr>
    </w:tbl>
    <w:p>
      <w:r>
        <w:br w:type="page"/>
      </w:r>
    </w:p>
    <w:p>
      <w:pPr>
        <w:pStyle w:val="Heading1"/>
        <w:spacing w:after="80" w:before="0" w:line="259" w:lineRule="auto"/>
      </w:pPr>
      <w:r>
        <w:rPr>
          <w:rFonts w:ascii="Calibri" w:hAnsi="Calibri"/>
          <w:b w:val="0"/>
          <w:color w:val="000000"/>
          <w:sz w:val="21"/>
        </w:rPr>
        <w:t>Appendix B. Interpretation notes and limits</w:t>
      </w:r>
    </w:p>
    <w:p>
      <w:r>
        <w:rPr>
          <w:rFonts w:ascii="Calibri" w:hAnsi="Calibri"/>
          <w:b w:val="0"/>
          <w:i w:val="0"/>
          <w:color w:val="000000"/>
          <w:sz w:val="20"/>
        </w:rPr>
        <w:t>These points are intended to prevent over-interpretation of the transparency scores and to clarify how the companion workbook should be used.</w:t>
      </w:r>
    </w:p>
    <w:p>
      <w:pPr>
        <w:pStyle w:val="Heading2"/>
        <w:spacing w:after="80" w:before="0" w:line="259" w:lineRule="auto"/>
      </w:pPr>
      <w:r>
        <w:rPr>
          <w:rFonts w:ascii="Calibri" w:hAnsi="Calibri"/>
          <w:b w:val="0"/>
          <w:color w:val="000000"/>
          <w:sz w:val="21"/>
        </w:rPr>
        <w:t>Using the companion workbook</w:t>
      </w:r>
    </w:p>
    <w:p>
      <w:r>
        <w:rPr>
          <w:rFonts w:ascii="Calibri" w:hAnsi="Calibri"/>
          <w:b w:val="0"/>
          <w:i w:val="0"/>
          <w:color w:val="000000"/>
          <w:sz w:val="20"/>
        </w:rPr>
        <w:t>• Country overview = the master 31-jurisdiction comparison table.</w:t>
      </w:r>
    </w:p>
    <w:p>
      <w:r>
        <w:rPr>
          <w:rFonts w:ascii="Calibri" w:hAnsi="Calibri"/>
          <w:b w:val="0"/>
          <w:i w:val="0"/>
          <w:color w:val="000000"/>
          <w:sz w:val="20"/>
        </w:rPr>
        <w:t>• Public resources = the separate list of open archives, databases, annual reports and other public case-publication resources.</w:t>
      </w:r>
    </w:p>
    <w:p>
      <w:r>
        <w:rPr>
          <w:rFonts w:ascii="Calibri" w:hAnsi="Calibri"/>
          <w:b w:val="0"/>
          <w:i w:val="0"/>
          <w:color w:val="000000"/>
          <w:sz w:val="20"/>
        </w:rPr>
        <w:t>• Methods = scope, definitions and the score rubric used in this report.</w:t>
      </w:r>
    </w:p>
    <w:p>
      <w:pPr>
        <w:pStyle w:val="Heading2"/>
        <w:spacing w:after="80" w:before="0" w:line="259" w:lineRule="auto"/>
      </w:pPr>
      <w:r>
        <w:rPr>
          <w:rFonts w:ascii="Calibri" w:hAnsi="Calibri"/>
          <w:b w:val="0"/>
          <w:color w:val="000000"/>
          <w:sz w:val="21"/>
        </w:rPr>
        <w:t>Interpretation notes</w:t>
      </w:r>
    </w:p>
    <w:p>
      <w:r>
        <w:rPr>
          <w:rFonts w:ascii="Calibri" w:hAnsi="Calibri"/>
          <w:b w:val="0"/>
          <w:i w:val="0"/>
          <w:color w:val="000000"/>
          <w:sz w:val="19"/>
        </w:rPr>
        <w:t>• This report is about transparency of published case material, not about whether a country has strong or weak misconduct procedures overall.</w:t>
      </w:r>
    </w:p>
    <w:p>
      <w:r>
        <w:rPr>
          <w:rFonts w:ascii="Calibri" w:hAnsi="Calibri"/>
          <w:b w:val="0"/>
          <w:i w:val="0"/>
          <w:color w:val="000000"/>
          <w:sz w:val="19"/>
        </w:rPr>
        <w:t>• Systems are not directly comparable in mandate. Some bodies are appeal boards, some are investigation commissions, some are ombudspersons, and some are mainly advisory.</w:t>
      </w:r>
    </w:p>
    <w:p>
      <w:r>
        <w:rPr>
          <w:rFonts w:ascii="Calibri" w:hAnsi="Calibri"/>
          <w:b w:val="0"/>
          <w:i w:val="0"/>
          <w:color w:val="000000"/>
          <w:sz w:val="19"/>
        </w:rPr>
        <w:t>• Decentralized systems can look less transparent at national level even when institutions publish reports locally. The United Kingdom is the clearest example.</w:t>
      </w:r>
    </w:p>
    <w:p>
      <w:r>
        <w:rPr>
          <w:rFonts w:ascii="Calibri" w:hAnsi="Calibri"/>
          <w:b w:val="0"/>
          <w:i w:val="0"/>
          <w:color w:val="000000"/>
          <w:sz w:val="19"/>
        </w:rPr>
        <w:t>• Some partial-coverage cases deserve special caution: Belgium reflects the clearer Flemish publication route; Italy reflects the strongest openly accessible CNR-level material; Switzerland reflects a funder-led visibility model rather than a universal national archive.</w:t>
      </w:r>
    </w:p>
    <w:p>
      <w:r>
        <w:rPr>
          <w:rFonts w:ascii="Calibri" w:hAnsi="Calibri"/>
          <w:b w:val="0"/>
          <w:i w:val="0"/>
          <w:color w:val="000000"/>
          <w:sz w:val="19"/>
        </w:rPr>
        <w:t>• Publication practices can change quickly. The status recorded here reflects what was openly accessible on 17 April 2026.</w:t>
      </w:r>
    </w:p>
    <w:sectPr w:rsidR="00FC693F" w:rsidRPr="0006063C" w:rsidSect="00034616">
      <w:footerReference w:type="default" r:id="rId19"/>
      <w:pgSz w:w="16838" w:h="11906" w:orient="landscape"/>
      <w:pgMar w:top="510" w:right="510" w:bottom="510" w:left="5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Research-integrity transparency review | 17 April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Country-by-country matrix</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Public resources register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ufsn.dk/english/about-us/councils-and-commissions/the-danish-board-on-research-misconduct/decisions/" TargetMode="External"/><Relationship Id="rId12" Type="http://schemas.openxmlformats.org/officeDocument/2006/relationships/hyperlink" Target="https://tenk.fi/en/research-integrity/tenks-statement-summaries" TargetMode="External"/><Relationship Id="rId13" Type="http://schemas.openxmlformats.org/officeDocument/2006/relationships/hyperlink" Target="https://etikostarnyba.lt/en/decisions/" TargetMode="External"/><Relationship Id="rId14" Type="http://schemas.openxmlformats.org/officeDocument/2006/relationships/hyperlink" Target="https://lowi.nl/en/opinions/" TargetMode="External"/><Relationship Id="rId15" Type="http://schemas.openxmlformats.org/officeDocument/2006/relationships/hyperlink" Target="https://www.forskningsetikk.no/om-oss/komiteer-og-utvalg/granskingsutvalget/uttalelser/" TargetMode="External"/><Relationship Id="rId16" Type="http://schemas.openxmlformats.org/officeDocument/2006/relationships/hyperlink" Target="https://cnecsdti.research.gov.ro/hotarari/" TargetMode="External"/><Relationship Id="rId17" Type="http://schemas.openxmlformats.org/officeDocument/2006/relationships/hyperlink" Target="https://npof.se/en/decisions/" TargetMode="Externa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yperlink" Target="https://cnecsdti.research.gov.ro/hotarari/hotarari-in-perioada-2012-2015/" TargetMode="External"/><Relationship Id="rId21" Type="http://schemas.openxmlformats.org/officeDocument/2006/relationships/hyperlink" Target="https://oeawi.at/wp-content/uploads/2025/06/OeAWI-Commission-Annual-Report-2023.pdf" TargetMode="External"/><Relationship Id="rId22" Type="http://schemas.openxmlformats.org/officeDocument/2006/relationships/hyperlink" Target="https://kvab.be/en/vcwi" TargetMode="External"/><Relationship Id="rId23" Type="http://schemas.openxmlformats.org/officeDocument/2006/relationships/hyperlink" Target="https://kvab.be/sites/default/files/Jaarboek%202024.pdf" TargetMode="External"/><Relationship Id="rId24" Type="http://schemas.openxmlformats.org/officeDocument/2006/relationships/hyperlink" Target="https://www.sabor.hr/hr/sjednice-sabora/izvjesce-o-radu-odbora-za-etiku-u-znanosti-i-visokom-obrazovanju-u-2017-godini-0" TargetMode="External"/><Relationship Id="rId25" Type="http://schemas.openxmlformats.org/officeDocument/2006/relationships/hyperlink" Target="https://www.azvo.hr/images/stories/tijela_agencije/oze/Misljenje_-_Radman.pdf" TargetMode="External"/><Relationship Id="rId26" Type="http://schemas.openxmlformats.org/officeDocument/2006/relationships/hyperlink" Target="https://ombudsgremium.de/?lang=en" TargetMode="External"/><Relationship Id="rId27" Type="http://schemas.openxmlformats.org/officeDocument/2006/relationships/hyperlink" Target="https://www.cnr.it/en/doc-ethics" TargetMode="External"/><Relationship Id="rId28" Type="http://schemas.openxmlformats.org/officeDocument/2006/relationships/hyperlink" Target="https://lari.lu/about/" TargetMode="External"/><Relationship Id="rId29" Type="http://schemas.openxmlformats.org/officeDocument/2006/relationships/hyperlink" Target="https://pan.pl/en/ethics-in-science/" TargetMode="External"/><Relationship Id="rId30" Type="http://schemas.openxmlformats.org/officeDocument/2006/relationships/hyperlink" Target="https://www.universitiesuk.ac.uk/what-we-do/policy-and-research/publications/concordat-support-research-integrity" TargetMode="External"/><Relationship Id="rId31" Type="http://schemas.openxmlformats.org/officeDocument/2006/relationships/hyperlink" Target="https://ukrio.org/wp-content/uploads/UKRIO-Case-study-pack-No.-1.pdf" TargetMode="External"/><Relationship Id="rId32" Type="http://schemas.openxmlformats.org/officeDocument/2006/relationships/hyperlink" Target="https://www.snf.ch/media/de/vzaHaBcJudF3hRtz/Annual_report_2024_IK.pdf" TargetMode="External"/><Relationship Id="rId33" Type="http://schemas.openxmlformats.org/officeDocument/2006/relationships/hyperlink" Target="https://www.snf.ch/en/a6HYHTbiHpsk2ET6/news/results-of-investigation-into-plagiarism-accus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