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51891" w14:textId="77777777" w:rsidR="000C0BEB" w:rsidRDefault="000C0BEB" w:rsidP="000C0BEB">
      <w:pPr>
        <w:pStyle w:val="NormalWeb"/>
      </w:pPr>
      <w:r>
        <w:t xml:space="preserve">Below is a </w:t>
      </w:r>
      <w:r>
        <w:rPr>
          <w:rStyle w:val="Strong"/>
        </w:rPr>
        <w:t>filled-out codebook</w:t>
      </w:r>
      <w:r>
        <w:t xml:space="preserve"> for the United Kingdom (UK), based on the information provided in the conversation. After each code or choice, you will see a brief rationale (</w:t>
      </w:r>
      <w:r>
        <w:rPr>
          <w:rStyle w:val="Strong"/>
        </w:rPr>
        <w:t>in italics</w:t>
      </w:r>
      <w:r>
        <w:t>) explaining why that category was selected.</w:t>
      </w:r>
    </w:p>
    <w:p w14:paraId="73AC65B0" w14:textId="77777777" w:rsidR="000C0BEB" w:rsidRDefault="000C0BEB" w:rsidP="000C0BEB">
      <w:r>
        <w:pict w14:anchorId="31F87358">
          <v:rect id="_x0000_i1053" style="width:0;height:1.5pt" o:hralign="center" o:hrstd="t" o:hr="t" fillcolor="#a0a0a0" stroked="f"/>
        </w:pict>
      </w:r>
    </w:p>
    <w:p w14:paraId="37C60A2C" w14:textId="77777777" w:rsidR="000C0BEB" w:rsidRDefault="000C0BEB" w:rsidP="000C0BEB">
      <w:pPr>
        <w:pStyle w:val="Heading2"/>
      </w:pPr>
      <w:r>
        <w:t>1. Algemene Systeembeschrijving</w:t>
      </w:r>
    </w:p>
    <w:p w14:paraId="43810FED" w14:textId="77777777" w:rsidR="000C0BEB" w:rsidRDefault="000C0BEB" w:rsidP="000C0BEB">
      <w:pPr>
        <w:pStyle w:val="Heading3"/>
      </w:pPr>
      <w:r>
        <w:t>1.1 System Type</w:t>
      </w:r>
    </w:p>
    <w:p w14:paraId="494CDE0D" w14:textId="77777777" w:rsidR="000C0BEB" w:rsidRDefault="000C0BEB" w:rsidP="000C0BEB">
      <w:pPr>
        <w:pStyle w:val="NormalWeb"/>
        <w:numPr>
          <w:ilvl w:val="0"/>
          <w:numId w:val="18"/>
        </w:numPr>
      </w:pPr>
      <w:r>
        <w:rPr>
          <w:rStyle w:val="Strong"/>
        </w:rPr>
        <w:t>Code</w:t>
      </w:r>
      <w:r>
        <w:t>: 2 = Decentralized</w:t>
      </w:r>
      <w:r>
        <w:br/>
      </w:r>
      <w:r>
        <w:rPr>
          <w:rStyle w:val="Emphasis"/>
        </w:rPr>
        <w:t>Rationale: Individual universities and research institutions conduct their own investigations; there is no single national body with investigative or enforcement authority.</w:t>
      </w:r>
    </w:p>
    <w:p w14:paraId="24EF623B" w14:textId="77777777" w:rsidR="000C0BEB" w:rsidRDefault="000C0BEB" w:rsidP="000C0BEB">
      <w:pPr>
        <w:pStyle w:val="NormalWeb"/>
        <w:numPr>
          <w:ilvl w:val="0"/>
          <w:numId w:val="18"/>
        </w:numPr>
      </w:pPr>
      <w:r>
        <w:rPr>
          <w:rStyle w:val="Strong"/>
        </w:rPr>
        <w:t>Short Description</w:t>
      </w:r>
      <w:r>
        <w:t>: “Institutions handle complaints under a national framework, with advisory (not binding) support from national bodies.”</w:t>
      </w:r>
    </w:p>
    <w:p w14:paraId="0E982C2E" w14:textId="77777777" w:rsidR="000C0BEB" w:rsidRDefault="000C0BEB" w:rsidP="000C0BEB">
      <w:r>
        <w:pict w14:anchorId="236DCFFC">
          <v:rect id="_x0000_i1054" style="width:0;height:1.5pt" o:hralign="center" o:hrstd="t" o:hr="t" fillcolor="#a0a0a0" stroked="f"/>
        </w:pict>
      </w:r>
    </w:p>
    <w:p w14:paraId="7EE3A3C5" w14:textId="77777777" w:rsidR="000C0BEB" w:rsidRDefault="000C0BEB" w:rsidP="000C0BEB">
      <w:pPr>
        <w:pStyle w:val="Heading3"/>
      </w:pPr>
      <w:r>
        <w:t>1.2 Overall Basis (Legal/Policy Foundation)</w:t>
      </w:r>
    </w:p>
    <w:p w14:paraId="7E0EAC35" w14:textId="77777777" w:rsidR="000C0BEB" w:rsidRDefault="000C0BEB" w:rsidP="000C0BEB">
      <w:pPr>
        <w:pStyle w:val="NormalWeb"/>
        <w:numPr>
          <w:ilvl w:val="0"/>
          <w:numId w:val="19"/>
        </w:numPr>
      </w:pPr>
      <w:r>
        <w:rPr>
          <w:rStyle w:val="Strong"/>
        </w:rPr>
        <w:t>Code</w:t>
      </w:r>
      <w:r>
        <w:t>: A = Primarily self-regulation</w:t>
      </w:r>
      <w:r>
        <w:br/>
      </w:r>
      <w:r>
        <w:rPr>
          <w:rStyle w:val="Emphasis"/>
        </w:rPr>
        <w:t>Rationale: The UK relies on voluntary or “soft law” instruments (the Concordat, codes from UKRIO). There is no specific statutory scheme for research misconduct.</w:t>
      </w:r>
    </w:p>
    <w:p w14:paraId="13F15FF9" w14:textId="77777777" w:rsidR="000C0BEB" w:rsidRDefault="000C0BEB" w:rsidP="000C0BEB">
      <w:pPr>
        <w:pStyle w:val="NormalWeb"/>
        <w:numPr>
          <w:ilvl w:val="0"/>
          <w:numId w:val="19"/>
        </w:numPr>
      </w:pPr>
      <w:r>
        <w:rPr>
          <w:rStyle w:val="Strong"/>
        </w:rPr>
        <w:t>Additional Descriptor</w:t>
      </w:r>
      <w:r>
        <w:t>: “Concordat or national guidelines with institutional adoption.”</w:t>
      </w:r>
    </w:p>
    <w:p w14:paraId="2DFB8A88" w14:textId="77777777" w:rsidR="000C0BEB" w:rsidRDefault="000C0BEB" w:rsidP="000C0BEB">
      <w:r>
        <w:pict w14:anchorId="46D0C84B">
          <v:rect id="_x0000_i1055" style="width:0;height:1.5pt" o:hralign="center" o:hrstd="t" o:hr="t" fillcolor="#a0a0a0" stroked="f"/>
        </w:pict>
      </w:r>
    </w:p>
    <w:p w14:paraId="25FE4A4A" w14:textId="77777777" w:rsidR="000C0BEB" w:rsidRDefault="000C0BEB" w:rsidP="000C0BEB">
      <w:pPr>
        <w:pStyle w:val="Heading3"/>
      </w:pPr>
      <w:r>
        <w:t>1.3 Core Philosophy / Emphasis</w:t>
      </w:r>
    </w:p>
    <w:p w14:paraId="2774CC48" w14:textId="77777777" w:rsidR="000C0BEB" w:rsidRDefault="000C0BEB" w:rsidP="000C0BEB">
      <w:pPr>
        <w:pStyle w:val="NormalWeb"/>
        <w:numPr>
          <w:ilvl w:val="0"/>
          <w:numId w:val="20"/>
        </w:numPr>
      </w:pPr>
      <w:r>
        <w:rPr>
          <w:rStyle w:val="Strong"/>
        </w:rPr>
        <w:t>Code</w:t>
      </w:r>
      <w:r>
        <w:t>: 1 = Emphasis on self-regulation and trust</w:t>
      </w:r>
      <w:r>
        <w:br/>
      </w:r>
      <w:r>
        <w:rPr>
          <w:rStyle w:val="Emphasis"/>
        </w:rPr>
        <w:t>Rationale: The system rests on institutional autonomy and peer-regulation, with no centralized enforcement body.</w:t>
      </w:r>
    </w:p>
    <w:p w14:paraId="46CDA000" w14:textId="77777777" w:rsidR="000C0BEB" w:rsidRDefault="000C0BEB" w:rsidP="000C0BEB">
      <w:pPr>
        <w:pStyle w:val="NormalWeb"/>
        <w:numPr>
          <w:ilvl w:val="0"/>
          <w:numId w:val="20"/>
        </w:numPr>
      </w:pPr>
      <w:r>
        <w:rPr>
          <w:rStyle w:val="Strong"/>
        </w:rPr>
        <w:t>Short Open Text</w:t>
      </w:r>
      <w:r>
        <w:t>: “Focus on institutional responsibility, peer oversight, and voluntary compliance driven by funders’ requirements.”</w:t>
      </w:r>
    </w:p>
    <w:p w14:paraId="59800288" w14:textId="77777777" w:rsidR="000C0BEB" w:rsidRDefault="000C0BEB" w:rsidP="000C0BEB">
      <w:r>
        <w:pict w14:anchorId="52A0C59A">
          <v:rect id="_x0000_i1056" style="width:0;height:1.5pt" o:hralign="center" o:hrstd="t" o:hr="t" fillcolor="#a0a0a0" stroked="f"/>
        </w:pict>
      </w:r>
    </w:p>
    <w:p w14:paraId="1EEDEFC7" w14:textId="77777777" w:rsidR="000C0BEB" w:rsidRDefault="000C0BEB" w:rsidP="000C0BEB">
      <w:pPr>
        <w:pStyle w:val="Heading2"/>
      </w:pPr>
      <w:r>
        <w:t>2. Historische Ontwikkeling</w:t>
      </w:r>
    </w:p>
    <w:p w14:paraId="29146D00" w14:textId="77777777" w:rsidR="000C0BEB" w:rsidRDefault="000C0BEB" w:rsidP="000C0BEB">
      <w:pPr>
        <w:pStyle w:val="Heading3"/>
      </w:pPr>
      <w:r>
        <w:t>2.1 Key Legislative Years / Reforms</w:t>
      </w:r>
    </w:p>
    <w:p w14:paraId="0FA66C53" w14:textId="77777777" w:rsidR="000C0BEB" w:rsidRDefault="000C0BEB" w:rsidP="000C0BEB">
      <w:pPr>
        <w:pStyle w:val="NormalWeb"/>
        <w:numPr>
          <w:ilvl w:val="0"/>
          <w:numId w:val="21"/>
        </w:numPr>
      </w:pPr>
      <w:r>
        <w:rPr>
          <w:rStyle w:val="Strong"/>
        </w:rPr>
        <w:t>List of major years</w:t>
      </w:r>
      <w:r>
        <w:t>:</w:t>
      </w:r>
    </w:p>
    <w:p w14:paraId="7E965F06" w14:textId="77777777" w:rsidR="000C0BEB" w:rsidRDefault="000C0BEB" w:rsidP="000C0BEB">
      <w:pPr>
        <w:pStyle w:val="NormalWeb"/>
        <w:numPr>
          <w:ilvl w:val="1"/>
          <w:numId w:val="21"/>
        </w:numPr>
      </w:pPr>
      <w:r>
        <w:t>2006 (Founding of UKRIO)</w:t>
      </w:r>
    </w:p>
    <w:p w14:paraId="69C87631" w14:textId="77777777" w:rsidR="000C0BEB" w:rsidRDefault="000C0BEB" w:rsidP="000C0BEB">
      <w:pPr>
        <w:pStyle w:val="NormalWeb"/>
        <w:numPr>
          <w:ilvl w:val="1"/>
          <w:numId w:val="21"/>
        </w:numPr>
      </w:pPr>
      <w:r>
        <w:t>2012 (First Concordat)</w:t>
      </w:r>
    </w:p>
    <w:p w14:paraId="4A6B304F" w14:textId="77777777" w:rsidR="000C0BEB" w:rsidRDefault="000C0BEB" w:rsidP="000C0BEB">
      <w:pPr>
        <w:pStyle w:val="NormalWeb"/>
        <w:numPr>
          <w:ilvl w:val="1"/>
          <w:numId w:val="21"/>
        </w:numPr>
      </w:pPr>
      <w:r>
        <w:t>2019 (Revised Concordat)</w:t>
      </w:r>
    </w:p>
    <w:p w14:paraId="0D291FDE" w14:textId="77777777" w:rsidR="000C0BEB" w:rsidRDefault="000C0BEB" w:rsidP="000C0BEB">
      <w:pPr>
        <w:pStyle w:val="NormalWeb"/>
        <w:numPr>
          <w:ilvl w:val="1"/>
          <w:numId w:val="21"/>
        </w:numPr>
      </w:pPr>
      <w:r>
        <w:t>2022 (UK CORI created)</w:t>
      </w:r>
    </w:p>
    <w:p w14:paraId="7DB840F7" w14:textId="77777777" w:rsidR="000C0BEB" w:rsidRDefault="000C0BEB" w:rsidP="000C0BEB">
      <w:pPr>
        <w:pStyle w:val="NormalWeb"/>
        <w:numPr>
          <w:ilvl w:val="1"/>
          <w:numId w:val="21"/>
        </w:numPr>
      </w:pPr>
      <w:r>
        <w:lastRenderedPageBreak/>
        <w:t>2025 (Most recent Concordat update)</w:t>
      </w:r>
    </w:p>
    <w:p w14:paraId="20A14236" w14:textId="77777777" w:rsidR="000C0BEB" w:rsidRDefault="000C0BEB" w:rsidP="000C0BEB">
      <w:pPr>
        <w:pStyle w:val="NormalWeb"/>
        <w:numPr>
          <w:ilvl w:val="0"/>
          <w:numId w:val="21"/>
        </w:numPr>
      </w:pPr>
      <w:r>
        <w:rPr>
          <w:rStyle w:val="Strong"/>
        </w:rPr>
        <w:t>Coded Option</w:t>
      </w:r>
      <w:r>
        <w:t xml:space="preserve">: </w:t>
      </w:r>
      <w:r>
        <w:rPr>
          <w:rStyle w:val="Strong"/>
        </w:rPr>
        <w:t>Yes</w:t>
      </w:r>
      <w:r>
        <w:t xml:space="preserve"> (Major structural changes in the last 10–15 years)</w:t>
      </w:r>
      <w:r>
        <w:br/>
      </w:r>
      <w:r>
        <w:rPr>
          <w:rStyle w:val="Emphasis"/>
        </w:rPr>
        <w:t>Rationale: Multiple notable developments, including creating UKRIO and UK CORI, plus revising the Concordat.</w:t>
      </w:r>
    </w:p>
    <w:p w14:paraId="6575DC78" w14:textId="77777777" w:rsidR="000C0BEB" w:rsidRDefault="000C0BEB" w:rsidP="000C0BEB">
      <w:r>
        <w:pict w14:anchorId="7CC99569">
          <v:rect id="_x0000_i1057" style="width:0;height:1.5pt" o:hralign="center" o:hrstd="t" o:hr="t" fillcolor="#a0a0a0" stroked="f"/>
        </w:pict>
      </w:r>
    </w:p>
    <w:p w14:paraId="7597D30A" w14:textId="77777777" w:rsidR="000C0BEB" w:rsidRDefault="000C0BEB" w:rsidP="000C0BEB">
      <w:pPr>
        <w:pStyle w:val="Heading3"/>
      </w:pPr>
      <w:r>
        <w:t>2.2 Major Incidents / Drivers</w:t>
      </w:r>
    </w:p>
    <w:p w14:paraId="5C88129A" w14:textId="77777777" w:rsidR="000C0BEB" w:rsidRDefault="000C0BEB" w:rsidP="000C0BEB">
      <w:pPr>
        <w:pStyle w:val="NormalWeb"/>
        <w:numPr>
          <w:ilvl w:val="0"/>
          <w:numId w:val="22"/>
        </w:numPr>
      </w:pPr>
      <w:r>
        <w:rPr>
          <w:rStyle w:val="Strong"/>
        </w:rPr>
        <w:t>Selected Categories</w:t>
      </w:r>
      <w:r>
        <w:t>: 2 (International/EU pressure), 3 (Political controversies or public outcry)</w:t>
      </w:r>
      <w:r>
        <w:br/>
      </w:r>
      <w:r>
        <w:rPr>
          <w:rStyle w:val="Emphasis"/>
        </w:rPr>
        <w:t>Rationale: The UK system aligns with international standards (e.g., ALLEA) and there have been parliamentary inquiries leading to recommendations for a new committee (UK CORI). Although these inquiries were not necessarily due to a single “scandal,” parliamentary pressure and alignment with EU/international norms were key drivers.</w:t>
      </w:r>
    </w:p>
    <w:p w14:paraId="6B3E9468" w14:textId="77777777" w:rsidR="000C0BEB" w:rsidRDefault="000C0BEB" w:rsidP="000C0BEB">
      <w:pPr>
        <w:pStyle w:val="NormalWeb"/>
        <w:numPr>
          <w:ilvl w:val="0"/>
          <w:numId w:val="22"/>
        </w:numPr>
      </w:pPr>
      <w:r>
        <w:rPr>
          <w:rStyle w:val="Strong"/>
        </w:rPr>
        <w:t>Description</w:t>
      </w:r>
      <w:r>
        <w:t>: “Sector-wide discussions, alignment with ALLEA Code, and parliamentary inquiries (e.g., Science and Technology Committee) spurred reforms.”</w:t>
      </w:r>
    </w:p>
    <w:p w14:paraId="5AD03A4A" w14:textId="77777777" w:rsidR="000C0BEB" w:rsidRDefault="000C0BEB" w:rsidP="000C0BEB">
      <w:r>
        <w:pict w14:anchorId="5C75CFA2">
          <v:rect id="_x0000_i1058" style="width:0;height:1.5pt" o:hralign="center" o:hrstd="t" o:hr="t" fillcolor="#a0a0a0" stroked="f"/>
        </w:pict>
      </w:r>
    </w:p>
    <w:p w14:paraId="015900ED" w14:textId="77777777" w:rsidR="000C0BEB" w:rsidRDefault="000C0BEB" w:rsidP="000C0BEB">
      <w:pPr>
        <w:pStyle w:val="Heading2"/>
      </w:pPr>
      <w:r>
        <w:t>3. Betrokken Instellingen en Organen</w:t>
      </w:r>
    </w:p>
    <w:p w14:paraId="4E8547FB" w14:textId="77777777" w:rsidR="000C0BEB" w:rsidRDefault="000C0BEB" w:rsidP="000C0BEB">
      <w:pPr>
        <w:pStyle w:val="Heading3"/>
      </w:pPr>
      <w:r>
        <w:t>3.1 Nationaal Niveau</w:t>
      </w:r>
    </w:p>
    <w:p w14:paraId="6A2757C0" w14:textId="77777777" w:rsidR="000C0BEB" w:rsidRDefault="000C0BEB" w:rsidP="000C0BEB">
      <w:pPr>
        <w:pStyle w:val="Heading4"/>
      </w:pPr>
      <w:r>
        <w:t>3.1.1 National Body Exists?</w:t>
      </w:r>
    </w:p>
    <w:p w14:paraId="025E57D1" w14:textId="77777777" w:rsidR="000C0BEB" w:rsidRDefault="000C0BEB" w:rsidP="000C0BEB">
      <w:pPr>
        <w:pStyle w:val="NormalWeb"/>
        <w:numPr>
          <w:ilvl w:val="0"/>
          <w:numId w:val="23"/>
        </w:numPr>
      </w:pPr>
      <w:r>
        <w:rPr>
          <w:rStyle w:val="Strong"/>
        </w:rPr>
        <w:t>Code</w:t>
      </w:r>
      <w:r>
        <w:t>: 2 = Advisory-only body</w:t>
      </w:r>
      <w:r>
        <w:br/>
      </w:r>
      <w:r>
        <w:rPr>
          <w:rStyle w:val="Emphasis"/>
        </w:rPr>
        <w:t>Rationale: The main national bodies (UKRIO, UK CORI) do not have investigatory or sanctioning powers; they provide guidance and coordination.</w:t>
      </w:r>
    </w:p>
    <w:p w14:paraId="785B9216" w14:textId="77777777" w:rsidR="000C0BEB" w:rsidRDefault="000C0BEB" w:rsidP="000C0BEB">
      <w:pPr>
        <w:pStyle w:val="Heading4"/>
      </w:pPr>
      <w:r>
        <w:t>3.1.2 National Body Mandate</w:t>
      </w:r>
    </w:p>
    <w:p w14:paraId="6C0059CB" w14:textId="77777777" w:rsidR="000C0BEB" w:rsidRDefault="000C0BEB" w:rsidP="000C0BEB">
      <w:pPr>
        <w:pStyle w:val="NormalWeb"/>
        <w:numPr>
          <w:ilvl w:val="0"/>
          <w:numId w:val="24"/>
        </w:numPr>
      </w:pPr>
      <w:r>
        <w:rPr>
          <w:rStyle w:val="Strong"/>
        </w:rPr>
        <w:t>Multi-select</w:t>
      </w:r>
      <w:r>
        <w:t>:</w:t>
      </w:r>
    </w:p>
    <w:p w14:paraId="64819EA1" w14:textId="77777777" w:rsidR="000C0BEB" w:rsidRDefault="000C0BEB" w:rsidP="000C0BEB">
      <w:pPr>
        <w:pStyle w:val="NormalWeb"/>
        <w:numPr>
          <w:ilvl w:val="1"/>
          <w:numId w:val="24"/>
        </w:numPr>
      </w:pPr>
      <w:r>
        <w:t>Advisory (guidelines, training)</w:t>
      </w:r>
    </w:p>
    <w:p w14:paraId="5BAF7741" w14:textId="77777777" w:rsidR="000C0BEB" w:rsidRDefault="000C0BEB" w:rsidP="000C0BEB">
      <w:pPr>
        <w:pStyle w:val="NormalWeb"/>
        <w:numPr>
          <w:ilvl w:val="1"/>
          <w:numId w:val="24"/>
        </w:numPr>
      </w:pPr>
      <w:r>
        <w:t>Coordinating (liaison, policy harmonization)</w:t>
      </w:r>
    </w:p>
    <w:p w14:paraId="757EE09C" w14:textId="77777777" w:rsidR="000C0BEB" w:rsidRDefault="000C0BEB" w:rsidP="000C0BEB">
      <w:pPr>
        <w:pStyle w:val="NormalWeb"/>
        <w:ind w:left="720"/>
      </w:pPr>
      <w:r>
        <w:rPr>
          <w:rStyle w:val="Emphasis"/>
        </w:rPr>
        <w:t>Rationale: UKRIO issues best practices and UK CORI promotes coordination and publishes reports. Neither can impose binding decisions.</w:t>
      </w:r>
    </w:p>
    <w:p w14:paraId="1F7BC55F" w14:textId="77777777" w:rsidR="000C0BEB" w:rsidRDefault="000C0BEB" w:rsidP="000C0BEB">
      <w:pPr>
        <w:pStyle w:val="Heading4"/>
      </w:pPr>
      <w:r>
        <w:t>3.1.3 Independence</w:t>
      </w:r>
    </w:p>
    <w:p w14:paraId="6A4F9B5C" w14:textId="77777777" w:rsidR="000C0BEB" w:rsidRDefault="000C0BEB" w:rsidP="000C0BEB">
      <w:pPr>
        <w:pStyle w:val="NormalWeb"/>
        <w:numPr>
          <w:ilvl w:val="0"/>
          <w:numId w:val="25"/>
        </w:numPr>
      </w:pPr>
      <w:r>
        <w:rPr>
          <w:rStyle w:val="Strong"/>
        </w:rPr>
        <w:t>Code</w:t>
      </w:r>
      <w:r>
        <w:t>: Moderate</w:t>
      </w:r>
      <w:r>
        <w:br/>
      </w:r>
      <w:r>
        <w:rPr>
          <w:rStyle w:val="Emphasis"/>
        </w:rPr>
        <w:t>Rationale: UKRIO is an independent charity, but UK CORI is funded by UKRI (government-related). Overall, there is some autonomy from direct governmental control, but also public funding links.</w:t>
      </w:r>
    </w:p>
    <w:p w14:paraId="0B080E10" w14:textId="77777777" w:rsidR="000C0BEB" w:rsidRDefault="000C0BEB" w:rsidP="000C0BEB">
      <w:r>
        <w:pict w14:anchorId="2EAB68AC">
          <v:rect id="_x0000_i1059" style="width:0;height:1.5pt" o:hralign="center" o:hrstd="t" o:hr="t" fillcolor="#a0a0a0" stroked="f"/>
        </w:pict>
      </w:r>
    </w:p>
    <w:p w14:paraId="4F103608" w14:textId="77777777" w:rsidR="000C0BEB" w:rsidRDefault="000C0BEB" w:rsidP="000C0BEB">
      <w:pPr>
        <w:pStyle w:val="Heading3"/>
      </w:pPr>
      <w:r>
        <w:lastRenderedPageBreak/>
        <w:t>3.2 Institutioneel Niveau (Universities, Research Institutes)</w:t>
      </w:r>
    </w:p>
    <w:p w14:paraId="3BF5AFEA" w14:textId="77777777" w:rsidR="000C0BEB" w:rsidRDefault="000C0BEB" w:rsidP="000C0BEB">
      <w:pPr>
        <w:pStyle w:val="Heading4"/>
      </w:pPr>
      <w:r>
        <w:t>3.2.1 Required Internal Bodies?</w:t>
      </w:r>
    </w:p>
    <w:p w14:paraId="5B6A8A22" w14:textId="77777777" w:rsidR="000C0BEB" w:rsidRDefault="000C0BEB" w:rsidP="000C0BEB">
      <w:pPr>
        <w:pStyle w:val="NormalWeb"/>
        <w:numPr>
          <w:ilvl w:val="0"/>
          <w:numId w:val="26"/>
        </w:numPr>
      </w:pPr>
      <w:r>
        <w:rPr>
          <w:rStyle w:val="Strong"/>
        </w:rPr>
        <w:t>Code</w:t>
      </w:r>
      <w:r>
        <w:t>: 2 = Partially or voluntarily mandated (recommended but not strictly required by law)</w:t>
      </w:r>
      <w:r>
        <w:br/>
      </w:r>
      <w:r>
        <w:rPr>
          <w:rStyle w:val="Emphasis"/>
        </w:rPr>
        <w:t>Rationale: Institutions must have procedures to comply with the Concordat and funders’ conditions, but it is not a statutory/legal mandate in the strict sense.</w:t>
      </w:r>
    </w:p>
    <w:p w14:paraId="21422A4C" w14:textId="77777777" w:rsidR="000C0BEB" w:rsidRDefault="000C0BEB" w:rsidP="000C0BEB">
      <w:pPr>
        <w:pStyle w:val="Heading4"/>
      </w:pPr>
      <w:r>
        <w:t>3.2.2 Typical Names / Structures</w:t>
      </w:r>
    </w:p>
    <w:p w14:paraId="025D6753" w14:textId="77777777" w:rsidR="000C0BEB" w:rsidRDefault="000C0BEB" w:rsidP="000C0BEB">
      <w:pPr>
        <w:pStyle w:val="NormalWeb"/>
        <w:numPr>
          <w:ilvl w:val="0"/>
          <w:numId w:val="27"/>
        </w:numPr>
      </w:pPr>
      <w:r>
        <w:rPr>
          <w:rStyle w:val="Strong"/>
        </w:rPr>
        <w:t>Open Text</w:t>
      </w:r>
      <w:r>
        <w:t>: “Named Person / Research Integrity Officer (RIO), ad-hoc Misconduct Investigation Committee, Ethics Committees.”</w:t>
      </w:r>
    </w:p>
    <w:p w14:paraId="54519A17" w14:textId="77777777" w:rsidR="000C0BEB" w:rsidRDefault="000C0BEB" w:rsidP="000C0BEB">
      <w:pPr>
        <w:pStyle w:val="Heading4"/>
      </w:pPr>
      <w:r>
        <w:t>3.2.3 Powers &amp; Role</w:t>
      </w:r>
    </w:p>
    <w:p w14:paraId="59915460" w14:textId="77777777" w:rsidR="000C0BEB" w:rsidRDefault="000C0BEB" w:rsidP="000C0BEB">
      <w:pPr>
        <w:pStyle w:val="NormalWeb"/>
        <w:numPr>
          <w:ilvl w:val="0"/>
          <w:numId w:val="28"/>
        </w:numPr>
      </w:pPr>
      <w:r>
        <w:rPr>
          <w:rStyle w:val="Strong"/>
        </w:rPr>
        <w:t>Multi-select</w:t>
      </w:r>
      <w:r>
        <w:t>:</w:t>
      </w:r>
    </w:p>
    <w:p w14:paraId="375EC68F" w14:textId="77777777" w:rsidR="000C0BEB" w:rsidRDefault="000C0BEB" w:rsidP="000C0BEB">
      <w:pPr>
        <w:pStyle w:val="NormalWeb"/>
        <w:numPr>
          <w:ilvl w:val="1"/>
          <w:numId w:val="28"/>
        </w:numPr>
      </w:pPr>
      <w:r>
        <w:t>Receives complaints</w:t>
      </w:r>
    </w:p>
    <w:p w14:paraId="49F43411" w14:textId="77777777" w:rsidR="000C0BEB" w:rsidRDefault="000C0BEB" w:rsidP="000C0BEB">
      <w:pPr>
        <w:pStyle w:val="NormalWeb"/>
        <w:numPr>
          <w:ilvl w:val="1"/>
          <w:numId w:val="28"/>
        </w:numPr>
      </w:pPr>
      <w:r>
        <w:t>Conducts the full investigation</w:t>
      </w:r>
    </w:p>
    <w:p w14:paraId="387E3B08" w14:textId="77777777" w:rsidR="000C0BEB" w:rsidRDefault="000C0BEB" w:rsidP="000C0BEB">
      <w:pPr>
        <w:pStyle w:val="NormalWeb"/>
        <w:numPr>
          <w:ilvl w:val="1"/>
          <w:numId w:val="28"/>
        </w:numPr>
      </w:pPr>
      <w:r>
        <w:t>Recommends sanctions</w:t>
      </w:r>
    </w:p>
    <w:p w14:paraId="5DAB66FD" w14:textId="77777777" w:rsidR="000C0BEB" w:rsidRDefault="000C0BEB" w:rsidP="000C0BEB">
      <w:pPr>
        <w:pStyle w:val="NormalWeb"/>
        <w:ind w:left="720"/>
      </w:pPr>
      <w:r>
        <w:rPr>
          <w:rStyle w:val="Emphasis"/>
        </w:rPr>
        <w:t>Rationale: The institution’s internal committees handle the entire investigation process, then typically recommend sanctions to senior leadership.</w:t>
      </w:r>
    </w:p>
    <w:p w14:paraId="139AE3E3" w14:textId="77777777" w:rsidR="000C0BEB" w:rsidRDefault="000C0BEB" w:rsidP="000C0BEB">
      <w:pPr>
        <w:pStyle w:val="Heading4"/>
      </w:pPr>
      <w:r>
        <w:t>3.2.4 Institutional Leadership Role</w:t>
      </w:r>
    </w:p>
    <w:p w14:paraId="38252520" w14:textId="77777777" w:rsidR="000C0BEB" w:rsidRDefault="000C0BEB" w:rsidP="000C0BEB">
      <w:pPr>
        <w:pStyle w:val="NormalWeb"/>
        <w:numPr>
          <w:ilvl w:val="0"/>
          <w:numId w:val="29"/>
        </w:numPr>
      </w:pPr>
      <w:r>
        <w:rPr>
          <w:rStyle w:val="Strong"/>
        </w:rPr>
        <w:t>Possible Category</w:t>
      </w:r>
      <w:r>
        <w:t>: “Rector/President imposes final sanction.”</w:t>
      </w:r>
      <w:r>
        <w:br/>
      </w:r>
      <w:r>
        <w:rPr>
          <w:rStyle w:val="Emphasis"/>
        </w:rPr>
        <w:t>Rationale: Ultimately, top-level institutional authorities (e.g., Vice-Chancellor) decide on disciplinary outcomes.</w:t>
      </w:r>
    </w:p>
    <w:p w14:paraId="040E162B" w14:textId="77777777" w:rsidR="000C0BEB" w:rsidRDefault="000C0BEB" w:rsidP="000C0BEB">
      <w:r>
        <w:pict w14:anchorId="00DB5AC4">
          <v:rect id="_x0000_i1060" style="width:0;height:1.5pt" o:hralign="center" o:hrstd="t" o:hr="t" fillcolor="#a0a0a0" stroked="f"/>
        </w:pict>
      </w:r>
    </w:p>
    <w:p w14:paraId="2B75256C" w14:textId="77777777" w:rsidR="000C0BEB" w:rsidRDefault="000C0BEB" w:rsidP="000C0BEB">
      <w:pPr>
        <w:pStyle w:val="Heading3"/>
      </w:pPr>
      <w:r>
        <w:t>3.3 Financieringsorganisaties (Funding Agencies)</w:t>
      </w:r>
    </w:p>
    <w:p w14:paraId="482963BF" w14:textId="77777777" w:rsidR="000C0BEB" w:rsidRDefault="000C0BEB" w:rsidP="000C0BEB">
      <w:pPr>
        <w:pStyle w:val="Heading4"/>
      </w:pPr>
      <w:r>
        <w:t>3.3.1 Major Funders Named?</w:t>
      </w:r>
    </w:p>
    <w:p w14:paraId="76E4631C" w14:textId="77777777" w:rsidR="000C0BEB" w:rsidRDefault="000C0BEB" w:rsidP="000C0BEB">
      <w:pPr>
        <w:pStyle w:val="NormalWeb"/>
        <w:numPr>
          <w:ilvl w:val="0"/>
          <w:numId w:val="30"/>
        </w:numPr>
      </w:pPr>
      <w:r>
        <w:rPr>
          <w:rStyle w:val="Strong"/>
        </w:rPr>
        <w:t>Open Text</w:t>
      </w:r>
      <w:r>
        <w:t>: “UKRI (including Research England), Scottish Funding Council (SFC), HEFCW, Department for the Economy NI, Wellcome Trust.”</w:t>
      </w:r>
    </w:p>
    <w:p w14:paraId="32BB2960" w14:textId="77777777" w:rsidR="000C0BEB" w:rsidRDefault="000C0BEB" w:rsidP="000C0BEB">
      <w:pPr>
        <w:pStyle w:val="Heading4"/>
      </w:pPr>
      <w:r>
        <w:t>3.3.2 Funders’ Role</w:t>
      </w:r>
    </w:p>
    <w:p w14:paraId="512F199F" w14:textId="77777777" w:rsidR="000C0BEB" w:rsidRDefault="000C0BEB" w:rsidP="000C0BEB">
      <w:pPr>
        <w:pStyle w:val="NormalWeb"/>
        <w:numPr>
          <w:ilvl w:val="0"/>
          <w:numId w:val="31"/>
        </w:numPr>
      </w:pPr>
      <w:r>
        <w:rPr>
          <w:rStyle w:val="Strong"/>
        </w:rPr>
        <w:t>Code</w:t>
      </w:r>
      <w:r>
        <w:t>: 3 = Conducts own misconduct investigations or can impose funding sanctions</w:t>
      </w:r>
      <w:r>
        <w:br/>
      </w:r>
      <w:r>
        <w:rPr>
          <w:rStyle w:val="Emphasis"/>
        </w:rPr>
        <w:t xml:space="preserve">Rationale: While funders rarely investigate misconduct directly, they </w:t>
      </w:r>
      <w:r>
        <w:rPr>
          <w:rStyle w:val="Strong"/>
          <w:i/>
          <w:iCs/>
        </w:rPr>
        <w:t>do</w:t>
      </w:r>
      <w:r>
        <w:rPr>
          <w:rStyle w:val="Emphasis"/>
        </w:rPr>
        <w:t xml:space="preserve"> have the power to impose sanctions—such as withdrawing or withholding funds—if institutions fail to comply with integrity standards. (This fits the definition of ‘3’ since the code lumps ‘impose funding sanctions’ with ‘may conduct own investigations.’)</w:t>
      </w:r>
    </w:p>
    <w:p w14:paraId="16F6C91F" w14:textId="77777777" w:rsidR="000C0BEB" w:rsidRDefault="000C0BEB" w:rsidP="000C0BEB">
      <w:r>
        <w:pict w14:anchorId="7A35C13B">
          <v:rect id="_x0000_i1061" style="width:0;height:1.5pt" o:hralign="center" o:hrstd="t" o:hr="t" fillcolor="#a0a0a0" stroked="f"/>
        </w:pict>
      </w:r>
    </w:p>
    <w:p w14:paraId="148E745E" w14:textId="77777777" w:rsidR="000C0BEB" w:rsidRDefault="000C0BEB" w:rsidP="000C0BEB">
      <w:pPr>
        <w:pStyle w:val="Heading3"/>
      </w:pPr>
      <w:r>
        <w:lastRenderedPageBreak/>
        <w:t>3.4 Andere Relevante Organen</w:t>
      </w:r>
    </w:p>
    <w:p w14:paraId="38130647" w14:textId="77777777" w:rsidR="000C0BEB" w:rsidRDefault="000C0BEB" w:rsidP="000C0BEB">
      <w:pPr>
        <w:pStyle w:val="NormalWeb"/>
        <w:numPr>
          <w:ilvl w:val="0"/>
          <w:numId w:val="32"/>
        </w:numPr>
      </w:pPr>
      <w:r>
        <w:rPr>
          <w:rStyle w:val="Strong"/>
        </w:rPr>
        <w:t>Open Text</w:t>
      </w:r>
      <w:r>
        <w:t>:</w:t>
      </w:r>
    </w:p>
    <w:p w14:paraId="4CE49A40" w14:textId="77777777" w:rsidR="000C0BEB" w:rsidRDefault="000C0BEB" w:rsidP="000C0BEB">
      <w:pPr>
        <w:pStyle w:val="NormalWeb"/>
        <w:numPr>
          <w:ilvl w:val="1"/>
          <w:numId w:val="32"/>
        </w:numPr>
      </w:pPr>
      <w:r>
        <w:t>Parliamentary committees (Science and Technology Committee)</w:t>
      </w:r>
    </w:p>
    <w:p w14:paraId="78FE5586" w14:textId="77777777" w:rsidR="000C0BEB" w:rsidRDefault="000C0BEB" w:rsidP="000C0BEB">
      <w:pPr>
        <w:pStyle w:val="NormalWeb"/>
        <w:numPr>
          <w:ilvl w:val="1"/>
          <w:numId w:val="32"/>
        </w:numPr>
      </w:pPr>
      <w:r>
        <w:t>Committee on Publication Ethics (COPE)</w:t>
      </w:r>
    </w:p>
    <w:p w14:paraId="5023F26F" w14:textId="77777777" w:rsidR="000C0BEB" w:rsidRDefault="000C0BEB" w:rsidP="000C0BEB">
      <w:pPr>
        <w:pStyle w:val="NormalWeb"/>
        <w:numPr>
          <w:ilvl w:val="1"/>
          <w:numId w:val="32"/>
        </w:numPr>
      </w:pPr>
      <w:r>
        <w:t>Specialist networks (e.g., Scottish Research Integrity Network, UK Reproducibility Network)</w:t>
      </w:r>
    </w:p>
    <w:p w14:paraId="0E1876CD" w14:textId="77777777" w:rsidR="000C0BEB" w:rsidRDefault="000C0BEB" w:rsidP="000C0BEB">
      <w:pPr>
        <w:pStyle w:val="NormalWeb"/>
        <w:ind w:left="720"/>
      </w:pPr>
      <w:r>
        <w:rPr>
          <w:rStyle w:val="Emphasis"/>
        </w:rPr>
        <w:t>Rationale: These bodies shape policy discussions, publication ethics, and informal collaboration.</w:t>
      </w:r>
    </w:p>
    <w:p w14:paraId="5B924E38" w14:textId="77777777" w:rsidR="000C0BEB" w:rsidRDefault="000C0BEB" w:rsidP="000C0BEB">
      <w:r>
        <w:pict w14:anchorId="7B42DED4">
          <v:rect id="_x0000_i1062" style="width:0;height:1.5pt" o:hralign="center" o:hrstd="t" o:hr="t" fillcolor="#a0a0a0" stroked="f"/>
        </w:pict>
      </w:r>
    </w:p>
    <w:p w14:paraId="16CF9995" w14:textId="77777777" w:rsidR="000C0BEB" w:rsidRDefault="000C0BEB" w:rsidP="000C0BEB">
      <w:pPr>
        <w:pStyle w:val="Heading2"/>
      </w:pPr>
      <w:r>
        <w:t>4. Wettelijk en Beleidskader</w:t>
      </w:r>
    </w:p>
    <w:p w14:paraId="35439770" w14:textId="77777777" w:rsidR="000C0BEB" w:rsidRDefault="000C0BEB" w:rsidP="000C0BEB">
      <w:pPr>
        <w:pStyle w:val="Heading3"/>
      </w:pPr>
      <w:r>
        <w:t>4.1 Specific Legislation</w:t>
      </w:r>
    </w:p>
    <w:p w14:paraId="7D1560E7" w14:textId="77777777" w:rsidR="000C0BEB" w:rsidRDefault="000C0BEB" w:rsidP="000C0BEB">
      <w:pPr>
        <w:pStyle w:val="NormalWeb"/>
        <w:numPr>
          <w:ilvl w:val="0"/>
          <w:numId w:val="33"/>
        </w:numPr>
      </w:pPr>
      <w:r>
        <w:rPr>
          <w:rStyle w:val="Strong"/>
        </w:rPr>
        <w:t>Code</w:t>
      </w:r>
      <w:r>
        <w:t>: 1 = No single “research misconduct” law</w:t>
      </w:r>
      <w:r>
        <w:br/>
      </w:r>
      <w:r>
        <w:rPr>
          <w:rStyle w:val="Emphasis"/>
        </w:rPr>
        <w:t>Rationale: The UK does not have a dedicated law criminalizing or defining research misconduct at a national level; it relies on general laws (fraud, labor law) and institutional policies.</w:t>
      </w:r>
    </w:p>
    <w:p w14:paraId="3833671E" w14:textId="77777777" w:rsidR="000C0BEB" w:rsidRDefault="000C0BEB" w:rsidP="000C0BEB">
      <w:r>
        <w:pict w14:anchorId="4F6B740F">
          <v:rect id="_x0000_i1063" style="width:0;height:1.5pt" o:hralign="center" o:hrstd="t" o:hr="t" fillcolor="#a0a0a0" stroked="f"/>
        </w:pict>
      </w:r>
    </w:p>
    <w:p w14:paraId="2707C4A3" w14:textId="77777777" w:rsidR="000C0BEB" w:rsidRDefault="000C0BEB" w:rsidP="000C0BEB">
      <w:pPr>
        <w:pStyle w:val="Heading3"/>
      </w:pPr>
      <w:r>
        <w:t>4.2 Existence of National Codes or Guidelines</w:t>
      </w:r>
    </w:p>
    <w:p w14:paraId="700F79C7" w14:textId="77777777" w:rsidR="000C0BEB" w:rsidRDefault="000C0BEB" w:rsidP="000C0BEB">
      <w:pPr>
        <w:pStyle w:val="NormalWeb"/>
        <w:numPr>
          <w:ilvl w:val="0"/>
          <w:numId w:val="34"/>
        </w:numPr>
      </w:pPr>
      <w:r>
        <w:rPr>
          <w:rStyle w:val="Strong"/>
        </w:rPr>
        <w:t>Code</w:t>
      </w:r>
      <w:r>
        <w:t>: 2 = Voluntary or “soft law” code, widely recognized</w:t>
      </w:r>
      <w:r>
        <w:br/>
      </w:r>
      <w:r>
        <w:rPr>
          <w:rStyle w:val="Emphasis"/>
        </w:rPr>
        <w:t>Rationale: The Concordat is not mandated by statute but is effectively required by funders. Hence, it is “voluntary” but strongly incentivized.</w:t>
      </w:r>
    </w:p>
    <w:p w14:paraId="1CBFBBF5" w14:textId="77777777" w:rsidR="000C0BEB" w:rsidRDefault="000C0BEB" w:rsidP="000C0BEB">
      <w:pPr>
        <w:pStyle w:val="NormalWeb"/>
        <w:numPr>
          <w:ilvl w:val="0"/>
          <w:numId w:val="34"/>
        </w:numPr>
      </w:pPr>
      <w:r>
        <w:rPr>
          <w:rStyle w:val="Strong"/>
        </w:rPr>
        <w:t>Name</w:t>
      </w:r>
      <w:r>
        <w:t>: “Concordat to Support Research Integrity (various iterations: 2012, 2019, 2025).”</w:t>
      </w:r>
    </w:p>
    <w:p w14:paraId="029A78CE" w14:textId="77777777" w:rsidR="000C0BEB" w:rsidRDefault="000C0BEB" w:rsidP="000C0BEB">
      <w:r>
        <w:pict w14:anchorId="685045D4">
          <v:rect id="_x0000_i1064" style="width:0;height:1.5pt" o:hralign="center" o:hrstd="t" o:hr="t" fillcolor="#a0a0a0" stroked="f"/>
        </w:pict>
      </w:r>
    </w:p>
    <w:p w14:paraId="7B191F4B" w14:textId="77777777" w:rsidR="000C0BEB" w:rsidRDefault="000C0BEB" w:rsidP="000C0BEB">
      <w:pPr>
        <w:pStyle w:val="Heading3"/>
      </w:pPr>
      <w:r>
        <w:t>4.3 Reference to ALLEA or Other International Codes</w:t>
      </w:r>
    </w:p>
    <w:p w14:paraId="0DD283C0" w14:textId="77777777" w:rsidR="000C0BEB" w:rsidRDefault="000C0BEB" w:rsidP="000C0BEB">
      <w:pPr>
        <w:pStyle w:val="NormalWeb"/>
        <w:numPr>
          <w:ilvl w:val="0"/>
          <w:numId w:val="35"/>
        </w:numPr>
      </w:pPr>
      <w:r>
        <w:rPr>
          <w:rStyle w:val="Strong"/>
        </w:rPr>
        <w:t>Code</w:t>
      </w:r>
      <w:r>
        <w:t>: 1 = Referenced in national documents/guidelines</w:t>
      </w:r>
      <w:r>
        <w:br/>
      </w:r>
      <w:r>
        <w:rPr>
          <w:rStyle w:val="Emphasis"/>
        </w:rPr>
        <w:t>Rationale: The Concordat explicitly mentions alignment with ALLEA and the Singapore Statement.</w:t>
      </w:r>
    </w:p>
    <w:p w14:paraId="60151EC3" w14:textId="77777777" w:rsidR="000C0BEB" w:rsidRDefault="000C0BEB" w:rsidP="000C0BEB">
      <w:r>
        <w:pict w14:anchorId="6A93C2CF">
          <v:rect id="_x0000_i1065" style="width:0;height:1.5pt" o:hralign="center" o:hrstd="t" o:hr="t" fillcolor="#a0a0a0" stroked="f"/>
        </w:pict>
      </w:r>
    </w:p>
    <w:p w14:paraId="2549F9A8" w14:textId="77777777" w:rsidR="000C0BEB" w:rsidRDefault="000C0BEB" w:rsidP="000C0BEB">
      <w:pPr>
        <w:pStyle w:val="Heading3"/>
      </w:pPr>
      <w:r>
        <w:t>4.4 Institution-Specific Rules</w:t>
      </w:r>
    </w:p>
    <w:p w14:paraId="21FB5B34" w14:textId="77777777" w:rsidR="000C0BEB" w:rsidRDefault="000C0BEB" w:rsidP="000C0BEB">
      <w:pPr>
        <w:pStyle w:val="NormalWeb"/>
        <w:numPr>
          <w:ilvl w:val="0"/>
          <w:numId w:val="36"/>
        </w:numPr>
      </w:pPr>
      <w:r>
        <w:rPr>
          <w:rStyle w:val="Strong"/>
        </w:rPr>
        <w:t>Open Text</w:t>
      </w:r>
      <w:r>
        <w:t>: “Voluntary adoption in line with the Concordat, which funders require. Not mandated by statutory law, but functionally widespread compliance.”</w:t>
      </w:r>
    </w:p>
    <w:p w14:paraId="42E6A412" w14:textId="77777777" w:rsidR="000C0BEB" w:rsidRDefault="000C0BEB" w:rsidP="000C0BEB">
      <w:r>
        <w:pict w14:anchorId="41A57583">
          <v:rect id="_x0000_i1066" style="width:0;height:1.5pt" o:hralign="center" o:hrstd="t" o:hr="t" fillcolor="#a0a0a0" stroked="f"/>
        </w:pict>
      </w:r>
    </w:p>
    <w:p w14:paraId="253119A3" w14:textId="77777777" w:rsidR="000C0BEB" w:rsidRDefault="000C0BEB" w:rsidP="000C0BEB">
      <w:pPr>
        <w:pStyle w:val="Heading3"/>
      </w:pPr>
      <w:r>
        <w:lastRenderedPageBreak/>
        <w:t>4.5 Other Relevant General Laws</w:t>
      </w:r>
    </w:p>
    <w:p w14:paraId="67B1468C" w14:textId="77777777" w:rsidR="000C0BEB" w:rsidRDefault="000C0BEB" w:rsidP="000C0BEB">
      <w:pPr>
        <w:pStyle w:val="NormalWeb"/>
        <w:numPr>
          <w:ilvl w:val="0"/>
          <w:numId w:val="37"/>
        </w:numPr>
      </w:pPr>
      <w:r>
        <w:rPr>
          <w:rStyle w:val="Strong"/>
        </w:rPr>
        <w:t>Open Text</w:t>
      </w:r>
      <w:r>
        <w:t>: “Public Interest Disclosure Act (whistleblower protection), labor law, common law (fraud, forgery).”</w:t>
      </w:r>
    </w:p>
    <w:p w14:paraId="16EC5BE1" w14:textId="77777777" w:rsidR="000C0BEB" w:rsidRDefault="000C0BEB" w:rsidP="000C0BEB">
      <w:r>
        <w:pict w14:anchorId="0399F52A">
          <v:rect id="_x0000_i1067" style="width:0;height:1.5pt" o:hralign="center" o:hrstd="t" o:hr="t" fillcolor="#a0a0a0" stroked="f"/>
        </w:pict>
      </w:r>
    </w:p>
    <w:p w14:paraId="048D7340" w14:textId="77777777" w:rsidR="000C0BEB" w:rsidRDefault="000C0BEB" w:rsidP="000C0BEB">
      <w:pPr>
        <w:pStyle w:val="Heading2"/>
      </w:pPr>
      <w:r>
        <w:t>5. Definities</w:t>
      </w:r>
    </w:p>
    <w:p w14:paraId="418B0DAE" w14:textId="77777777" w:rsidR="000C0BEB" w:rsidRDefault="000C0BEB" w:rsidP="000C0BEB">
      <w:pPr>
        <w:pStyle w:val="Heading3"/>
      </w:pPr>
      <w:r>
        <w:t>5.1 Official Definition of “Misconduct”?</w:t>
      </w:r>
    </w:p>
    <w:p w14:paraId="0E98A53B" w14:textId="77777777" w:rsidR="000C0BEB" w:rsidRDefault="000C0BEB" w:rsidP="000C0BEB">
      <w:pPr>
        <w:pStyle w:val="NormalWeb"/>
        <w:numPr>
          <w:ilvl w:val="0"/>
          <w:numId w:val="38"/>
        </w:numPr>
      </w:pPr>
      <w:r>
        <w:rPr>
          <w:rStyle w:val="Strong"/>
        </w:rPr>
        <w:t>Code</w:t>
      </w:r>
      <w:r>
        <w:t>: 2 = Detailed definition (includes FFP plus broader questionable practices)</w:t>
      </w:r>
      <w:r>
        <w:br/>
      </w:r>
      <w:r>
        <w:rPr>
          <w:rStyle w:val="Emphasis"/>
        </w:rPr>
        <w:t>Rationale: The Concordat and UKRIO codes define misconduct beyond just FFP, mentioning unethical practices, though the exact scope can vary by institution.</w:t>
      </w:r>
    </w:p>
    <w:p w14:paraId="110773D2" w14:textId="77777777" w:rsidR="000C0BEB" w:rsidRDefault="000C0BEB" w:rsidP="000C0BEB">
      <w:pPr>
        <w:pStyle w:val="Heading3"/>
      </w:pPr>
      <w:r>
        <w:t>5.2 Scope of Definition</w:t>
      </w:r>
    </w:p>
    <w:p w14:paraId="65F2F948" w14:textId="77777777" w:rsidR="000C0BEB" w:rsidRDefault="000C0BEB" w:rsidP="000C0BEB">
      <w:pPr>
        <w:pStyle w:val="NormalWeb"/>
        <w:numPr>
          <w:ilvl w:val="0"/>
          <w:numId w:val="39"/>
        </w:numPr>
      </w:pPr>
      <w:r>
        <w:rPr>
          <w:rStyle w:val="Strong"/>
        </w:rPr>
        <w:t>Code</w:t>
      </w:r>
      <w:r>
        <w:t>: FFP + “QRP”</w:t>
      </w:r>
      <w:r>
        <w:br/>
      </w:r>
      <w:r>
        <w:rPr>
          <w:rStyle w:val="Emphasis"/>
        </w:rPr>
        <w:t>Rationale: Institutions commonly adopt the broader approach in line with UKRIO guidelines, distinguishing serious misconduct from lesser questionable practices.</w:t>
      </w:r>
    </w:p>
    <w:p w14:paraId="35522FA0" w14:textId="77777777" w:rsidR="000C0BEB" w:rsidRDefault="000C0BEB" w:rsidP="000C0BEB">
      <w:pPr>
        <w:pStyle w:val="Heading3"/>
      </w:pPr>
      <w:r>
        <w:t>5.3 Distinction between Major vs. Minor</w:t>
      </w:r>
    </w:p>
    <w:p w14:paraId="2CF9D941" w14:textId="77777777" w:rsidR="000C0BEB" w:rsidRDefault="000C0BEB" w:rsidP="000C0BEB">
      <w:pPr>
        <w:pStyle w:val="NormalWeb"/>
        <w:numPr>
          <w:ilvl w:val="0"/>
          <w:numId w:val="40"/>
        </w:numPr>
      </w:pPr>
      <w:r>
        <w:rPr>
          <w:rStyle w:val="Strong"/>
        </w:rPr>
        <w:t>Code</w:t>
      </w:r>
      <w:r>
        <w:t>: 1 = Some mention but not clearly defined</w:t>
      </w:r>
      <w:r>
        <w:br/>
      </w:r>
      <w:r>
        <w:rPr>
          <w:rStyle w:val="Emphasis"/>
        </w:rPr>
        <w:t>Rationale: While many institutions acknowledge “questionable research practices” vs. “misconduct,” the precise boundary is not uniformly or legally codified.</w:t>
      </w:r>
    </w:p>
    <w:p w14:paraId="08105B13" w14:textId="77777777" w:rsidR="000C0BEB" w:rsidRDefault="000C0BEB" w:rsidP="000C0BEB">
      <w:r>
        <w:pict w14:anchorId="445F062D">
          <v:rect id="_x0000_i1068" style="width:0;height:1.5pt" o:hralign="center" o:hrstd="t" o:hr="t" fillcolor="#a0a0a0" stroked="f"/>
        </w:pict>
      </w:r>
    </w:p>
    <w:p w14:paraId="76828DD0" w14:textId="77777777" w:rsidR="000C0BEB" w:rsidRDefault="000C0BEB" w:rsidP="000C0BEB">
      <w:pPr>
        <w:pStyle w:val="Heading2"/>
      </w:pPr>
      <w:r>
        <w:t>6. Procedurele Stroom van Klacht tot Besluit</w:t>
      </w:r>
    </w:p>
    <w:p w14:paraId="09876152" w14:textId="77777777" w:rsidR="000C0BEB" w:rsidRDefault="000C0BEB" w:rsidP="000C0BEB">
      <w:pPr>
        <w:pStyle w:val="Heading3"/>
      </w:pPr>
      <w:r>
        <w:t>6.1 Complaint Submission</w:t>
      </w:r>
    </w:p>
    <w:p w14:paraId="29AD4AE7" w14:textId="77777777" w:rsidR="000C0BEB" w:rsidRDefault="000C0BEB" w:rsidP="000C0BEB">
      <w:pPr>
        <w:pStyle w:val="NormalWeb"/>
        <w:numPr>
          <w:ilvl w:val="0"/>
          <w:numId w:val="41"/>
        </w:numPr>
      </w:pPr>
      <w:r>
        <w:rPr>
          <w:rStyle w:val="Strong"/>
        </w:rPr>
        <w:t>Possible Categories</w:t>
      </w:r>
      <w:r>
        <w:t>: “Formal written complaint, typically possible to submit anonymously, though anonymity complicates investigation.”</w:t>
      </w:r>
      <w:r>
        <w:br/>
      </w:r>
      <w:r>
        <w:rPr>
          <w:rStyle w:val="Emphasis"/>
        </w:rPr>
        <w:t>Rationale: Institutions usually require written details but do not strictly prohibit anonymous tips.</w:t>
      </w:r>
    </w:p>
    <w:p w14:paraId="781F37A9" w14:textId="77777777" w:rsidR="000C0BEB" w:rsidRDefault="000C0BEB" w:rsidP="000C0BEB">
      <w:pPr>
        <w:pStyle w:val="Heading3"/>
      </w:pPr>
      <w:r>
        <w:t>6.2 Screening / Ontvankelijkheid</w:t>
      </w:r>
    </w:p>
    <w:p w14:paraId="60A753FD" w14:textId="77777777" w:rsidR="000C0BEB" w:rsidRDefault="000C0BEB" w:rsidP="000C0BEB">
      <w:pPr>
        <w:pStyle w:val="NormalWeb"/>
        <w:numPr>
          <w:ilvl w:val="0"/>
          <w:numId w:val="42"/>
        </w:numPr>
      </w:pPr>
      <w:r>
        <w:rPr>
          <w:rStyle w:val="Strong"/>
        </w:rPr>
        <w:t>Code</w:t>
      </w:r>
      <w:r>
        <w:t>: “Initial triage by a designated person or small committee.”</w:t>
      </w:r>
      <w:r>
        <w:br/>
      </w:r>
      <w:r>
        <w:rPr>
          <w:rStyle w:val="Emphasis"/>
        </w:rPr>
        <w:t>Rationale: The Named Person/RIO checks if the allegation falls under research misconduct scope.</w:t>
      </w:r>
    </w:p>
    <w:p w14:paraId="0E4E0C05" w14:textId="77777777" w:rsidR="000C0BEB" w:rsidRDefault="000C0BEB" w:rsidP="000C0BEB">
      <w:pPr>
        <w:pStyle w:val="Heading3"/>
      </w:pPr>
      <w:r>
        <w:t>6.3 Investigation</w:t>
      </w:r>
    </w:p>
    <w:p w14:paraId="632FE000" w14:textId="77777777" w:rsidR="000C0BEB" w:rsidRDefault="000C0BEB" w:rsidP="000C0BEB">
      <w:pPr>
        <w:pStyle w:val="NormalWeb"/>
        <w:numPr>
          <w:ilvl w:val="0"/>
          <w:numId w:val="43"/>
        </w:numPr>
      </w:pPr>
      <w:r>
        <w:rPr>
          <w:rStyle w:val="Strong"/>
        </w:rPr>
        <w:lastRenderedPageBreak/>
        <w:t>Code</w:t>
      </w:r>
      <w:r>
        <w:t>: 1 = Institution-level committee conducts the main investigation</w:t>
      </w:r>
      <w:r>
        <w:br/>
      </w:r>
      <w:r>
        <w:rPr>
          <w:rStyle w:val="Emphasis"/>
        </w:rPr>
        <w:t>Rationale: There is no national investigative authority; the institution handles it (possibly with external experts).</w:t>
      </w:r>
    </w:p>
    <w:p w14:paraId="3EB14514" w14:textId="77777777" w:rsidR="000C0BEB" w:rsidRDefault="000C0BEB" w:rsidP="000C0BEB">
      <w:pPr>
        <w:pStyle w:val="NormalWeb"/>
        <w:numPr>
          <w:ilvl w:val="0"/>
          <w:numId w:val="43"/>
        </w:numPr>
      </w:pPr>
      <w:r>
        <w:rPr>
          <w:rStyle w:val="Strong"/>
        </w:rPr>
        <w:t>Key Steps</w:t>
      </w:r>
      <w:r>
        <w:t>: “Foronderzoek, formal investigation by a panel, hearing both parties, confidentiality throughout, final report.”</w:t>
      </w:r>
    </w:p>
    <w:p w14:paraId="31B3EB61" w14:textId="77777777" w:rsidR="000C0BEB" w:rsidRDefault="000C0BEB" w:rsidP="000C0BEB">
      <w:pPr>
        <w:pStyle w:val="Heading3"/>
      </w:pPr>
      <w:r>
        <w:t>6.4 Decision &amp; Timelines</w:t>
      </w:r>
    </w:p>
    <w:p w14:paraId="5E59BD48" w14:textId="77777777" w:rsidR="000C0BEB" w:rsidRDefault="000C0BEB" w:rsidP="000C0BEB">
      <w:pPr>
        <w:pStyle w:val="NormalWeb"/>
        <w:numPr>
          <w:ilvl w:val="0"/>
          <w:numId w:val="44"/>
        </w:numPr>
      </w:pPr>
      <w:r>
        <w:rPr>
          <w:rStyle w:val="Strong"/>
        </w:rPr>
        <w:t>Open Text</w:t>
      </w:r>
      <w:r>
        <w:t>: “No strict national timeline. The institution’s senior leadership (Rector/Vice-Chancellor) decides guilt and subsequent actions.”</w:t>
      </w:r>
    </w:p>
    <w:p w14:paraId="33BF5337" w14:textId="77777777" w:rsidR="000C0BEB" w:rsidRDefault="000C0BEB" w:rsidP="000C0BEB">
      <w:pPr>
        <w:pStyle w:val="NormalWeb"/>
        <w:numPr>
          <w:ilvl w:val="0"/>
          <w:numId w:val="44"/>
        </w:numPr>
      </w:pPr>
      <w:r>
        <w:rPr>
          <w:rStyle w:val="Strong"/>
        </w:rPr>
        <w:t>Who decides guilt?</w:t>
      </w:r>
      <w:r>
        <w:t>: 1 = Institution.</w:t>
      </w:r>
    </w:p>
    <w:p w14:paraId="4DE83993" w14:textId="77777777" w:rsidR="000C0BEB" w:rsidRDefault="000C0BEB" w:rsidP="000C0BEB">
      <w:pPr>
        <w:pStyle w:val="Heading3"/>
      </w:pPr>
      <w:r>
        <w:t>6.5 Communication</w:t>
      </w:r>
    </w:p>
    <w:p w14:paraId="60F59903" w14:textId="77777777" w:rsidR="000C0BEB" w:rsidRDefault="000C0BEB" w:rsidP="000C0BEB">
      <w:pPr>
        <w:pStyle w:val="NormalWeb"/>
        <w:numPr>
          <w:ilvl w:val="0"/>
          <w:numId w:val="45"/>
        </w:numPr>
      </w:pPr>
      <w:r>
        <w:rPr>
          <w:rStyle w:val="Strong"/>
        </w:rPr>
        <w:t>Possible Categories</w:t>
      </w:r>
      <w:r>
        <w:t>: “Primarily private, with aggregated anonymized data in annual institutional reports.”</w:t>
      </w:r>
      <w:r>
        <w:br/>
      </w:r>
      <w:r>
        <w:rPr>
          <w:rStyle w:val="Emphasis"/>
        </w:rPr>
        <w:t>Rationale: Detailed outcomes are shared with the accused/complainant and possibly the funder, but not usually made public.</w:t>
      </w:r>
    </w:p>
    <w:p w14:paraId="48FBF569" w14:textId="77777777" w:rsidR="000C0BEB" w:rsidRDefault="000C0BEB" w:rsidP="000C0BEB">
      <w:r>
        <w:pict w14:anchorId="0C7CD5DA">
          <v:rect id="_x0000_i1069" style="width:0;height:1.5pt" o:hralign="center" o:hrstd="t" o:hr="t" fillcolor="#a0a0a0" stroked="f"/>
        </w:pict>
      </w:r>
    </w:p>
    <w:p w14:paraId="05029783" w14:textId="77777777" w:rsidR="000C0BEB" w:rsidRDefault="000C0BEB" w:rsidP="000C0BEB">
      <w:pPr>
        <w:pStyle w:val="Heading2"/>
      </w:pPr>
      <w:r>
        <w:t>7. Sancties en Maatregelen</w:t>
      </w:r>
    </w:p>
    <w:p w14:paraId="4F7B3250" w14:textId="77777777" w:rsidR="000C0BEB" w:rsidRDefault="000C0BEB" w:rsidP="000C0BEB">
      <w:pPr>
        <w:pStyle w:val="Heading3"/>
      </w:pPr>
      <w:r>
        <w:t>7.1 Possible Sanctions</w:t>
      </w:r>
    </w:p>
    <w:p w14:paraId="444609F8" w14:textId="77777777" w:rsidR="000C0BEB" w:rsidRDefault="000C0BEB" w:rsidP="000C0BEB">
      <w:pPr>
        <w:pStyle w:val="NormalWeb"/>
        <w:numPr>
          <w:ilvl w:val="0"/>
          <w:numId w:val="46"/>
        </w:numPr>
      </w:pPr>
      <w:r>
        <w:rPr>
          <w:rStyle w:val="Strong"/>
        </w:rPr>
        <w:t>Multi-select</w:t>
      </w:r>
      <w:r>
        <w:t>:</w:t>
      </w:r>
    </w:p>
    <w:p w14:paraId="4DF93FF1" w14:textId="77777777" w:rsidR="000C0BEB" w:rsidRDefault="000C0BEB" w:rsidP="000C0BEB">
      <w:pPr>
        <w:pStyle w:val="NormalWeb"/>
        <w:numPr>
          <w:ilvl w:val="1"/>
          <w:numId w:val="46"/>
        </w:numPr>
      </w:pPr>
      <w:r>
        <w:t>Warning/Reprimand</w:t>
      </w:r>
    </w:p>
    <w:p w14:paraId="6E16DA03" w14:textId="77777777" w:rsidR="000C0BEB" w:rsidRDefault="000C0BEB" w:rsidP="000C0BEB">
      <w:pPr>
        <w:pStyle w:val="NormalWeb"/>
        <w:numPr>
          <w:ilvl w:val="1"/>
          <w:numId w:val="46"/>
        </w:numPr>
      </w:pPr>
      <w:r>
        <w:t>Retraction/Correction of publications</w:t>
      </w:r>
    </w:p>
    <w:p w14:paraId="7DB6A0A5" w14:textId="77777777" w:rsidR="000C0BEB" w:rsidRDefault="000C0BEB" w:rsidP="000C0BEB">
      <w:pPr>
        <w:pStyle w:val="NormalWeb"/>
        <w:numPr>
          <w:ilvl w:val="1"/>
          <w:numId w:val="46"/>
        </w:numPr>
      </w:pPr>
      <w:r>
        <w:t>Suspension or Termination of employment</w:t>
      </w:r>
    </w:p>
    <w:p w14:paraId="623DC802" w14:textId="77777777" w:rsidR="000C0BEB" w:rsidRDefault="000C0BEB" w:rsidP="000C0BEB">
      <w:pPr>
        <w:pStyle w:val="NormalWeb"/>
        <w:numPr>
          <w:ilvl w:val="1"/>
          <w:numId w:val="46"/>
        </w:numPr>
      </w:pPr>
      <w:r>
        <w:t>Withdrawal of titles/degrees</w:t>
      </w:r>
    </w:p>
    <w:p w14:paraId="772EEE7B" w14:textId="77777777" w:rsidR="000C0BEB" w:rsidRDefault="000C0BEB" w:rsidP="000C0BEB">
      <w:pPr>
        <w:pStyle w:val="NormalWeb"/>
        <w:numPr>
          <w:ilvl w:val="1"/>
          <w:numId w:val="46"/>
        </w:numPr>
      </w:pPr>
      <w:r>
        <w:t>Funding withdrawal (by funder)</w:t>
      </w:r>
    </w:p>
    <w:p w14:paraId="5E7FEB41" w14:textId="77777777" w:rsidR="000C0BEB" w:rsidRDefault="000C0BEB" w:rsidP="000C0BEB">
      <w:pPr>
        <w:pStyle w:val="NormalWeb"/>
        <w:ind w:left="720"/>
      </w:pPr>
      <w:r>
        <w:rPr>
          <w:rStyle w:val="Emphasis"/>
        </w:rPr>
        <w:t>Rationale: All these options exist if misconduct is confirmed; severity depends on the case.</w:t>
      </w:r>
    </w:p>
    <w:p w14:paraId="6C70FF24" w14:textId="77777777" w:rsidR="000C0BEB" w:rsidRDefault="000C0BEB" w:rsidP="000C0BEB">
      <w:pPr>
        <w:pStyle w:val="Heading3"/>
      </w:pPr>
      <w:r>
        <w:t>7.2 Authority that Imposes Sanctions</w:t>
      </w:r>
    </w:p>
    <w:p w14:paraId="45F902D0" w14:textId="77777777" w:rsidR="000C0BEB" w:rsidRDefault="000C0BEB" w:rsidP="000C0BEB">
      <w:pPr>
        <w:pStyle w:val="NormalWeb"/>
        <w:numPr>
          <w:ilvl w:val="0"/>
          <w:numId w:val="47"/>
        </w:numPr>
      </w:pPr>
      <w:r>
        <w:rPr>
          <w:rStyle w:val="Strong"/>
        </w:rPr>
        <w:t>Code</w:t>
      </w:r>
      <w:r>
        <w:t>: 1 = Institutional board / leadership</w:t>
      </w:r>
      <w:r>
        <w:br/>
      </w:r>
      <w:r>
        <w:rPr>
          <w:rStyle w:val="Emphasis"/>
        </w:rPr>
        <w:t>Rationale: The institution formally imposes disciplinary measures; funders can withdraw funding but do not typically impose direct personal sanctions.</w:t>
      </w:r>
    </w:p>
    <w:p w14:paraId="7CEDAD6A" w14:textId="77777777" w:rsidR="000C0BEB" w:rsidRDefault="000C0BEB" w:rsidP="000C0BEB">
      <w:pPr>
        <w:pStyle w:val="Heading3"/>
      </w:pPr>
      <w:r>
        <w:t>7.3 Corrective vs. Punitive Emphasis</w:t>
      </w:r>
    </w:p>
    <w:p w14:paraId="4522C321" w14:textId="77777777" w:rsidR="000C0BEB" w:rsidRDefault="000C0BEB" w:rsidP="000C0BEB">
      <w:pPr>
        <w:pStyle w:val="NormalWeb"/>
        <w:numPr>
          <w:ilvl w:val="0"/>
          <w:numId w:val="48"/>
        </w:numPr>
      </w:pPr>
      <w:r>
        <w:rPr>
          <w:rStyle w:val="Strong"/>
        </w:rPr>
        <w:t>Code</w:t>
      </w:r>
      <w:r>
        <w:t>: 2 = Balanced approach</w:t>
      </w:r>
      <w:r>
        <w:br/>
      </w:r>
      <w:r>
        <w:rPr>
          <w:rStyle w:val="Emphasis"/>
        </w:rPr>
        <w:t>Rationale: There is a focus on correcting the scientific record (e.g., retractions) while also allowing for punitive actions (like dismissal) in serious cases.</w:t>
      </w:r>
    </w:p>
    <w:p w14:paraId="61A49A22" w14:textId="77777777" w:rsidR="000C0BEB" w:rsidRDefault="000C0BEB" w:rsidP="000C0BEB">
      <w:r>
        <w:pict w14:anchorId="2C24B615">
          <v:rect id="_x0000_i1070" style="width:0;height:1.5pt" o:hralign="center" o:hrstd="t" o:hr="t" fillcolor="#a0a0a0" stroked="f"/>
        </w:pict>
      </w:r>
    </w:p>
    <w:p w14:paraId="02B9FFB1" w14:textId="77777777" w:rsidR="000C0BEB" w:rsidRDefault="000C0BEB" w:rsidP="000C0BEB">
      <w:pPr>
        <w:pStyle w:val="Heading2"/>
      </w:pPr>
      <w:r>
        <w:lastRenderedPageBreak/>
        <w:t>8. Beroepsmogelijkheden en Herziening (Appeals)</w:t>
      </w:r>
    </w:p>
    <w:p w14:paraId="3492EE03" w14:textId="77777777" w:rsidR="000C0BEB" w:rsidRDefault="000C0BEB" w:rsidP="000C0BEB">
      <w:pPr>
        <w:pStyle w:val="Heading3"/>
      </w:pPr>
      <w:r>
        <w:t>8.1 Existence of Internal Appeals</w:t>
      </w:r>
    </w:p>
    <w:p w14:paraId="03C1B23A" w14:textId="77777777" w:rsidR="000C0BEB" w:rsidRDefault="000C0BEB" w:rsidP="000C0BEB">
      <w:pPr>
        <w:pStyle w:val="NormalWeb"/>
        <w:numPr>
          <w:ilvl w:val="0"/>
          <w:numId w:val="49"/>
        </w:numPr>
      </w:pPr>
      <w:r>
        <w:rPr>
          <w:rStyle w:val="Strong"/>
        </w:rPr>
        <w:t>Code</w:t>
      </w:r>
      <w:r>
        <w:t>: 1 = Yes, internal institutional appeals committee</w:t>
      </w:r>
      <w:r>
        <w:br/>
      </w:r>
      <w:r>
        <w:rPr>
          <w:rStyle w:val="Emphasis"/>
        </w:rPr>
        <w:t>Rationale: Most institutions have an internal review/appeal mechanism, at least for the respondent.</w:t>
      </w:r>
    </w:p>
    <w:p w14:paraId="38DF09FA" w14:textId="77777777" w:rsidR="000C0BEB" w:rsidRDefault="000C0BEB" w:rsidP="000C0BEB">
      <w:pPr>
        <w:pStyle w:val="Heading3"/>
      </w:pPr>
      <w:r>
        <w:t>8.2 National Appeal Mechanism</w:t>
      </w:r>
    </w:p>
    <w:p w14:paraId="5F8E8A6B" w14:textId="77777777" w:rsidR="000C0BEB" w:rsidRDefault="000C0BEB" w:rsidP="000C0BEB">
      <w:pPr>
        <w:pStyle w:val="NormalWeb"/>
        <w:numPr>
          <w:ilvl w:val="0"/>
          <w:numId w:val="50"/>
        </w:numPr>
      </w:pPr>
      <w:r>
        <w:rPr>
          <w:rStyle w:val="Strong"/>
        </w:rPr>
        <w:t>Code</w:t>
      </w:r>
      <w:r>
        <w:t>: 0 = No</w:t>
      </w:r>
      <w:r>
        <w:br/>
      </w:r>
      <w:r>
        <w:rPr>
          <w:rStyle w:val="Emphasis"/>
        </w:rPr>
        <w:t>Rationale: There is no dedicated national body with binding authority to hear appeals. UKRIO and UK CORI are advisory only.</w:t>
      </w:r>
    </w:p>
    <w:p w14:paraId="7A611976" w14:textId="77777777" w:rsidR="000C0BEB" w:rsidRDefault="000C0BEB" w:rsidP="000C0BEB">
      <w:pPr>
        <w:pStyle w:val="Heading3"/>
      </w:pPr>
      <w:r>
        <w:t>8.3 Judicial (Court) Appeal</w:t>
      </w:r>
    </w:p>
    <w:p w14:paraId="7A1AC7F6" w14:textId="77777777" w:rsidR="000C0BEB" w:rsidRDefault="000C0BEB" w:rsidP="000C0BEB">
      <w:pPr>
        <w:pStyle w:val="NormalWeb"/>
        <w:numPr>
          <w:ilvl w:val="0"/>
          <w:numId w:val="51"/>
        </w:numPr>
      </w:pPr>
      <w:r>
        <w:rPr>
          <w:rStyle w:val="Strong"/>
        </w:rPr>
        <w:t>Possible Categories</w:t>
      </w:r>
      <w:r>
        <w:t>: “Always possible (labor or administrative court) in principle.”</w:t>
      </w:r>
      <w:r>
        <w:br/>
      </w:r>
      <w:r>
        <w:rPr>
          <w:rStyle w:val="Emphasis"/>
        </w:rPr>
        <w:t>Rationale: Staff can challenge dismissal in employment tribunals; students sometimes turn to the OIA (England/Wales), SPSO (Scotland), or NIPSO (NI), but those mainly check procedural fairness.</w:t>
      </w:r>
    </w:p>
    <w:p w14:paraId="7076318F" w14:textId="77777777" w:rsidR="000C0BEB" w:rsidRDefault="000C0BEB" w:rsidP="000C0BEB">
      <w:pPr>
        <w:pStyle w:val="Heading3"/>
      </w:pPr>
      <w:r>
        <w:t>8.4 Who May Appeal</w:t>
      </w:r>
    </w:p>
    <w:p w14:paraId="01582B45" w14:textId="77777777" w:rsidR="000C0BEB" w:rsidRDefault="000C0BEB" w:rsidP="000C0BEB">
      <w:pPr>
        <w:pStyle w:val="NormalWeb"/>
        <w:numPr>
          <w:ilvl w:val="0"/>
          <w:numId w:val="52"/>
        </w:numPr>
      </w:pPr>
      <w:r>
        <w:rPr>
          <w:rStyle w:val="Strong"/>
        </w:rPr>
        <w:t>Code</w:t>
      </w:r>
      <w:r>
        <w:t>: 2 = Accused or complainant</w:t>
      </w:r>
      <w:r>
        <w:br/>
      </w:r>
      <w:r>
        <w:rPr>
          <w:rStyle w:val="Emphasis"/>
        </w:rPr>
        <w:t>Rationale: The text notes that some institutions allow the complainant to appeal if procedures were flawed, though it varies. In general, the accused definitely has appeal rights.</w:t>
      </w:r>
    </w:p>
    <w:p w14:paraId="2E80B455" w14:textId="77777777" w:rsidR="000C0BEB" w:rsidRDefault="000C0BEB" w:rsidP="000C0BEB">
      <w:r>
        <w:pict w14:anchorId="176A0BB6">
          <v:rect id="_x0000_i1071" style="width:0;height:1.5pt" o:hralign="center" o:hrstd="t" o:hr="t" fillcolor="#a0a0a0" stroked="f"/>
        </w:pict>
      </w:r>
    </w:p>
    <w:p w14:paraId="1A92F88C" w14:textId="77777777" w:rsidR="000C0BEB" w:rsidRDefault="000C0BEB" w:rsidP="000C0BEB">
      <w:pPr>
        <w:pStyle w:val="Heading2"/>
      </w:pPr>
      <w:r>
        <w:t>9. Bescherming van Betrokkenen</w:t>
      </w:r>
    </w:p>
    <w:p w14:paraId="1355E5C5" w14:textId="77777777" w:rsidR="000C0BEB" w:rsidRDefault="000C0BEB" w:rsidP="000C0BEB">
      <w:pPr>
        <w:pStyle w:val="Heading3"/>
      </w:pPr>
      <w:r>
        <w:t>9.1 Klokkenluidersbescherming (Whistleblower Protection)</w:t>
      </w:r>
    </w:p>
    <w:p w14:paraId="615C7CA9" w14:textId="77777777" w:rsidR="000C0BEB" w:rsidRDefault="000C0BEB" w:rsidP="000C0BEB">
      <w:pPr>
        <w:pStyle w:val="NormalWeb"/>
        <w:numPr>
          <w:ilvl w:val="0"/>
          <w:numId w:val="53"/>
        </w:numPr>
      </w:pPr>
      <w:r>
        <w:rPr>
          <w:rStyle w:val="Strong"/>
        </w:rPr>
        <w:t>Code</w:t>
      </w:r>
      <w:r>
        <w:t>: 2 = Explicit legal/regulatory protection (whistleblowing act, etc.)</w:t>
      </w:r>
      <w:r>
        <w:br/>
      </w:r>
      <w:r>
        <w:rPr>
          <w:rStyle w:val="Emphasis"/>
        </w:rPr>
        <w:t>Rationale: The Public Interest Disclosure Act provides legal protection for whistleblowers.</w:t>
      </w:r>
    </w:p>
    <w:p w14:paraId="34274988" w14:textId="77777777" w:rsidR="000C0BEB" w:rsidRDefault="000C0BEB" w:rsidP="000C0BEB">
      <w:pPr>
        <w:pStyle w:val="Heading3"/>
      </w:pPr>
      <w:r>
        <w:t>9.2 Beklaagdenbescherming (Rights of the Accused)</w:t>
      </w:r>
    </w:p>
    <w:p w14:paraId="623CB860" w14:textId="77777777" w:rsidR="000C0BEB" w:rsidRDefault="000C0BEB" w:rsidP="000C0BEB">
      <w:pPr>
        <w:pStyle w:val="NormalWeb"/>
        <w:numPr>
          <w:ilvl w:val="0"/>
          <w:numId w:val="54"/>
        </w:numPr>
      </w:pPr>
      <w:r>
        <w:rPr>
          <w:rStyle w:val="Strong"/>
        </w:rPr>
        <w:t>Due Process</w:t>
      </w:r>
      <w:r>
        <w:t>: 2 = Explicit, detailed procedures</w:t>
      </w:r>
      <w:r>
        <w:br/>
      </w:r>
      <w:r>
        <w:rPr>
          <w:rStyle w:val="Emphasis"/>
        </w:rPr>
        <w:t>Rationale: The institutional guidelines (often based on UKRIO) lay out hearing and response rights.</w:t>
      </w:r>
    </w:p>
    <w:p w14:paraId="4E7A3023" w14:textId="77777777" w:rsidR="000C0BEB" w:rsidRDefault="000C0BEB" w:rsidP="000C0BEB">
      <w:pPr>
        <w:pStyle w:val="NormalWeb"/>
        <w:numPr>
          <w:ilvl w:val="0"/>
          <w:numId w:val="54"/>
        </w:numPr>
      </w:pPr>
      <w:r>
        <w:rPr>
          <w:rStyle w:val="Strong"/>
        </w:rPr>
        <w:t>Presumption of Innocence</w:t>
      </w:r>
      <w:r>
        <w:t>: 2 = Explicitly stated</w:t>
      </w:r>
      <w:r>
        <w:br/>
      </w:r>
      <w:r>
        <w:rPr>
          <w:rStyle w:val="Emphasis"/>
        </w:rPr>
        <w:t>Rationale: Documents stress confidentiality and that an accused is not deemed guilty until a formal finding is made.</w:t>
      </w:r>
    </w:p>
    <w:p w14:paraId="409592D2" w14:textId="77777777" w:rsidR="000C0BEB" w:rsidRDefault="000C0BEB" w:rsidP="000C0BEB">
      <w:r>
        <w:pict w14:anchorId="5A5014EA">
          <v:rect id="_x0000_i1072" style="width:0;height:1.5pt" o:hralign="center" o:hrstd="t" o:hr="t" fillcolor="#a0a0a0" stroked="f"/>
        </w:pict>
      </w:r>
    </w:p>
    <w:p w14:paraId="452E4F8A" w14:textId="77777777" w:rsidR="000C0BEB" w:rsidRDefault="000C0BEB" w:rsidP="000C0BEB">
      <w:pPr>
        <w:pStyle w:val="Heading2"/>
      </w:pPr>
      <w:r>
        <w:lastRenderedPageBreak/>
        <w:t>10. Transparantie en Rapportage</w:t>
      </w:r>
    </w:p>
    <w:p w14:paraId="1CAE4564" w14:textId="77777777" w:rsidR="000C0BEB" w:rsidRDefault="000C0BEB" w:rsidP="000C0BEB">
      <w:pPr>
        <w:pStyle w:val="Heading3"/>
      </w:pPr>
      <w:r>
        <w:t>10.1 Reporting of Cases</w:t>
      </w:r>
    </w:p>
    <w:p w14:paraId="64A8C227" w14:textId="77777777" w:rsidR="000C0BEB" w:rsidRDefault="000C0BEB" w:rsidP="000C0BEB">
      <w:pPr>
        <w:pStyle w:val="NormalWeb"/>
        <w:numPr>
          <w:ilvl w:val="0"/>
          <w:numId w:val="55"/>
        </w:numPr>
      </w:pPr>
      <w:r>
        <w:rPr>
          <w:rStyle w:val="Strong"/>
        </w:rPr>
        <w:t>Code</w:t>
      </w:r>
      <w:r>
        <w:t>: 1 = Some aggregated or anonymized data published</w:t>
      </w:r>
      <w:r>
        <w:br/>
      </w:r>
      <w:r>
        <w:rPr>
          <w:rStyle w:val="Emphasis"/>
        </w:rPr>
        <w:t>Rationale: Institutions must provide annual public integrity statements with anonymized numbers of complaints/outcomes.</w:t>
      </w:r>
    </w:p>
    <w:p w14:paraId="392D2E2E" w14:textId="77777777" w:rsidR="000C0BEB" w:rsidRDefault="000C0BEB" w:rsidP="000C0BEB">
      <w:pPr>
        <w:pStyle w:val="Heading3"/>
      </w:pPr>
      <w:r>
        <w:t>10.2 Confidentiality vs. Public Disclosure</w:t>
      </w:r>
    </w:p>
    <w:p w14:paraId="155176A7" w14:textId="77777777" w:rsidR="000C0BEB" w:rsidRDefault="000C0BEB" w:rsidP="000C0BEB">
      <w:pPr>
        <w:pStyle w:val="NormalWeb"/>
        <w:numPr>
          <w:ilvl w:val="0"/>
          <w:numId w:val="56"/>
        </w:numPr>
      </w:pPr>
      <w:r>
        <w:rPr>
          <w:rStyle w:val="Strong"/>
        </w:rPr>
        <w:t>Code</w:t>
      </w:r>
      <w:r>
        <w:t>: 2 = Strict confidentiality or formal rules enforced</w:t>
      </w:r>
      <w:r>
        <w:br/>
      </w:r>
      <w:r>
        <w:rPr>
          <w:rStyle w:val="Emphasis"/>
        </w:rPr>
        <w:t>Rationale: The procedures emphasize confidentiality to protect both complainant and accused until a conclusion.</w:t>
      </w:r>
    </w:p>
    <w:p w14:paraId="71419345" w14:textId="77777777" w:rsidR="000C0BEB" w:rsidRDefault="000C0BEB" w:rsidP="000C0BEB">
      <w:pPr>
        <w:pStyle w:val="Heading3"/>
      </w:pPr>
      <w:r>
        <w:t>10.3 Annual or Periodic National Reporting</w:t>
      </w:r>
    </w:p>
    <w:p w14:paraId="7BBBBD84" w14:textId="77777777" w:rsidR="000C0BEB" w:rsidRDefault="000C0BEB" w:rsidP="000C0BEB">
      <w:pPr>
        <w:pStyle w:val="NormalWeb"/>
        <w:numPr>
          <w:ilvl w:val="0"/>
          <w:numId w:val="57"/>
        </w:numPr>
      </w:pPr>
      <w:r>
        <w:rPr>
          <w:rStyle w:val="Strong"/>
        </w:rPr>
        <w:t>Code</w:t>
      </w:r>
      <w:r>
        <w:t>: 1 = National body publishes anonymized statistics</w:t>
      </w:r>
      <w:r>
        <w:br/>
      </w:r>
      <w:r>
        <w:rPr>
          <w:rStyle w:val="Emphasis"/>
        </w:rPr>
        <w:t>Rationale: UK CORI (and previously funders) collate some data and publish overviews, though not a comprehensive central registry.</w:t>
      </w:r>
    </w:p>
    <w:p w14:paraId="6C62701B" w14:textId="77777777" w:rsidR="000C0BEB" w:rsidRDefault="000C0BEB" w:rsidP="000C0BEB">
      <w:r>
        <w:pict w14:anchorId="4D3F4001">
          <v:rect id="_x0000_i1073" style="width:0;height:1.5pt" o:hralign="center" o:hrstd="t" o:hr="t" fillcolor="#a0a0a0" stroked="f"/>
        </w:pict>
      </w:r>
    </w:p>
    <w:p w14:paraId="17739F17" w14:textId="77777777" w:rsidR="000C0BEB" w:rsidRDefault="000C0BEB" w:rsidP="000C0BEB">
      <w:pPr>
        <w:pStyle w:val="Heading2"/>
      </w:pPr>
      <w:r>
        <w:t>11. Omgang met Grensoverschrijdende Zaken</w:t>
      </w:r>
    </w:p>
    <w:p w14:paraId="49AB02C2" w14:textId="77777777" w:rsidR="000C0BEB" w:rsidRDefault="000C0BEB" w:rsidP="000C0BEB">
      <w:pPr>
        <w:pStyle w:val="Heading3"/>
      </w:pPr>
      <w:r>
        <w:t>11.1 Procedures for International Collaboration</w:t>
      </w:r>
    </w:p>
    <w:p w14:paraId="4095984E" w14:textId="77777777" w:rsidR="000C0BEB" w:rsidRDefault="000C0BEB" w:rsidP="000C0BEB">
      <w:pPr>
        <w:pStyle w:val="NormalWeb"/>
        <w:numPr>
          <w:ilvl w:val="0"/>
          <w:numId w:val="58"/>
        </w:numPr>
      </w:pPr>
      <w:r>
        <w:rPr>
          <w:rStyle w:val="Strong"/>
        </w:rPr>
        <w:t>Code</w:t>
      </w:r>
      <w:r>
        <w:t>: 1 = Mentioned but no formal procedure</w:t>
      </w:r>
      <w:r>
        <w:br/>
      </w:r>
      <w:r>
        <w:rPr>
          <w:rStyle w:val="Emphasis"/>
        </w:rPr>
        <w:t>Rationale: Institutions typically follow their own policies and may coordinate informally with partners or journals; no codified national procedure for international cases.</w:t>
      </w:r>
    </w:p>
    <w:p w14:paraId="4600BB48" w14:textId="77777777" w:rsidR="000C0BEB" w:rsidRDefault="000C0BEB" w:rsidP="000C0BEB">
      <w:pPr>
        <w:pStyle w:val="Heading3"/>
      </w:pPr>
      <w:r>
        <w:t>11.2 Links with ENRIO or Other Networks</w:t>
      </w:r>
    </w:p>
    <w:p w14:paraId="251D95EB" w14:textId="77777777" w:rsidR="000C0BEB" w:rsidRDefault="000C0BEB" w:rsidP="000C0BEB">
      <w:pPr>
        <w:pStyle w:val="NormalWeb"/>
        <w:numPr>
          <w:ilvl w:val="0"/>
          <w:numId w:val="59"/>
        </w:numPr>
      </w:pPr>
      <w:r>
        <w:rPr>
          <w:rStyle w:val="Strong"/>
        </w:rPr>
        <w:t>Open Text</w:t>
      </w:r>
      <w:r>
        <w:t>: “UKRIO has international liaisons; the system references ALLEA, but no detailed mention of official ENRIO membership.”</w:t>
      </w:r>
    </w:p>
    <w:p w14:paraId="7B0D2D43" w14:textId="77777777" w:rsidR="000C0BEB" w:rsidRDefault="000C0BEB" w:rsidP="000C0BEB">
      <w:r>
        <w:pict w14:anchorId="0E874EE4">
          <v:rect id="_x0000_i1074" style="width:0;height:1.5pt" o:hralign="center" o:hrstd="t" o:hr="t" fillcolor="#a0a0a0" stroked="f"/>
        </w:pict>
      </w:r>
    </w:p>
    <w:p w14:paraId="438E5BD3" w14:textId="77777777" w:rsidR="000C0BEB" w:rsidRDefault="000C0BEB" w:rsidP="000C0BEB">
      <w:pPr>
        <w:pStyle w:val="Heading2"/>
      </w:pPr>
      <w:r>
        <w:t>12. Regionale Variaties</w:t>
      </w:r>
    </w:p>
    <w:p w14:paraId="47658A7D" w14:textId="77777777" w:rsidR="000C0BEB" w:rsidRDefault="000C0BEB" w:rsidP="000C0BEB">
      <w:pPr>
        <w:pStyle w:val="Heading3"/>
      </w:pPr>
      <w:r>
        <w:t>12.1 Variation among Subnational Entities</w:t>
      </w:r>
    </w:p>
    <w:p w14:paraId="1D7EB946" w14:textId="77777777" w:rsidR="000C0BEB" w:rsidRDefault="000C0BEB" w:rsidP="000C0BEB">
      <w:pPr>
        <w:pStyle w:val="NormalWeb"/>
        <w:numPr>
          <w:ilvl w:val="0"/>
          <w:numId w:val="60"/>
        </w:numPr>
      </w:pPr>
      <w:r>
        <w:rPr>
          <w:rStyle w:val="Strong"/>
        </w:rPr>
        <w:t>Code</w:t>
      </w:r>
      <w:r>
        <w:t>: 1 = Minor differences by region</w:t>
      </w:r>
      <w:r>
        <w:br/>
      </w:r>
      <w:r>
        <w:rPr>
          <w:rStyle w:val="Emphasis"/>
        </w:rPr>
        <w:t>Rationale: England, Scotland, Wales, and Northern Ireland each have their own funding councils and ombuds for students, but the core approach (the Concordat) is broadly uniform.</w:t>
      </w:r>
    </w:p>
    <w:p w14:paraId="2196806F" w14:textId="77777777" w:rsidR="000C0BEB" w:rsidRDefault="000C0BEB" w:rsidP="000C0BEB">
      <w:r>
        <w:pict w14:anchorId="77EA4336">
          <v:rect id="_x0000_i1075" style="width:0;height:1.5pt" o:hralign="center" o:hrstd="t" o:hr="t" fillcolor="#a0a0a0" stroked="f"/>
        </w:pict>
      </w:r>
    </w:p>
    <w:p w14:paraId="25C9D92C" w14:textId="77777777" w:rsidR="000C0BEB" w:rsidRDefault="000C0BEB" w:rsidP="000C0BEB">
      <w:pPr>
        <w:pStyle w:val="Heading2"/>
      </w:pPr>
      <w:r>
        <w:lastRenderedPageBreak/>
        <w:t>13. Illustratieve Cases/Voorbeelden</w:t>
      </w:r>
    </w:p>
    <w:p w14:paraId="4B9D4553" w14:textId="77777777" w:rsidR="000C0BEB" w:rsidRDefault="000C0BEB" w:rsidP="000C0BEB">
      <w:pPr>
        <w:pStyle w:val="Heading3"/>
      </w:pPr>
      <w:r>
        <w:t>13.1 Mentioned Cases</w:t>
      </w:r>
    </w:p>
    <w:p w14:paraId="6B7960E9" w14:textId="77777777" w:rsidR="000C0BEB" w:rsidRDefault="000C0BEB" w:rsidP="000C0BEB">
      <w:pPr>
        <w:pStyle w:val="NormalWeb"/>
        <w:numPr>
          <w:ilvl w:val="0"/>
          <w:numId w:val="61"/>
        </w:numPr>
      </w:pPr>
      <w:r>
        <w:rPr>
          <w:rStyle w:val="Strong"/>
        </w:rPr>
        <w:t>Code</w:t>
      </w:r>
      <w:r>
        <w:t>: 0 = No examples given</w:t>
      </w:r>
      <w:r>
        <w:br/>
      </w:r>
      <w:r>
        <w:rPr>
          <w:rStyle w:val="Emphasis"/>
        </w:rPr>
        <w:t>Rationale: The source document does not provide specific (anonymized) case studies.</w:t>
      </w:r>
    </w:p>
    <w:p w14:paraId="2A87A9BB" w14:textId="77777777" w:rsidR="000C0BEB" w:rsidRDefault="000C0BEB" w:rsidP="000C0BEB">
      <w:r>
        <w:pict w14:anchorId="71216C45">
          <v:rect id="_x0000_i1076" style="width:0;height:1.5pt" o:hralign="center" o:hrstd="t" o:hr="t" fillcolor="#a0a0a0" stroked="f"/>
        </w:pict>
      </w:r>
    </w:p>
    <w:p w14:paraId="318731BE" w14:textId="77777777" w:rsidR="000C0BEB" w:rsidRDefault="000C0BEB" w:rsidP="000C0BEB">
      <w:pPr>
        <w:pStyle w:val="Heading2"/>
      </w:pPr>
      <w:r>
        <w:t>14. Vergelijking (indien van toepassing)</w:t>
      </w:r>
    </w:p>
    <w:p w14:paraId="2A8C1274" w14:textId="77777777" w:rsidR="000C0BEB" w:rsidRDefault="000C0BEB" w:rsidP="000C0BEB">
      <w:pPr>
        <w:pStyle w:val="Heading3"/>
      </w:pPr>
      <w:r>
        <w:t>14.1 Comparison</w:t>
      </w:r>
    </w:p>
    <w:p w14:paraId="5AACAA1B" w14:textId="77777777" w:rsidR="000C0BEB" w:rsidRDefault="000C0BEB" w:rsidP="000C0BEB">
      <w:pPr>
        <w:pStyle w:val="NormalWeb"/>
        <w:numPr>
          <w:ilvl w:val="0"/>
          <w:numId w:val="62"/>
        </w:numPr>
      </w:pPr>
      <w:r>
        <w:rPr>
          <w:rStyle w:val="Strong"/>
        </w:rPr>
        <w:t>Open Text</w:t>
      </w:r>
      <w:r>
        <w:t>: “Document compares England, Scotland, Wales, and Northern Ireland; the main difference is which funding council and student ombudsman is involved. Otherwise, the system is largely uniform.”</w:t>
      </w:r>
    </w:p>
    <w:p w14:paraId="2D06AFF7" w14:textId="77777777" w:rsidR="000C0BEB" w:rsidRDefault="000C0BEB" w:rsidP="000C0BEB">
      <w:r>
        <w:pict w14:anchorId="2A43846F">
          <v:rect id="_x0000_i1077" style="width:0;height:1.5pt" o:hralign="center" o:hrstd="t" o:hr="t" fillcolor="#a0a0a0" stroked="f"/>
        </w:pict>
      </w:r>
    </w:p>
    <w:p w14:paraId="74996E9E" w14:textId="77777777" w:rsidR="000C0BEB" w:rsidRDefault="000C0BEB" w:rsidP="000C0BEB">
      <w:pPr>
        <w:pStyle w:val="Heading2"/>
      </w:pPr>
      <w:r>
        <w:t>15. Bronnen</w:t>
      </w:r>
    </w:p>
    <w:p w14:paraId="3D35A613" w14:textId="77777777" w:rsidR="000C0BEB" w:rsidRDefault="000C0BEB" w:rsidP="000C0BEB">
      <w:pPr>
        <w:pStyle w:val="Heading3"/>
      </w:pPr>
      <w:r>
        <w:t>15.1 References</w:t>
      </w:r>
    </w:p>
    <w:p w14:paraId="4E30F859" w14:textId="77777777" w:rsidR="000C0BEB" w:rsidRDefault="000C0BEB" w:rsidP="000C0BEB">
      <w:pPr>
        <w:pStyle w:val="NormalWeb"/>
        <w:numPr>
          <w:ilvl w:val="0"/>
          <w:numId w:val="63"/>
        </w:numPr>
      </w:pPr>
      <w:r>
        <w:rPr>
          <w:rStyle w:val="Strong"/>
        </w:rPr>
        <w:t>Code</w:t>
      </w:r>
      <w:r>
        <w:t>: 2 = Multiple well-cited sources</w:t>
      </w:r>
      <w:r>
        <w:br/>
      </w:r>
      <w:r>
        <w:rPr>
          <w:rStyle w:val="Emphasis"/>
        </w:rPr>
        <w:t>Rationale: Mentions of UKRIO.org, UKRI.org, references to parliamentary inquiries, etc.</w:t>
      </w:r>
    </w:p>
    <w:p w14:paraId="47B4592E" w14:textId="77777777" w:rsidR="000C0BEB" w:rsidRDefault="000C0BEB" w:rsidP="000C0BEB">
      <w:pPr>
        <w:pStyle w:val="NormalWeb"/>
        <w:numPr>
          <w:ilvl w:val="0"/>
          <w:numId w:val="63"/>
        </w:numPr>
      </w:pPr>
      <w:r>
        <w:rPr>
          <w:rStyle w:val="Strong"/>
        </w:rPr>
        <w:t>Open Text</w:t>
      </w:r>
      <w:r>
        <w:t>:</w:t>
      </w:r>
    </w:p>
    <w:p w14:paraId="6CCE144C" w14:textId="77777777" w:rsidR="000C0BEB" w:rsidRDefault="000C0BEB" w:rsidP="000C0BEB">
      <w:pPr>
        <w:pStyle w:val="NormalWeb"/>
        <w:numPr>
          <w:ilvl w:val="1"/>
          <w:numId w:val="63"/>
        </w:numPr>
      </w:pPr>
      <w:r>
        <w:t xml:space="preserve">UKRIO: </w:t>
      </w:r>
      <w:hyperlink r:id="rId5" w:history="1">
        <w:r>
          <w:rPr>
            <w:rStyle w:val="Hyperlink"/>
          </w:rPr>
          <w:t>https://ukrio.org</w:t>
        </w:r>
      </w:hyperlink>
    </w:p>
    <w:p w14:paraId="38ED989A" w14:textId="77777777" w:rsidR="000C0BEB" w:rsidRDefault="000C0BEB" w:rsidP="000C0BEB">
      <w:pPr>
        <w:pStyle w:val="NormalWeb"/>
        <w:numPr>
          <w:ilvl w:val="1"/>
          <w:numId w:val="63"/>
        </w:numPr>
      </w:pPr>
      <w:r>
        <w:t xml:space="preserve">UKRI: </w:t>
      </w:r>
      <w:hyperlink r:id="rId6" w:history="1">
        <w:r>
          <w:rPr>
            <w:rStyle w:val="Hyperlink"/>
          </w:rPr>
          <w:t>https://ukri.org</w:t>
        </w:r>
      </w:hyperlink>
    </w:p>
    <w:p w14:paraId="0E04227E" w14:textId="77777777" w:rsidR="000C0BEB" w:rsidRDefault="000C0BEB" w:rsidP="000C0BEB">
      <w:pPr>
        <w:pStyle w:val="NormalWeb"/>
        <w:numPr>
          <w:ilvl w:val="1"/>
          <w:numId w:val="63"/>
        </w:numPr>
      </w:pPr>
      <w:r>
        <w:t>Concordat to Support Research Integrity (various editions)</w:t>
      </w:r>
    </w:p>
    <w:p w14:paraId="4FABE762" w14:textId="77777777" w:rsidR="000C0BEB" w:rsidRDefault="000C0BEB" w:rsidP="000C0BEB">
      <w:pPr>
        <w:pStyle w:val="NormalWeb"/>
        <w:numPr>
          <w:ilvl w:val="1"/>
          <w:numId w:val="63"/>
        </w:numPr>
      </w:pPr>
      <w:r>
        <w:t>Committee on Publication Ethics (COPE)</w:t>
      </w:r>
    </w:p>
    <w:p w14:paraId="10D86981" w14:textId="77777777" w:rsidR="000C0BEB" w:rsidRDefault="000C0BEB" w:rsidP="000C0BEB">
      <w:r>
        <w:pict w14:anchorId="7B3C696B">
          <v:rect id="_x0000_i1078" style="width:0;height:1.5pt" o:hralign="center" o:hrstd="t" o:hr="t" fillcolor="#a0a0a0" stroked="f"/>
        </w:pict>
      </w:r>
    </w:p>
    <w:p w14:paraId="5954379A" w14:textId="77777777" w:rsidR="000C0BEB" w:rsidRDefault="000C0BEB" w:rsidP="000C0BEB">
      <w:pPr>
        <w:pStyle w:val="Heading2"/>
      </w:pPr>
      <w:r>
        <w:t>Why These Specific Codes Were Chosen</w:t>
      </w:r>
    </w:p>
    <w:p w14:paraId="0EE60290" w14:textId="77777777" w:rsidR="000C0BEB" w:rsidRDefault="000C0BEB" w:rsidP="000C0BEB">
      <w:pPr>
        <w:pStyle w:val="NormalWeb"/>
        <w:numPr>
          <w:ilvl w:val="0"/>
          <w:numId w:val="64"/>
        </w:numPr>
      </w:pPr>
      <w:r>
        <w:rPr>
          <w:rStyle w:val="Strong"/>
        </w:rPr>
        <w:t>Decentralized System (1.1)</w:t>
      </w:r>
      <w:r>
        <w:t xml:space="preserve">: The conversation emphasizes that </w:t>
      </w:r>
      <w:r>
        <w:rPr>
          <w:rStyle w:val="Strong"/>
        </w:rPr>
        <w:t>each institution</w:t>
      </w:r>
      <w:r>
        <w:t xml:space="preserve"> manages its misconduct allegations with no single national body handling investigations or decisions.</w:t>
      </w:r>
    </w:p>
    <w:p w14:paraId="28FD0C34" w14:textId="77777777" w:rsidR="000C0BEB" w:rsidRDefault="000C0BEB" w:rsidP="000C0BEB">
      <w:pPr>
        <w:pStyle w:val="NormalWeb"/>
        <w:numPr>
          <w:ilvl w:val="0"/>
          <w:numId w:val="64"/>
        </w:numPr>
      </w:pPr>
      <w:r>
        <w:rPr>
          <w:rStyle w:val="Strong"/>
        </w:rPr>
        <w:t>Primarily Self-Regulation (1.2)</w:t>
      </w:r>
      <w:r>
        <w:t>: There is no statutory law defining research misconduct; the Concordat and funder policies shape the framework.</w:t>
      </w:r>
    </w:p>
    <w:p w14:paraId="0ECA0215" w14:textId="77777777" w:rsidR="000C0BEB" w:rsidRDefault="000C0BEB" w:rsidP="000C0BEB">
      <w:pPr>
        <w:pStyle w:val="NormalWeb"/>
        <w:numPr>
          <w:ilvl w:val="0"/>
          <w:numId w:val="64"/>
        </w:numPr>
      </w:pPr>
      <w:r>
        <w:rPr>
          <w:rStyle w:val="Strong"/>
        </w:rPr>
        <w:t>Emphasis on Self-Regulation (1.3)</w:t>
      </w:r>
      <w:r>
        <w:t>: The UK approach relies on institutional responsibility and peer oversight rather than a national enforcement agency.</w:t>
      </w:r>
    </w:p>
    <w:p w14:paraId="76BE9546" w14:textId="77777777" w:rsidR="000C0BEB" w:rsidRDefault="000C0BEB" w:rsidP="000C0BEB">
      <w:pPr>
        <w:pStyle w:val="NormalWeb"/>
        <w:numPr>
          <w:ilvl w:val="0"/>
          <w:numId w:val="64"/>
        </w:numPr>
      </w:pPr>
      <w:r>
        <w:rPr>
          <w:rStyle w:val="Strong"/>
        </w:rPr>
        <w:t>Major Reforms (2.1)</w:t>
      </w:r>
      <w:r>
        <w:t>: The creation of UKRIO (2006) and UK CORI (2022), plus updates to the Concordat (2012, 2019, 2025), count as significant structural changes.</w:t>
      </w:r>
    </w:p>
    <w:p w14:paraId="0871A0BC" w14:textId="77777777" w:rsidR="000C0BEB" w:rsidRDefault="000C0BEB" w:rsidP="000C0BEB">
      <w:pPr>
        <w:pStyle w:val="NormalWeb"/>
        <w:numPr>
          <w:ilvl w:val="0"/>
          <w:numId w:val="64"/>
        </w:numPr>
      </w:pPr>
      <w:r>
        <w:rPr>
          <w:rStyle w:val="Strong"/>
        </w:rPr>
        <w:t>Drivers (2.2)</w:t>
      </w:r>
      <w:r>
        <w:t>: Parliamentary committees and international alignment (ALLEA) spurred evolution.</w:t>
      </w:r>
    </w:p>
    <w:p w14:paraId="0A2FFAFB" w14:textId="77777777" w:rsidR="000C0BEB" w:rsidRDefault="000C0BEB" w:rsidP="000C0BEB">
      <w:pPr>
        <w:pStyle w:val="NormalWeb"/>
        <w:numPr>
          <w:ilvl w:val="0"/>
          <w:numId w:val="64"/>
        </w:numPr>
      </w:pPr>
      <w:r>
        <w:rPr>
          <w:rStyle w:val="Strong"/>
        </w:rPr>
        <w:lastRenderedPageBreak/>
        <w:t>Advisory National Bodies (3.1)</w:t>
      </w:r>
      <w:r>
        <w:t xml:space="preserve">: UKRIO and UK CORI issue guidelines and coordinate but do </w:t>
      </w:r>
      <w:r>
        <w:rPr>
          <w:rStyle w:val="Strong"/>
        </w:rPr>
        <w:t>not</w:t>
      </w:r>
      <w:r>
        <w:t xml:space="preserve"> investigate or sanction.</w:t>
      </w:r>
    </w:p>
    <w:p w14:paraId="6DBC28E0" w14:textId="77777777" w:rsidR="000C0BEB" w:rsidRDefault="000C0BEB" w:rsidP="000C0BEB">
      <w:pPr>
        <w:pStyle w:val="NormalWeb"/>
        <w:numPr>
          <w:ilvl w:val="0"/>
          <w:numId w:val="64"/>
        </w:numPr>
      </w:pPr>
      <w:r>
        <w:rPr>
          <w:rStyle w:val="Strong"/>
        </w:rPr>
        <w:t>Moderate Independence (3.1.3)</w:t>
      </w:r>
      <w:r>
        <w:t>: UKRIO is an independent charity; UK CORI is government-funded yet also intended to be independent.</w:t>
      </w:r>
    </w:p>
    <w:p w14:paraId="66791455" w14:textId="77777777" w:rsidR="000C0BEB" w:rsidRDefault="000C0BEB" w:rsidP="000C0BEB">
      <w:pPr>
        <w:pStyle w:val="NormalWeb"/>
        <w:numPr>
          <w:ilvl w:val="0"/>
          <w:numId w:val="64"/>
        </w:numPr>
      </w:pPr>
      <w:r>
        <w:rPr>
          <w:rStyle w:val="Strong"/>
        </w:rPr>
        <w:t>Partially Required Internal Bodies (3.2.1)</w:t>
      </w:r>
      <w:r>
        <w:t>: Institutions must comply to get funding, but it’s not mandated by law.</w:t>
      </w:r>
    </w:p>
    <w:p w14:paraId="4E0DDD91" w14:textId="77777777" w:rsidR="000C0BEB" w:rsidRDefault="000C0BEB" w:rsidP="000C0BEB">
      <w:pPr>
        <w:pStyle w:val="NormalWeb"/>
        <w:numPr>
          <w:ilvl w:val="0"/>
          <w:numId w:val="64"/>
        </w:numPr>
      </w:pPr>
      <w:r>
        <w:rPr>
          <w:rStyle w:val="Strong"/>
        </w:rPr>
        <w:t>Institutional-Led Investigations (3.2.3; 6.3)</w:t>
      </w:r>
      <w:r>
        <w:t>: Complaints are handled in-house, with final sanctions imposed by university leadership.</w:t>
      </w:r>
    </w:p>
    <w:p w14:paraId="04F9D19B" w14:textId="77777777" w:rsidR="000C0BEB" w:rsidRDefault="000C0BEB" w:rsidP="000C0BEB">
      <w:pPr>
        <w:pStyle w:val="NormalWeb"/>
        <w:numPr>
          <w:ilvl w:val="0"/>
          <w:numId w:val="64"/>
        </w:numPr>
      </w:pPr>
      <w:r>
        <w:rPr>
          <w:rStyle w:val="Strong"/>
        </w:rPr>
        <w:t>Funders’ Role (3.3.2)</w:t>
      </w:r>
      <w:r>
        <w:t xml:space="preserve">: While they generally do </w:t>
      </w:r>
      <w:r>
        <w:rPr>
          <w:rStyle w:val="Strong"/>
        </w:rPr>
        <w:t>not</w:t>
      </w:r>
      <w:r>
        <w:t xml:space="preserve"> investigate, they can impose financial consequences—hence code “3.”</w:t>
      </w:r>
    </w:p>
    <w:p w14:paraId="7EEAD72F" w14:textId="77777777" w:rsidR="000C0BEB" w:rsidRDefault="000C0BEB" w:rsidP="000C0BEB">
      <w:pPr>
        <w:pStyle w:val="NormalWeb"/>
        <w:numPr>
          <w:ilvl w:val="0"/>
          <w:numId w:val="64"/>
        </w:numPr>
      </w:pPr>
      <w:r>
        <w:rPr>
          <w:rStyle w:val="Strong"/>
        </w:rPr>
        <w:t>No Dedicated Misconduct Law (4.1)</w:t>
      </w:r>
      <w:r>
        <w:t>: The UK uses general legal frameworks (fraud, labor law).</w:t>
      </w:r>
    </w:p>
    <w:p w14:paraId="124E28E7" w14:textId="77777777" w:rsidR="000C0BEB" w:rsidRDefault="000C0BEB" w:rsidP="000C0BEB">
      <w:pPr>
        <w:pStyle w:val="NormalWeb"/>
        <w:numPr>
          <w:ilvl w:val="0"/>
          <w:numId w:val="64"/>
        </w:numPr>
      </w:pPr>
      <w:r>
        <w:rPr>
          <w:rStyle w:val="Strong"/>
        </w:rPr>
        <w:t>Concordat as “Soft Law” (4.2)</w:t>
      </w:r>
      <w:r>
        <w:t>: It is not legislated but effectively mandatory due to funding conditions.</w:t>
      </w:r>
    </w:p>
    <w:p w14:paraId="5B83DF16" w14:textId="77777777" w:rsidR="000C0BEB" w:rsidRDefault="000C0BEB" w:rsidP="000C0BEB">
      <w:pPr>
        <w:pStyle w:val="NormalWeb"/>
        <w:numPr>
          <w:ilvl w:val="0"/>
          <w:numId w:val="64"/>
        </w:numPr>
      </w:pPr>
      <w:r>
        <w:rPr>
          <w:rStyle w:val="Strong"/>
        </w:rPr>
        <w:t>Detailed Definition (5.1–5.2)</w:t>
      </w:r>
      <w:r>
        <w:t>: The Concordat covers more than just FFP; questionable practices are at least mentioned.</w:t>
      </w:r>
    </w:p>
    <w:p w14:paraId="6D123F88" w14:textId="77777777" w:rsidR="000C0BEB" w:rsidRDefault="000C0BEB" w:rsidP="000C0BEB">
      <w:pPr>
        <w:pStyle w:val="NormalWeb"/>
        <w:numPr>
          <w:ilvl w:val="0"/>
          <w:numId w:val="64"/>
        </w:numPr>
      </w:pPr>
      <w:r>
        <w:rPr>
          <w:rStyle w:val="Strong"/>
        </w:rPr>
        <w:t>Clear Procedure for Complaints (6.1–6.5)</w:t>
      </w:r>
      <w:r>
        <w:t xml:space="preserve"> with confidentiality, triage, full investigation, and final decision by the institution.</w:t>
      </w:r>
    </w:p>
    <w:p w14:paraId="701C3DDD" w14:textId="77777777" w:rsidR="000C0BEB" w:rsidRDefault="000C0BEB" w:rsidP="000C0BEB">
      <w:pPr>
        <w:pStyle w:val="NormalWeb"/>
        <w:numPr>
          <w:ilvl w:val="0"/>
          <w:numId w:val="64"/>
        </w:numPr>
      </w:pPr>
      <w:r>
        <w:rPr>
          <w:rStyle w:val="Strong"/>
        </w:rPr>
        <w:t>Balanced Sanctions (7.3)</w:t>
      </w:r>
      <w:r>
        <w:t>: Emphasis on correcting the scholarly record and punishing serious misconduct.</w:t>
      </w:r>
    </w:p>
    <w:p w14:paraId="067E3210" w14:textId="77777777" w:rsidR="000C0BEB" w:rsidRDefault="000C0BEB" w:rsidP="000C0BEB">
      <w:pPr>
        <w:pStyle w:val="NormalWeb"/>
        <w:numPr>
          <w:ilvl w:val="0"/>
          <w:numId w:val="64"/>
        </w:numPr>
      </w:pPr>
      <w:r>
        <w:rPr>
          <w:rStyle w:val="Strong"/>
        </w:rPr>
        <w:t>Appeals at Institutional Level (8.1)</w:t>
      </w:r>
      <w:r>
        <w:t>, no national appeals board (8.2), possibility of judicial appeals.</w:t>
      </w:r>
    </w:p>
    <w:p w14:paraId="32533D25" w14:textId="77777777" w:rsidR="000C0BEB" w:rsidRDefault="000C0BEB" w:rsidP="000C0BEB">
      <w:pPr>
        <w:pStyle w:val="NormalWeb"/>
        <w:numPr>
          <w:ilvl w:val="0"/>
          <w:numId w:val="64"/>
        </w:numPr>
      </w:pPr>
      <w:r>
        <w:rPr>
          <w:rStyle w:val="Strong"/>
        </w:rPr>
        <w:t>Protection for Whistleblowers (9.1)</w:t>
      </w:r>
      <w:r>
        <w:t xml:space="preserve"> via the Public Interest Disclosure Act; due process for the accused is well-described.</w:t>
      </w:r>
    </w:p>
    <w:p w14:paraId="3E5D8A29" w14:textId="77777777" w:rsidR="000C0BEB" w:rsidRDefault="000C0BEB" w:rsidP="000C0BEB">
      <w:pPr>
        <w:pStyle w:val="NormalWeb"/>
        <w:numPr>
          <w:ilvl w:val="0"/>
          <w:numId w:val="64"/>
        </w:numPr>
      </w:pPr>
      <w:r>
        <w:rPr>
          <w:rStyle w:val="Strong"/>
        </w:rPr>
        <w:t>Annual Reporting (10.1–10.3)</w:t>
      </w:r>
      <w:r>
        <w:t xml:space="preserve"> by institutions, aggregated info published; confidentiality is strongly protected.</w:t>
      </w:r>
    </w:p>
    <w:p w14:paraId="258A18F1" w14:textId="77777777" w:rsidR="000C0BEB" w:rsidRDefault="000C0BEB" w:rsidP="000C0BEB">
      <w:pPr>
        <w:pStyle w:val="NormalWeb"/>
        <w:numPr>
          <w:ilvl w:val="0"/>
          <w:numId w:val="64"/>
        </w:numPr>
      </w:pPr>
      <w:r>
        <w:rPr>
          <w:rStyle w:val="Strong"/>
        </w:rPr>
        <w:t>Minor Regional Variations (12.1)</w:t>
      </w:r>
      <w:r>
        <w:t>: England, Scotland, Wales, NI differ in funding councils and student ombuds, but the core approach is unified.</w:t>
      </w:r>
    </w:p>
    <w:p w14:paraId="3DEBAB6B" w14:textId="77777777" w:rsidR="000C0BEB" w:rsidRDefault="000C0BEB" w:rsidP="000C0BEB">
      <w:pPr>
        <w:pStyle w:val="NormalWeb"/>
        <w:numPr>
          <w:ilvl w:val="0"/>
          <w:numId w:val="64"/>
        </w:numPr>
      </w:pPr>
      <w:r>
        <w:rPr>
          <w:rStyle w:val="Strong"/>
        </w:rPr>
        <w:t>No Illustrative Cases Provided (13.1)</w:t>
      </w:r>
      <w:r>
        <w:t xml:space="preserve"> in the text.</w:t>
      </w:r>
    </w:p>
    <w:p w14:paraId="151C07DB" w14:textId="77777777" w:rsidR="000C0BEB" w:rsidRDefault="000C0BEB" w:rsidP="000C0BEB">
      <w:pPr>
        <w:pStyle w:val="NormalWeb"/>
      </w:pPr>
      <w:r>
        <w:t xml:space="preserve">By mapping each piece of information to the closest applicable category, we preserve both the </w:t>
      </w:r>
      <w:r>
        <w:rPr>
          <w:rStyle w:val="Strong"/>
        </w:rPr>
        <w:t>structured</w:t>
      </w:r>
      <w:r>
        <w:t xml:space="preserve"> comparison points and the </w:t>
      </w:r>
      <w:r>
        <w:rPr>
          <w:rStyle w:val="Strong"/>
        </w:rPr>
        <w:t>contextual</w:t>
      </w:r>
      <w:r>
        <w:t xml:space="preserve"> details that show how the UK’s decentralized, self-regulatory approach operates under a nationally coordinated “soft law” framework.</w:t>
      </w:r>
    </w:p>
    <w:p w14:paraId="5726078E" w14:textId="77777777" w:rsidR="00407C7C" w:rsidRPr="000C0BEB" w:rsidRDefault="00407C7C" w:rsidP="000C0BEB"/>
    <w:sectPr w:rsidR="00407C7C" w:rsidRPr="000C0BEB"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2D9"/>
    <w:multiLevelType w:val="multilevel"/>
    <w:tmpl w:val="6ED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5BC6"/>
    <w:multiLevelType w:val="multilevel"/>
    <w:tmpl w:val="F65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C4800"/>
    <w:multiLevelType w:val="multilevel"/>
    <w:tmpl w:val="CBA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2E3"/>
    <w:multiLevelType w:val="multilevel"/>
    <w:tmpl w:val="FE22E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D494B"/>
    <w:multiLevelType w:val="multilevel"/>
    <w:tmpl w:val="0366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97843"/>
    <w:multiLevelType w:val="multilevel"/>
    <w:tmpl w:val="CDACB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119DF"/>
    <w:multiLevelType w:val="multilevel"/>
    <w:tmpl w:val="7F72C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01498"/>
    <w:multiLevelType w:val="multilevel"/>
    <w:tmpl w:val="7CAA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45903"/>
    <w:multiLevelType w:val="multilevel"/>
    <w:tmpl w:val="212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F0B90"/>
    <w:multiLevelType w:val="multilevel"/>
    <w:tmpl w:val="A2DA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D669E"/>
    <w:multiLevelType w:val="multilevel"/>
    <w:tmpl w:val="201A0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C7B68"/>
    <w:multiLevelType w:val="multilevel"/>
    <w:tmpl w:val="2B862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E3C69"/>
    <w:multiLevelType w:val="multilevel"/>
    <w:tmpl w:val="A08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13A54"/>
    <w:multiLevelType w:val="multilevel"/>
    <w:tmpl w:val="B1C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10AFB"/>
    <w:multiLevelType w:val="multilevel"/>
    <w:tmpl w:val="E5322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E3725"/>
    <w:multiLevelType w:val="multilevel"/>
    <w:tmpl w:val="AC7A5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03932"/>
    <w:multiLevelType w:val="multilevel"/>
    <w:tmpl w:val="F02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E4C75"/>
    <w:multiLevelType w:val="multilevel"/>
    <w:tmpl w:val="B19C5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3214D"/>
    <w:multiLevelType w:val="multilevel"/>
    <w:tmpl w:val="94A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24E4D"/>
    <w:multiLevelType w:val="multilevel"/>
    <w:tmpl w:val="2798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F46F1"/>
    <w:multiLevelType w:val="multilevel"/>
    <w:tmpl w:val="982E8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A0B7A"/>
    <w:multiLevelType w:val="multilevel"/>
    <w:tmpl w:val="FB3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A5844"/>
    <w:multiLevelType w:val="multilevel"/>
    <w:tmpl w:val="DF5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F5846"/>
    <w:multiLevelType w:val="multilevel"/>
    <w:tmpl w:val="7FAC6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269C8"/>
    <w:multiLevelType w:val="multilevel"/>
    <w:tmpl w:val="DCD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E2EA0"/>
    <w:multiLevelType w:val="multilevel"/>
    <w:tmpl w:val="E8826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EA7E18"/>
    <w:multiLevelType w:val="multilevel"/>
    <w:tmpl w:val="54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819A0"/>
    <w:multiLevelType w:val="multilevel"/>
    <w:tmpl w:val="64A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D7060"/>
    <w:multiLevelType w:val="multilevel"/>
    <w:tmpl w:val="D05A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94EB5"/>
    <w:multiLevelType w:val="multilevel"/>
    <w:tmpl w:val="9A44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8519B"/>
    <w:multiLevelType w:val="multilevel"/>
    <w:tmpl w:val="D9F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6719E"/>
    <w:multiLevelType w:val="multilevel"/>
    <w:tmpl w:val="0160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707B7"/>
    <w:multiLevelType w:val="multilevel"/>
    <w:tmpl w:val="6B40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04776"/>
    <w:multiLevelType w:val="multilevel"/>
    <w:tmpl w:val="84E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C21A5"/>
    <w:multiLevelType w:val="multilevel"/>
    <w:tmpl w:val="EAA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F79A8"/>
    <w:multiLevelType w:val="multilevel"/>
    <w:tmpl w:val="E836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9289F"/>
    <w:multiLevelType w:val="multilevel"/>
    <w:tmpl w:val="44BE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E389C"/>
    <w:multiLevelType w:val="multilevel"/>
    <w:tmpl w:val="FD86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7B7EE5"/>
    <w:multiLevelType w:val="multilevel"/>
    <w:tmpl w:val="EF7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43770"/>
    <w:multiLevelType w:val="multilevel"/>
    <w:tmpl w:val="F2AE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9010D"/>
    <w:multiLevelType w:val="multilevel"/>
    <w:tmpl w:val="EB6A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20B6F"/>
    <w:multiLevelType w:val="multilevel"/>
    <w:tmpl w:val="BC3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720DD"/>
    <w:multiLevelType w:val="multilevel"/>
    <w:tmpl w:val="F314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E7753"/>
    <w:multiLevelType w:val="multilevel"/>
    <w:tmpl w:val="0FAE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7B4190"/>
    <w:multiLevelType w:val="multilevel"/>
    <w:tmpl w:val="043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F05A2A"/>
    <w:multiLevelType w:val="multilevel"/>
    <w:tmpl w:val="A8D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F0D93"/>
    <w:multiLevelType w:val="multilevel"/>
    <w:tmpl w:val="D034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20BA2"/>
    <w:multiLevelType w:val="multilevel"/>
    <w:tmpl w:val="092AD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1833D2"/>
    <w:multiLevelType w:val="multilevel"/>
    <w:tmpl w:val="57E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7C11FF"/>
    <w:multiLevelType w:val="multilevel"/>
    <w:tmpl w:val="356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C577F4"/>
    <w:multiLevelType w:val="multilevel"/>
    <w:tmpl w:val="454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C90D36"/>
    <w:multiLevelType w:val="multilevel"/>
    <w:tmpl w:val="1874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50A41"/>
    <w:multiLevelType w:val="multilevel"/>
    <w:tmpl w:val="21FA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B309E"/>
    <w:multiLevelType w:val="multilevel"/>
    <w:tmpl w:val="CED4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37FB1"/>
    <w:multiLevelType w:val="multilevel"/>
    <w:tmpl w:val="084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D06560"/>
    <w:multiLevelType w:val="multilevel"/>
    <w:tmpl w:val="C17E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152E31"/>
    <w:multiLevelType w:val="multilevel"/>
    <w:tmpl w:val="86F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FA7F02"/>
    <w:multiLevelType w:val="multilevel"/>
    <w:tmpl w:val="6DD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8106CE"/>
    <w:multiLevelType w:val="multilevel"/>
    <w:tmpl w:val="6CD23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8825FE"/>
    <w:multiLevelType w:val="multilevel"/>
    <w:tmpl w:val="7218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702BF"/>
    <w:multiLevelType w:val="multilevel"/>
    <w:tmpl w:val="1C4C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BC5006"/>
    <w:multiLevelType w:val="multilevel"/>
    <w:tmpl w:val="84C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0662E0"/>
    <w:multiLevelType w:val="multilevel"/>
    <w:tmpl w:val="E9EC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F44BD"/>
    <w:multiLevelType w:val="multilevel"/>
    <w:tmpl w:val="8D2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924374">
    <w:abstractNumId w:val="42"/>
  </w:num>
  <w:num w:numId="2" w16cid:durableId="453064126">
    <w:abstractNumId w:val="1"/>
  </w:num>
  <w:num w:numId="3" w16cid:durableId="35933263">
    <w:abstractNumId w:val="20"/>
  </w:num>
  <w:num w:numId="4" w16cid:durableId="946235563">
    <w:abstractNumId w:val="10"/>
  </w:num>
  <w:num w:numId="5" w16cid:durableId="797070087">
    <w:abstractNumId w:val="37"/>
  </w:num>
  <w:num w:numId="6" w16cid:durableId="96289114">
    <w:abstractNumId w:val="25"/>
  </w:num>
  <w:num w:numId="7" w16cid:durableId="1604455583">
    <w:abstractNumId w:val="47"/>
  </w:num>
  <w:num w:numId="8" w16cid:durableId="1495336309">
    <w:abstractNumId w:val="52"/>
  </w:num>
  <w:num w:numId="9" w16cid:durableId="2114083917">
    <w:abstractNumId w:val="11"/>
  </w:num>
  <w:num w:numId="10" w16cid:durableId="1161430226">
    <w:abstractNumId w:val="58"/>
  </w:num>
  <w:num w:numId="11" w16cid:durableId="203829688">
    <w:abstractNumId w:val="17"/>
  </w:num>
  <w:num w:numId="12" w16cid:durableId="405884121">
    <w:abstractNumId w:val="5"/>
  </w:num>
  <w:num w:numId="13" w16cid:durableId="1724401391">
    <w:abstractNumId w:val="23"/>
  </w:num>
  <w:num w:numId="14" w16cid:durableId="2027369081">
    <w:abstractNumId w:val="29"/>
  </w:num>
  <w:num w:numId="15" w16cid:durableId="185217407">
    <w:abstractNumId w:val="40"/>
  </w:num>
  <w:num w:numId="16" w16cid:durableId="352925779">
    <w:abstractNumId w:val="8"/>
  </w:num>
  <w:num w:numId="17" w16cid:durableId="1969433737">
    <w:abstractNumId w:val="16"/>
  </w:num>
  <w:num w:numId="18" w16cid:durableId="103889525">
    <w:abstractNumId w:val="34"/>
  </w:num>
  <w:num w:numId="19" w16cid:durableId="1348944138">
    <w:abstractNumId w:val="9"/>
  </w:num>
  <w:num w:numId="20" w16cid:durableId="1730032879">
    <w:abstractNumId w:val="7"/>
  </w:num>
  <w:num w:numId="21" w16cid:durableId="1705446530">
    <w:abstractNumId w:val="15"/>
  </w:num>
  <w:num w:numId="22" w16cid:durableId="2054887894">
    <w:abstractNumId w:val="31"/>
  </w:num>
  <w:num w:numId="23" w16cid:durableId="1492255978">
    <w:abstractNumId w:val="38"/>
  </w:num>
  <w:num w:numId="24" w16cid:durableId="905460393">
    <w:abstractNumId w:val="6"/>
  </w:num>
  <w:num w:numId="25" w16cid:durableId="581724235">
    <w:abstractNumId w:val="60"/>
  </w:num>
  <w:num w:numId="26" w16cid:durableId="1139147713">
    <w:abstractNumId w:val="49"/>
  </w:num>
  <w:num w:numId="27" w16cid:durableId="1127120254">
    <w:abstractNumId w:val="41"/>
  </w:num>
  <w:num w:numId="28" w16cid:durableId="422339142">
    <w:abstractNumId w:val="51"/>
  </w:num>
  <w:num w:numId="29" w16cid:durableId="1473795231">
    <w:abstractNumId w:val="2"/>
  </w:num>
  <w:num w:numId="30" w16cid:durableId="717433228">
    <w:abstractNumId w:val="50"/>
  </w:num>
  <w:num w:numId="31" w16cid:durableId="508328506">
    <w:abstractNumId w:val="44"/>
  </w:num>
  <w:num w:numId="32" w16cid:durableId="1294286156">
    <w:abstractNumId w:val="14"/>
  </w:num>
  <w:num w:numId="33" w16cid:durableId="1222593475">
    <w:abstractNumId w:val="27"/>
  </w:num>
  <w:num w:numId="34" w16cid:durableId="1275404070">
    <w:abstractNumId w:val="54"/>
  </w:num>
  <w:num w:numId="35" w16cid:durableId="583955056">
    <w:abstractNumId w:val="56"/>
  </w:num>
  <w:num w:numId="36" w16cid:durableId="160699392">
    <w:abstractNumId w:val="18"/>
  </w:num>
  <w:num w:numId="37" w16cid:durableId="2036998060">
    <w:abstractNumId w:val="24"/>
  </w:num>
  <w:num w:numId="38" w16cid:durableId="912665082">
    <w:abstractNumId w:val="45"/>
  </w:num>
  <w:num w:numId="39" w16cid:durableId="549877020">
    <w:abstractNumId w:val="13"/>
  </w:num>
  <w:num w:numId="40" w16cid:durableId="2100903095">
    <w:abstractNumId w:val="33"/>
  </w:num>
  <w:num w:numId="41" w16cid:durableId="2121993459">
    <w:abstractNumId w:val="21"/>
  </w:num>
  <w:num w:numId="42" w16cid:durableId="1819612624">
    <w:abstractNumId w:val="57"/>
  </w:num>
  <w:num w:numId="43" w16cid:durableId="1938514371">
    <w:abstractNumId w:val="63"/>
  </w:num>
  <w:num w:numId="44" w16cid:durableId="1235045747">
    <w:abstractNumId w:val="12"/>
  </w:num>
  <w:num w:numId="45" w16cid:durableId="2117171254">
    <w:abstractNumId w:val="59"/>
  </w:num>
  <w:num w:numId="46" w16cid:durableId="2008054715">
    <w:abstractNumId w:val="3"/>
  </w:num>
  <w:num w:numId="47" w16cid:durableId="82073866">
    <w:abstractNumId w:val="39"/>
  </w:num>
  <w:num w:numId="48" w16cid:durableId="582566765">
    <w:abstractNumId w:val="28"/>
  </w:num>
  <w:num w:numId="49" w16cid:durableId="1800950722">
    <w:abstractNumId w:val="19"/>
  </w:num>
  <w:num w:numId="50" w16cid:durableId="213277907">
    <w:abstractNumId w:val="55"/>
  </w:num>
  <w:num w:numId="51" w16cid:durableId="1725178248">
    <w:abstractNumId w:val="22"/>
  </w:num>
  <w:num w:numId="52" w16cid:durableId="375155228">
    <w:abstractNumId w:val="0"/>
  </w:num>
  <w:num w:numId="53" w16cid:durableId="230510865">
    <w:abstractNumId w:val="62"/>
  </w:num>
  <w:num w:numId="54" w16cid:durableId="1387069529">
    <w:abstractNumId w:val="26"/>
  </w:num>
  <w:num w:numId="55" w16cid:durableId="99617203">
    <w:abstractNumId w:val="46"/>
  </w:num>
  <w:num w:numId="56" w16cid:durableId="1465149910">
    <w:abstractNumId w:val="61"/>
  </w:num>
  <w:num w:numId="57" w16cid:durableId="203176266">
    <w:abstractNumId w:val="53"/>
  </w:num>
  <w:num w:numId="58" w16cid:durableId="2132898655">
    <w:abstractNumId w:val="48"/>
  </w:num>
  <w:num w:numId="59" w16cid:durableId="1570379396">
    <w:abstractNumId w:val="36"/>
  </w:num>
  <w:num w:numId="60" w16cid:durableId="2031295465">
    <w:abstractNumId w:val="35"/>
  </w:num>
  <w:num w:numId="61" w16cid:durableId="1653945472">
    <w:abstractNumId w:val="4"/>
  </w:num>
  <w:num w:numId="62" w16cid:durableId="1407998028">
    <w:abstractNumId w:val="30"/>
  </w:num>
  <w:num w:numId="63" w16cid:durableId="884751720">
    <w:abstractNumId w:val="32"/>
  </w:num>
  <w:num w:numId="64" w16cid:durableId="199540727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6E"/>
    <w:rsid w:val="000C0BEB"/>
    <w:rsid w:val="0023427A"/>
    <w:rsid w:val="0036154D"/>
    <w:rsid w:val="00392002"/>
    <w:rsid w:val="00407C7C"/>
    <w:rsid w:val="004E2765"/>
    <w:rsid w:val="007A24AA"/>
    <w:rsid w:val="009F306F"/>
    <w:rsid w:val="00C119C8"/>
    <w:rsid w:val="00FB446E"/>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3C86E0D"/>
  <w15:chartTrackingRefBased/>
  <w15:docId w15:val="{6284564C-DC4F-4C90-9D97-9433079E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119C8"/>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C119C8"/>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paragraph" w:styleId="Heading4">
    <w:name w:val="heading 4"/>
    <w:basedOn w:val="Normal"/>
    <w:link w:val="Heading4Char"/>
    <w:uiPriority w:val="9"/>
    <w:qFormat/>
    <w:rsid w:val="00C119C8"/>
    <w:pPr>
      <w:spacing w:before="100" w:beforeAutospacing="1" w:after="100" w:afterAutospacing="1" w:line="240" w:lineRule="auto"/>
      <w:outlineLvl w:val="3"/>
    </w:pPr>
    <w:rPr>
      <w:rFonts w:ascii="Times New Roman" w:eastAsia="Times New Roman" w:hAnsi="Times New Roman" w:cs="Times New Roman"/>
      <w:b/>
      <w:bCs/>
      <w:kern w:val="0"/>
      <w:sz w:val="24"/>
      <w:szCs w:val="24"/>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9C8"/>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C119C8"/>
    <w:rPr>
      <w:rFonts w:ascii="Times New Roman" w:eastAsia="Times New Roman" w:hAnsi="Times New Roman" w:cs="Times New Roman"/>
      <w:b/>
      <w:bCs/>
      <w:kern w:val="0"/>
      <w:sz w:val="27"/>
      <w:szCs w:val="27"/>
      <w:lang w:val="nl-NL"/>
      <w14:ligatures w14:val="none"/>
    </w:rPr>
  </w:style>
  <w:style w:type="character" w:customStyle="1" w:styleId="Heading4Char">
    <w:name w:val="Heading 4 Char"/>
    <w:basedOn w:val="DefaultParagraphFont"/>
    <w:link w:val="Heading4"/>
    <w:uiPriority w:val="9"/>
    <w:rsid w:val="00C119C8"/>
    <w:rPr>
      <w:rFonts w:ascii="Times New Roman" w:eastAsia="Times New Roman" w:hAnsi="Times New Roman" w:cs="Times New Roman"/>
      <w:b/>
      <w:bCs/>
      <w:kern w:val="0"/>
      <w:sz w:val="24"/>
      <w:szCs w:val="24"/>
      <w:lang w:val="nl-NL"/>
      <w14:ligatures w14:val="none"/>
    </w:rPr>
  </w:style>
  <w:style w:type="paragraph" w:styleId="NormalWeb">
    <w:name w:val="Normal (Web)"/>
    <w:basedOn w:val="Normal"/>
    <w:uiPriority w:val="99"/>
    <w:semiHidden/>
    <w:unhideWhenUsed/>
    <w:rsid w:val="00C119C8"/>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C119C8"/>
    <w:rPr>
      <w:b/>
      <w:bCs/>
    </w:rPr>
  </w:style>
  <w:style w:type="character" w:styleId="Hyperlink">
    <w:name w:val="Hyperlink"/>
    <w:basedOn w:val="DefaultParagraphFont"/>
    <w:uiPriority w:val="99"/>
    <w:semiHidden/>
    <w:unhideWhenUsed/>
    <w:rsid w:val="00C119C8"/>
    <w:rPr>
      <w:color w:val="0000FF"/>
      <w:u w:val="single"/>
    </w:rPr>
  </w:style>
  <w:style w:type="character" w:styleId="Emphasis">
    <w:name w:val="Emphasis"/>
    <w:basedOn w:val="DefaultParagraphFont"/>
    <w:uiPriority w:val="20"/>
    <w:qFormat/>
    <w:rsid w:val="00C119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920319">
      <w:bodyDiv w:val="1"/>
      <w:marLeft w:val="0"/>
      <w:marRight w:val="0"/>
      <w:marTop w:val="0"/>
      <w:marBottom w:val="0"/>
      <w:divBdr>
        <w:top w:val="none" w:sz="0" w:space="0" w:color="auto"/>
        <w:left w:val="none" w:sz="0" w:space="0" w:color="auto"/>
        <w:bottom w:val="none" w:sz="0" w:space="0" w:color="auto"/>
        <w:right w:val="none" w:sz="0" w:space="0" w:color="auto"/>
      </w:divBdr>
    </w:div>
    <w:div w:id="184728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ri.org/" TargetMode="External"/><Relationship Id="rId5" Type="http://schemas.openxmlformats.org/officeDocument/2006/relationships/hyperlink" Target="https://ukrio.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2382</Words>
  <Characters>13105</Characters>
  <Application>Microsoft Office Word</Application>
  <DocSecurity>0</DocSecurity>
  <Lines>109</Lines>
  <Paragraphs>30</Paragraphs>
  <ScaleCrop>false</ScaleCrop>
  <Company/>
  <LinksUpToDate>false</LinksUpToDate>
  <CharactersWithSpaces>15457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3</cp:revision>
  <dcterms:created xsi:type="dcterms:W3CDTF">2025-04-14T15:11:00Z</dcterms:created>
  <dcterms:modified xsi:type="dcterms:W3CDTF">2025-04-15T11:56:00Z</dcterms:modified>
</cp:coreProperties>
</file>