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Heading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 xml:space="preserve">Investment illustration for </w:t>
      </w:r>
      <w:r>
        <w:rPr>
          <w:rFonts w:ascii="Arial" w:hAnsi="Arial"/>
          <w:lang w:val="en-GB"/>
        </w:rPr>
      </w:r>
    </w:p>
    <w:p>
      <w:pPr>
        <w:pStyle w:val="FirstHeading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Fee and benefit proposal</w:t>
      </w:r>
    </w:p>
    <w:p>
      <w:pPr>
        <w:pStyle w:val="Normaltext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tbl>
      <w:tblPr>
        <w:tblW w:w="99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2119"/>
        <w:gridCol w:w="2946"/>
        <w:gridCol w:w="2321"/>
      </w:tblGrid>
      <w:tr>
        <w:trPr/>
        <w:tc>
          <w:tcPr>
            <w:tcW w:w="4653" w:type="dxa"/>
            <w:gridSpan w:val="2"/>
            <w:tcBorders/>
            <w:shd w:fill="auto" w:val="clear"/>
          </w:tcPr>
          <w:p>
            <w:pPr>
              <w:pStyle w:val="MainHeadings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Investor details</w:t>
            </w:r>
          </w:p>
        </w:tc>
        <w:tc>
          <w:tcPr>
            <w:tcW w:w="5267" w:type="dxa"/>
            <w:gridSpan w:val="2"/>
            <w:tcBorders/>
            <w:shd w:fill="auto" w:val="clear"/>
          </w:tcPr>
          <w:p>
            <w:pPr>
              <w:pStyle w:val="MainHeadings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Financial adviser details</w:t>
            </w:r>
          </w:p>
        </w:tc>
      </w:tr>
      <w:tr>
        <w:trPr/>
        <w:tc>
          <w:tcPr>
            <w:tcW w:w="2534" w:type="dxa"/>
            <w:vMerge w:val="restart"/>
            <w:tcBorders/>
            <w:shd w:fill="auto" w:val="clear"/>
          </w:tcPr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sz w:val="18"/>
                <w:szCs w:val="18"/>
              </w:rPr>
              <w:t>Investor</w:t>
            </w:r>
          </w:p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color w:val="FF0000"/>
                <w:sz w:val="18"/>
                <w:szCs w:val="18"/>
              </w:rPr>
              <w:t>{if}</w:t>
            </w:r>
            <w:r>
              <w:rPr>
                <w:rStyle w:val="DescriptorsinTextChar"/>
                <w:rFonts w:ascii="Arial" w:hAnsi="Arial"/>
                <w:b w:val="false"/>
                <w:sz w:val="18"/>
                <w:szCs w:val="18"/>
              </w:rPr>
              <w:t>Date of birth</w:t>
            </w:r>
          </w:p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sz w:val="18"/>
                <w:szCs w:val="18"/>
              </w:rPr>
              <w:t>Proposal date</w:t>
            </w:r>
          </w:p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sz w:val="18"/>
                <w:szCs w:val="18"/>
              </w:rPr>
              <w:t>Investment start date</w:t>
            </w:r>
          </w:p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sz w:val="18"/>
                <w:szCs w:val="18"/>
              </w:rPr>
              <w:t>Product</w:t>
            </w:r>
          </w:p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color w:val="FF0000"/>
                <w:sz w:val="18"/>
                <w:szCs w:val="18"/>
              </w:rPr>
              <w:t>{if}</w:t>
            </w:r>
            <w:r>
              <w:rPr>
                <w:rStyle w:val="DescriptorsinTextChar"/>
                <w:rFonts w:ascii="Arial" w:hAnsi="Arial"/>
                <w:b w:val="false"/>
                <w:sz w:val="18"/>
                <w:szCs w:val="18"/>
              </w:rPr>
              <w:t>End of restriction period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FF0000"/>
              </w:rPr>
              <w:t>{if}</w:t>
            </w:r>
            <w:r>
              <w:rPr>
                <w:rFonts w:ascii="Arial" w:hAnsi="Arial"/>
              </w:rPr>
              <w:t>Investment term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FF0000"/>
              </w:rPr>
              <w:t>{if}</w:t>
            </w:r>
            <w:r>
              <w:rPr>
                <w:rFonts w:ascii="Arial" w:hAnsi="Arial"/>
              </w:rPr>
              <w:t>Retirement age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FF0000"/>
                <w:lang w:val="en-GB"/>
              </w:rPr>
              <w:t>{if}</w:t>
            </w:r>
            <w:r>
              <w:rPr>
                <w:rFonts w:ascii="Arial" w:hAnsi="Arial"/>
                <w:lang w:val="en-GB"/>
              </w:rPr>
              <w:t>Tax status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Existing assets</w:t>
            </w:r>
          </w:p>
        </w:tc>
        <w:tc>
          <w:tcPr>
            <w:tcW w:w="2119" w:type="dxa"/>
            <w:vMerge w:val="restart"/>
            <w:tcBorders/>
            <w:shd w:fill="auto" w:val="clea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{Name}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{Date of birth}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{Proposal date}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{Investment start date}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{product name}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{Maturity date}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{term}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{retirement age}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{tax status}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R{Existing assets}</w:t>
            </w:r>
          </w:p>
        </w:tc>
        <w:tc>
          <w:tcPr>
            <w:tcW w:w="2946" w:type="dxa"/>
            <w:tcBorders/>
            <w:shd w:fill="auto" w:val="clear"/>
          </w:tcPr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sz w:val="18"/>
              </w:rPr>
              <w:t>Financial adviser</w:t>
            </w:r>
          </w:p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sz w:val="18"/>
              </w:rPr>
              <w:t>Financial services provider (FSP)</w:t>
            </w:r>
          </w:p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sz w:val="18"/>
              </w:rPr>
              <w:t xml:space="preserve">Telephone </w:t>
            </w:r>
          </w:p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sz w:val="18"/>
              </w:rPr>
              <w:t>Email</w:t>
            </w:r>
          </w:p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sz w:val="18"/>
              </w:rPr>
              <w:t>Indicated FSP licence types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321" w:type="dxa"/>
            <w:tcBorders/>
            <w:shd w:fill="auto" w:val="clea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{Broker name}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{Broker house name}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{Broker Tel}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{Broker email address}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{License codes}</w:t>
            </w:r>
          </w:p>
        </w:tc>
      </w:tr>
      <w:tr>
        <w:trPr/>
        <w:tc>
          <w:tcPr>
            <w:tcW w:w="2534" w:type="dxa"/>
            <w:vMerge w:val="continue"/>
            <w:tcBorders/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19" w:type="dxa"/>
            <w:vMerge w:val="continue"/>
            <w:tcBorders/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267" w:type="dxa"/>
            <w:gridSpan w:val="2"/>
            <w:tcBorders/>
            <w:shd w:fill="auto" w:val="clear"/>
          </w:tcPr>
          <w:p>
            <w:pPr>
              <w:pStyle w:val="MainHeadings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Momentum Wealth details</w:t>
            </w:r>
          </w:p>
        </w:tc>
      </w:tr>
      <w:tr>
        <w:trPr/>
        <w:tc>
          <w:tcPr>
            <w:tcW w:w="2534" w:type="dxa"/>
            <w:vMerge w:val="continue"/>
            <w:tcBorders/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119" w:type="dxa"/>
            <w:vMerge w:val="continue"/>
            <w:tcBorders/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946" w:type="dxa"/>
            <w:tcBorders/>
            <w:shd w:fill="auto" w:val="clear"/>
          </w:tcPr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sz w:val="18"/>
              </w:rPr>
              <w:t>Telephone</w:t>
            </w:r>
          </w:p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sz w:val="18"/>
              </w:rPr>
              <w:t xml:space="preserve">Fax </w:t>
            </w:r>
          </w:p>
          <w:p>
            <w:pPr>
              <w:pStyle w:val="Normaltext"/>
              <w:spacing w:lineRule="auto" w:line="240" w:before="0" w:after="0"/>
              <w:rPr/>
            </w:pPr>
            <w:r>
              <w:rPr>
                <w:rStyle w:val="DescriptorsinTextChar"/>
                <w:rFonts w:ascii="Arial" w:hAnsi="Arial"/>
                <w:b w:val="false"/>
                <w:sz w:val="18"/>
              </w:rPr>
              <w:t>Email</w:t>
            </w:r>
          </w:p>
        </w:tc>
        <w:tc>
          <w:tcPr>
            <w:tcW w:w="2321" w:type="dxa"/>
            <w:tcBorders/>
            <w:shd w:fill="auto" w:val="clea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{Appl Tel for broker class}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{Appl Fax for broker class}</w:t>
            </w:r>
          </w:p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{Appl email for broker class}</w:t>
            </w:r>
          </w:p>
        </w:tc>
      </w:tr>
    </w:tbl>
    <w:p>
      <w:pPr>
        <w:pStyle w:val="Normaltext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text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MainHeadings"/>
        <w:rPr/>
      </w:pPr>
      <w:r>
        <w:rPr>
          <w:rFonts w:ascii="Arial" w:hAnsi="Arial"/>
          <w:lang w:val="en-GB"/>
        </w:rPr>
        <w:t>Investment summary</w:t>
      </w:r>
      <w:r>
        <w:rPr>
          <w:rStyle w:val="HeadingtabChar"/>
          <w:rFonts w:ascii="Arial" w:hAnsi="Arial"/>
        </w:rPr>
        <w:tab/>
      </w:r>
    </w:p>
    <w:p>
      <w:pPr>
        <w:pStyle w:val="Normaltext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text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tbl>
      <w:tblPr>
        <w:tblW w:w="10405" w:type="dxa"/>
        <w:jc w:val="left"/>
        <w:tblInd w:w="0" w:type="dxa"/>
        <w:tblBorders>
          <w:top w:val="single" w:sz="12" w:space="0" w:color="DDDDDD"/>
          <w:left w:val="single" w:sz="12" w:space="0" w:color="DDDDDD"/>
          <w:bottom w:val="single" w:sz="6" w:space="0" w:color="DDDDDD"/>
          <w:right w:val="single" w:sz="12" w:space="0" w:color="DDDDDD"/>
          <w:insideH w:val="single" w:sz="6" w:space="0" w:color="DDDDDD"/>
          <w:insideV w:val="single" w:sz="12" w:space="0" w:color="DDDDDD"/>
        </w:tblBorders>
        <w:tblCellMar>
          <w:top w:w="57" w:type="dxa"/>
          <w:left w:w="57" w:type="dxa"/>
          <w:bottom w:w="57" w:type="dxa"/>
          <w:right w:w="57" w:type="dxa"/>
        </w:tblCellMar>
      </w:tblPr>
      <w:tblGrid>
        <w:gridCol w:w="6806"/>
        <w:gridCol w:w="1884"/>
        <w:gridCol w:w="1715"/>
      </w:tblGrid>
      <w:tr>
        <w:trPr/>
        <w:tc>
          <w:tcPr>
            <w:tcW w:w="6806" w:type="dxa"/>
            <w:tcBorders>
              <w:top w:val="single" w:sz="12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FF0000"/>
                <w:lang w:val="en-GB"/>
              </w:rPr>
              <w:t>{If lump sum}</w:t>
            </w:r>
            <w:r>
              <w:rPr>
                <w:rFonts w:ascii="Arial" w:hAnsi="Arial"/>
                <w:lang w:val="en-GB"/>
              </w:rPr>
              <w:t>Lump sum investment</w:t>
            </w:r>
          </w:p>
        </w:tc>
        <w:tc>
          <w:tcPr>
            <w:tcW w:w="1884" w:type="dxa"/>
            <w:tcBorders>
              <w:top w:val="single" w:sz="12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Value</w:t>
            </w:r>
          </w:p>
        </w:tc>
        <w:tc>
          <w:tcPr>
            <w:tcW w:w="1715" w:type="dxa"/>
            <w:tcBorders>
              <w:top w:val="single" w:sz="12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Percentage</w:t>
            </w:r>
          </w:p>
        </w:tc>
      </w:tr>
      <w:tr>
        <w:trPr/>
        <w:tc>
          <w:tcPr>
            <w:tcW w:w="6806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Investment amount</w:t>
            </w:r>
          </w:p>
        </w:tc>
        <w:tc>
          <w:tcPr>
            <w:tcW w:w="1884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 {Inv amount}</w:t>
            </w:r>
          </w:p>
        </w:tc>
        <w:tc>
          <w:tcPr>
            <w:tcW w:w="1715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/>
        <w:tc>
          <w:tcPr>
            <w:tcW w:w="6806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FF0000"/>
                <w:lang w:val="en-GB"/>
              </w:rPr>
              <w:t>{if}</w:t>
            </w:r>
            <w:r>
              <w:rPr>
                <w:rFonts w:ascii="Arial" w:hAnsi="Arial"/>
                <w:lang w:val="en-GB"/>
              </w:rPr>
              <w:t>Initial advice fee</w:t>
            </w:r>
          </w:p>
        </w:tc>
        <w:tc>
          <w:tcPr>
            <w:tcW w:w="1884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 R {RandIniAdv}</w:t>
            </w:r>
          </w:p>
        </w:tc>
        <w:tc>
          <w:tcPr>
            <w:tcW w:w="1715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{IniAdv%}</w:t>
            </w:r>
          </w:p>
        </w:tc>
      </w:tr>
      <w:tr>
        <w:trPr/>
        <w:tc>
          <w:tcPr>
            <w:tcW w:w="6806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FF0000"/>
                <w:lang w:val="en-GB"/>
              </w:rPr>
              <w:t>{if}</w:t>
            </w:r>
            <w:r>
              <w:rPr>
                <w:rFonts w:ascii="Arial" w:hAnsi="Arial"/>
                <w:lang w:val="en-GB"/>
              </w:rPr>
              <w:t>Initial distribution fee</w:t>
            </w:r>
          </w:p>
        </w:tc>
        <w:tc>
          <w:tcPr>
            <w:tcW w:w="1884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 R {RandIniAgen}</w:t>
            </w:r>
          </w:p>
        </w:tc>
        <w:tc>
          <w:tcPr>
            <w:tcW w:w="1715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/>
        <w:tc>
          <w:tcPr>
            <w:tcW w:w="6806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FF0000"/>
                <w:lang w:val="en-GB"/>
              </w:rPr>
              <w:t>{if}</w:t>
            </w:r>
            <w:r>
              <w:rPr>
                <w:rFonts w:ascii="Arial" w:hAnsi="Arial"/>
                <w:lang w:val="en-GB"/>
              </w:rPr>
              <w:t>Initial administration fee</w:t>
            </w:r>
          </w:p>
        </w:tc>
        <w:tc>
          <w:tcPr>
            <w:tcW w:w="1884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 R {RandIniAdm}</w:t>
            </w:r>
          </w:p>
        </w:tc>
        <w:tc>
          <w:tcPr>
            <w:tcW w:w="1715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{IniAdm%}</w:t>
            </w:r>
          </w:p>
        </w:tc>
      </w:tr>
      <w:tr>
        <w:trPr/>
        <w:tc>
          <w:tcPr>
            <w:tcW w:w="6806" w:type="dxa"/>
            <w:tcBorders>
              <w:top w:val="single" w:sz="6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  <w:insideH w:val="single" w:sz="12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Net investment amount</w:t>
            </w:r>
          </w:p>
        </w:tc>
        <w:tc>
          <w:tcPr>
            <w:tcW w:w="1884" w:type="dxa"/>
            <w:tcBorders>
              <w:top w:val="single" w:sz="6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  <w:insideH w:val="single" w:sz="12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 {Net inv amount}</w:t>
            </w:r>
          </w:p>
        </w:tc>
        <w:tc>
          <w:tcPr>
            <w:tcW w:w="1715" w:type="dxa"/>
            <w:tcBorders>
              <w:top w:val="single" w:sz="6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  <w:insideH w:val="single" w:sz="12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{Net inv %}</w:t>
            </w:r>
          </w:p>
        </w:tc>
      </w:tr>
    </w:tbl>
    <w:p>
      <w:pPr>
        <w:pStyle w:val="Normaltext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tbl>
      <w:tblPr>
        <w:tblW w:w="10405" w:type="dxa"/>
        <w:jc w:val="left"/>
        <w:tblInd w:w="0" w:type="dxa"/>
        <w:tblBorders>
          <w:top w:val="single" w:sz="12" w:space="0" w:color="DDDDDD"/>
          <w:left w:val="single" w:sz="12" w:space="0" w:color="DDDDDD"/>
          <w:bottom w:val="single" w:sz="6" w:space="0" w:color="DDDDDD"/>
          <w:right w:val="single" w:sz="12" w:space="0" w:color="DDDDDD"/>
          <w:insideH w:val="single" w:sz="6" w:space="0" w:color="DDDDDD"/>
          <w:insideV w:val="single" w:sz="12" w:space="0" w:color="DDDDDD"/>
        </w:tblBorders>
        <w:tblCellMar>
          <w:top w:w="57" w:type="dxa"/>
          <w:left w:w="57" w:type="dxa"/>
          <w:bottom w:w="57" w:type="dxa"/>
          <w:right w:w="57" w:type="dxa"/>
        </w:tblCellMar>
      </w:tblPr>
      <w:tblGrid>
        <w:gridCol w:w="6861"/>
        <w:gridCol w:w="1829"/>
        <w:gridCol w:w="1715"/>
      </w:tblGrid>
      <w:tr>
        <w:trPr/>
        <w:tc>
          <w:tcPr>
            <w:tcW w:w="6861" w:type="dxa"/>
            <w:tcBorders>
              <w:top w:val="single" w:sz="12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FF0000"/>
                <w:lang w:val="en-GB"/>
              </w:rPr>
              <w:t>{If regular}</w:t>
            </w:r>
            <w:r>
              <w:rPr>
                <w:rFonts w:ascii="Arial" w:hAnsi="Arial"/>
                <w:lang w:val="en-GB"/>
              </w:rPr>
              <w:t>Regular investment</w:t>
            </w:r>
          </w:p>
        </w:tc>
        <w:tc>
          <w:tcPr>
            <w:tcW w:w="1829" w:type="dxa"/>
            <w:tcBorders>
              <w:top w:val="single" w:sz="12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Value</w:t>
            </w:r>
          </w:p>
        </w:tc>
        <w:tc>
          <w:tcPr>
            <w:tcW w:w="1715" w:type="dxa"/>
            <w:tcBorders>
              <w:top w:val="single" w:sz="12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Percentage</w:t>
            </w:r>
          </w:p>
        </w:tc>
      </w:tr>
      <w:tr>
        <w:trPr/>
        <w:tc>
          <w:tcPr>
            <w:tcW w:w="6861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lang w:val="en-GB"/>
              </w:rPr>
              <w:t xml:space="preserve">Investment amount every </w:t>
            </w:r>
            <w:r>
              <w:rPr>
                <w:rFonts w:ascii="Arial" w:hAnsi="Arial"/>
                <w:color w:val="FF0000"/>
                <w:lang w:val="en-GB"/>
              </w:rPr>
              <w:t xml:space="preserve">{frequency </w:t>
            </w:r>
            <w:r>
              <w:rPr>
                <w:rFonts w:ascii="Arial" w:hAnsi="Arial"/>
                <w:lang w:val="en-GB"/>
              </w:rPr>
              <w:t>(month/three months/six months/year)</w:t>
            </w:r>
            <w:r>
              <w:rPr>
                <w:rFonts w:ascii="Arial" w:hAnsi="Arial"/>
                <w:color w:val="FF0000"/>
                <w:lang w:val="en-GB"/>
              </w:rPr>
              <w:t>}</w:t>
            </w:r>
          </w:p>
        </w:tc>
        <w:tc>
          <w:tcPr>
            <w:tcW w:w="1829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 {Inv amount}</w:t>
            </w:r>
          </w:p>
        </w:tc>
        <w:tc>
          <w:tcPr>
            <w:tcW w:w="1715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/>
        <w:tc>
          <w:tcPr>
            <w:tcW w:w="6861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FF0000"/>
                <w:lang w:val="en-GB"/>
              </w:rPr>
              <w:t>{if}</w:t>
            </w:r>
            <w:r>
              <w:rPr>
                <w:rFonts w:ascii="Arial" w:hAnsi="Arial"/>
                <w:lang w:val="en-GB"/>
              </w:rPr>
              <w:t>Initial advice fee</w:t>
            </w:r>
          </w:p>
        </w:tc>
        <w:tc>
          <w:tcPr>
            <w:tcW w:w="1829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 R {RandIniAdv}</w:t>
            </w:r>
          </w:p>
        </w:tc>
        <w:tc>
          <w:tcPr>
            <w:tcW w:w="1715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{IniAdv%}</w:t>
            </w:r>
          </w:p>
        </w:tc>
      </w:tr>
      <w:tr>
        <w:trPr/>
        <w:tc>
          <w:tcPr>
            <w:tcW w:w="6861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FF0000"/>
                <w:lang w:val="en-GB"/>
              </w:rPr>
              <w:t>{if}</w:t>
            </w:r>
            <w:r>
              <w:rPr>
                <w:rFonts w:ascii="Arial" w:hAnsi="Arial"/>
                <w:lang w:val="en-GB"/>
              </w:rPr>
              <w:t>Initial agency charge</w:t>
            </w:r>
          </w:p>
        </w:tc>
        <w:tc>
          <w:tcPr>
            <w:tcW w:w="1829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 R {RandIniAgen}</w:t>
            </w:r>
          </w:p>
        </w:tc>
        <w:tc>
          <w:tcPr>
            <w:tcW w:w="1715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</w:r>
          </w:p>
        </w:tc>
      </w:tr>
      <w:tr>
        <w:trPr/>
        <w:tc>
          <w:tcPr>
            <w:tcW w:w="6861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color w:val="FF0000"/>
                <w:lang w:val="en-GB"/>
              </w:rPr>
              <w:t>{if}</w:t>
            </w:r>
            <w:r>
              <w:rPr>
                <w:rFonts w:ascii="Arial" w:hAnsi="Arial"/>
                <w:lang w:val="en-GB"/>
              </w:rPr>
              <w:t>Initial administration fee</w:t>
            </w:r>
          </w:p>
        </w:tc>
        <w:tc>
          <w:tcPr>
            <w:tcW w:w="1829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- R {RandIniAdm}</w:t>
            </w:r>
          </w:p>
        </w:tc>
        <w:tc>
          <w:tcPr>
            <w:tcW w:w="1715" w:type="dxa"/>
            <w:tcBorders>
              <w:top w:val="single" w:sz="6" w:space="0" w:color="DDDDDD"/>
              <w:left w:val="single" w:sz="12" w:space="0" w:color="DDDDDD"/>
              <w:bottom w:val="single" w:sz="6" w:space="0" w:color="DDDDDD"/>
              <w:right w:val="single" w:sz="12" w:space="0" w:color="DDDDDD"/>
              <w:insideH w:val="single" w:sz="6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{IniAdm%}</w:t>
            </w:r>
          </w:p>
        </w:tc>
      </w:tr>
      <w:tr>
        <w:trPr/>
        <w:tc>
          <w:tcPr>
            <w:tcW w:w="6861" w:type="dxa"/>
            <w:tcBorders>
              <w:top w:val="single" w:sz="6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  <w:insideH w:val="single" w:sz="12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Net investment amount</w:t>
            </w:r>
          </w:p>
        </w:tc>
        <w:tc>
          <w:tcPr>
            <w:tcW w:w="1829" w:type="dxa"/>
            <w:tcBorders>
              <w:top w:val="single" w:sz="6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  <w:insideH w:val="single" w:sz="12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 {Net inv amount}</w:t>
            </w:r>
          </w:p>
        </w:tc>
        <w:tc>
          <w:tcPr>
            <w:tcW w:w="1715" w:type="dxa"/>
            <w:tcBorders>
              <w:top w:val="single" w:sz="6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  <w:insideH w:val="single" w:sz="12" w:space="0" w:color="DDDDDD"/>
              <w:insideV w:val="single" w:sz="12" w:space="0" w:color="DDDDDD"/>
            </w:tcBorders>
            <w:shd w:fill="auto" w:val="clear"/>
            <w:tcMar>
              <w:left w:w="57" w:type="dxa"/>
            </w:tcMar>
            <w:vAlign w:val="center"/>
          </w:tcPr>
          <w:p>
            <w:pPr>
              <w:pStyle w:val="Normaltext"/>
              <w:spacing w:lineRule="auto" w:line="240" w:before="0" w:after="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{Net inv %}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280670</wp:posOffset>
                </wp:positionH>
                <wp:positionV relativeFrom="paragraph">
                  <wp:posOffset>6985</wp:posOffset>
                </wp:positionV>
                <wp:extent cx="934720" cy="136144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13614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34720" cy="934720"/>
                                  <wp:effectExtent l="0" t="0" r="0" b="0"/>
                                  <wp:docPr id="2" name="aa.png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a.png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4720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CRAPTION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3.6pt;height:107.2pt;mso-wrap-distance-left:0pt;mso-wrap-distance-right:0pt;mso-wrap-distance-top:0pt;mso-wrap-distance-bottom:0pt;margin-top:0.55pt;mso-position-vertical-relative:text;margin-left:22.1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34720" cy="934720"/>
                            <wp:effectExtent l="0" t="0" r="0" b="0"/>
                            <wp:docPr id="3" name="aa.png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aa.png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4720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CRAPTION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poop</w:t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1270" distL="114300" distR="114300" simplePos="0" locked="0" layoutInCell="1" allowOverlap="1" relativeHeight="2">
          <wp:simplePos x="0" y="0"/>
          <wp:positionH relativeFrom="column">
            <wp:posOffset>5056505</wp:posOffset>
          </wp:positionH>
          <wp:positionV relativeFrom="paragraph">
            <wp:posOffset>635</wp:posOffset>
          </wp:positionV>
          <wp:extent cx="1158875" cy="175260"/>
          <wp:effectExtent l="0" t="0" r="0" b="0"/>
          <wp:wrapTight wrapText="bothSides">
            <wp:wrapPolygon edited="0">
              <wp:start x="-50" y="0"/>
              <wp:lineTo x="-50" y="20343"/>
              <wp:lineTo x="21292" y="20343"/>
              <wp:lineTo x="21292" y="0"/>
              <wp:lineTo x="-50" y="0"/>
            </wp:wrapPolygon>
          </wp:wrapTight>
          <wp:docPr id="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175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ZA" w:eastAsia="zh-CN" w:bidi="hi-IN"/>
    </w:rPr>
  </w:style>
  <w:style w:type="paragraph" w:styleId="Heading1">
    <w:name w:val="Heading 1"/>
    <w:basedOn w:val="Normal"/>
    <w:qFormat/>
    <w:pPr>
      <w:spacing w:lineRule="auto" w:line="240" w:before="0" w:after="0"/>
    </w:pPr>
    <w:rPr>
      <w:rFonts w:ascii="Arial" w:hAnsi="Arial" w:cs="Arial"/>
      <w:color w:val="AD2F33"/>
      <w:sz w:val="18"/>
    </w:rPr>
  </w:style>
  <w:style w:type="character" w:styleId="DefaultParagraphFont">
    <w:name w:val="Default Paragraph Font"/>
    <w:qFormat/>
    <w:rPr/>
  </w:style>
  <w:style w:type="character" w:styleId="DescriptorsinTextChar">
    <w:name w:val="Descriptors in Text Char"/>
    <w:basedOn w:val="DefaultParagraphFont"/>
    <w:qFormat/>
    <w:rPr>
      <w:rFonts w:ascii="Arial" w:hAnsi="Arial" w:cs="Arial"/>
      <w:b/>
      <w:color w:val="262626"/>
      <w:sz w:val="20"/>
      <w:szCs w:val="20"/>
    </w:rPr>
  </w:style>
  <w:style w:type="character" w:styleId="Heading1Char">
    <w:name w:val="Heading1 Char"/>
    <w:basedOn w:val="DefaultParagraphFont"/>
    <w:qFormat/>
    <w:rPr>
      <w:rFonts w:ascii="Arial" w:hAnsi="Arial" w:cs="Arial"/>
      <w:color w:val="AD2F33"/>
      <w:sz w:val="18"/>
    </w:rPr>
  </w:style>
  <w:style w:type="character" w:styleId="MainHeadingsChar">
    <w:name w:val="Main Headings Char"/>
    <w:basedOn w:val="Heading1Char"/>
    <w:qFormat/>
    <w:rPr>
      <w:rFonts w:ascii="Arial" w:hAnsi="Arial" w:cs="Arial"/>
      <w:color w:val="DC2923"/>
      <w:sz w:val="24"/>
    </w:rPr>
  </w:style>
  <w:style w:type="character" w:styleId="HeadingtabChar">
    <w:name w:val="Heading tab Char"/>
    <w:basedOn w:val="MainHeadingsChar"/>
    <w:qFormat/>
    <w:rPr>
      <w:rFonts w:ascii="Arial" w:hAnsi="Arial" w:cs="Arial"/>
      <w:color w:val="BFBFBF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Normaltext">
    <w:name w:val="Normal text"/>
    <w:basedOn w:val="Normal"/>
    <w:qFormat/>
    <w:pPr>
      <w:spacing w:before="0" w:after="0"/>
    </w:pPr>
    <w:rPr>
      <w:rFonts w:ascii="Arial" w:hAnsi="Arial" w:cs="Arial"/>
      <w:color w:val="262626"/>
      <w:sz w:val="18"/>
      <w:szCs w:val="20"/>
    </w:rPr>
  </w:style>
  <w:style w:type="paragraph" w:styleId="FirstHeading">
    <w:name w:val="First Heading"/>
    <w:basedOn w:val="Normal"/>
    <w:qFormat/>
    <w:pPr>
      <w:spacing w:lineRule="auto" w:line="240" w:before="0" w:after="0"/>
    </w:pPr>
    <w:rPr>
      <w:rFonts w:ascii="Arial" w:hAnsi="Arial" w:cs="Arial"/>
      <w:color w:val="DC2923"/>
      <w:sz w:val="34"/>
    </w:rPr>
  </w:style>
  <w:style w:type="paragraph" w:styleId="MainHeadings">
    <w:name w:val="Main Headings"/>
    <w:basedOn w:val="Heading1"/>
    <w:qFormat/>
    <w:pPr>
      <w:keepNext/>
      <w:keepLines/>
      <w:tabs>
        <w:tab w:val="left" w:pos="10348" w:leader="underscore"/>
      </w:tabs>
    </w:pPr>
    <w:rPr>
      <w:color w:val="DC2923"/>
      <w:sz w:val="24"/>
    </w:rPr>
  </w:style>
  <w:style w:type="paragraph" w:styleId="Illustration">
    <w:name w:val="Illustra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LibreOffice/5.2.1.2$Linux_X86_64 LibreOffice_project/31dd62db80d4e60af04904455ec9c9219178d620</Application>
  <Pages>1</Pages>
  <Words>195</Words>
  <Characters>1232</Characters>
  <CharactersWithSpaces>1353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2017-01-23T12:12:42Z</dcterms:created>
  <dc:creator/>
  <dc:description/>
  <dc:language>en-ZA</dc:language>
  <cp:lastModifiedBy/>
  <dcterms:modified xsi:type="dcterms:W3CDTF">2017-01-23T15:05:26Z</dcterms:modified>
  <cp:revision>11</cp:revision>
  <dc:subject/>
  <dc:title/>
</cp:coreProperties>
</file>