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次聊软著申请材料清单</w:t>
      </w:r>
    </w:p>
    <w:p>
      <w:r>
        <w:rPr>
          <w:rFonts w:ascii="Calibri" w:hAnsi="Calibri" w:eastAsia="宋体"/>
          <w:b w:val="0"/>
          <w:i/>
          <w:sz w:val="20"/>
        </w:rPr>
        <w:t>本资料包用于准备“次聊 NFC 社交聊天软件 V1.0”的计算机软件著作权登记材料。正式提交前，请以中国版权保护中心或代理机构的最新要求为准。</w:t>
      </w:r>
    </w:p>
    <w:p>
      <w:pPr>
        <w:pStyle w:val="Heading2"/>
      </w:pPr>
      <w:r>
        <w:t>一、建议申请信息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建议填写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软件全称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次聊 NFC 社交聊天软件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软件简称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次聊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软件分类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应用软件 / 移动应用 / 社交通讯类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开发语言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TypeScript、TSX、Java、SQL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运行平台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Android、iOS 真机，配套 Java 后端服务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开发方式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独立开发（如为合作、委托或职务开发，请改为实际情况）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权利取得方式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原始取得（如存在转让、继承、承受，请改为实际情况）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开发完成日期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待确认，可参考项目阶段日期后填写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首次发表日期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待确认；未公开发布可填“未发表”或按实际发表日期填写</w:t>
            </w:r>
          </w:p>
        </w:tc>
      </w:tr>
    </w:tbl>
    <w:p/>
    <w:p>
      <w:pPr>
        <w:pStyle w:val="Heading2"/>
      </w:pPr>
      <w:r>
        <w:t>二、常见提交材料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软件著作权登记申请表：通常在中国版权保护中心系统在线填写后打印或提交。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软件鉴别材料：源程序和一种软件文档，通常为前、后各连续 30 页。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申请人身份证明：个人身份证复印件，或企业营业执照/统一社会信用代码证明等。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权属证明材料：委托开发、合作开发、职务开发、转让取得等情形需补充对应证明。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联系人信息：姓名、手机号、邮箱、通信地址等。</w:t>
      </w:r>
    </w:p>
    <w:p>
      <w:pPr>
        <w:pStyle w:val="Heading2"/>
      </w:pPr>
      <w:r>
        <w:t>三、本资料包内容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文件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用途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01_申请表填写参考.md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软著申请表字段草稿，可复制到登记系统中调整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02_软件说明书.md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软件功能、运行环境、使用流程说明，可作为文档鉴别材料基础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03_源代码交存说明.md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源代码交存口径、排除项和整理说明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04_待补充信息清单.md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提交前必须由著作权人确认的信息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源代码文件清单.txt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本次抽取的自有源码文件列表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源代码交存稿_前后30页.txt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按 50 行/页整理的源码交存初稿</w:t>
            </w:r>
          </w:p>
        </w:tc>
      </w:tr>
    </w:tbl>
    <w:p/>
    <w:p>
      <w:pPr>
        <w:pStyle w:val="Heading2"/>
      </w:pPr>
      <w:r>
        <w:t>四、材料边界说明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本资料包只整理项目自有业务源码和业务文档，不包含 node_modules、Gradle 缓存、构建产物、APK、图片资源、系统生成文件。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软件说明书重点描述当前项目已实现的 NFC 加好友、一对一聊天、账号体系、通讯录、好友申请、实时消息等功能。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项目中使用的 Expo、React Native、Spring Boot、H2、MySQL、Socket.IO 等属于第三方框架或依赖，不作为本软件原创源码主张。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如正式提交时需要 Word/PDF 格式，可将 Markdown 文档复制到 Word/WPS 后统一页眉、页码、字体和行距。</w:t>
      </w:r>
    </w:p>
    <w:p>
      <w:pPr>
        <w:pStyle w:val="Heading2"/>
      </w:pPr>
      <w:r>
        <w:t>五、参考依据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《计算机软件著作权登记办法》第九条规定申请材料包括申请表、软件鉴别材料和相关证明文件。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《计算机软件著作权登记办法》第十条规定软件鉴别材料包括程序和文档的鉴别材料。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《计算机软件著作权登记办法》第十一条规定，程序和文档鉴别材料通常由源程序和文档前、后各连续 30 页组成；除特定情况外，程序每页不少于 50 行，文档每页不少于 30 行。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