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次聊源代码交存说明</w:t>
      </w:r>
    </w:p>
    <w:p>
      <w:pPr>
        <w:pStyle w:val="Heading2"/>
      </w:pPr>
      <w:r>
        <w:t>一、交存软件</w:t>
      </w:r>
    </w:p>
    <w:tbl>
      <w:tblPr>
        <w:tblStyle w:val="TableGrid"/>
        <w:tblW w:type="auto" w:w="0"/>
        <w:tblLook w:firstColumn="1" w:firstRow="1" w:lastColumn="0" w:lastRow="0" w:noHBand="0" w:noVBand="1" w:val="04A0"/>
      </w:tblPr>
      <w:tblGrid>
        <w:gridCol w:w="4968"/>
        <w:gridCol w:w="4968"/>
      </w:tblGrid>
      <w:tr>
        <w:tc>
          <w:tcPr>
            <w:tcW w:type="dxa" w:w="4968"/>
          </w:tcPr>
          <w:p>
            <w:r/>
            <w:r>
              <w:rPr>
                <w:rFonts w:ascii="Calibri" w:hAnsi="Calibri" w:eastAsia="宋体"/>
                <w:b/>
                <w:i w:val="0"/>
                <w:sz w:val="20"/>
              </w:rPr>
              <w:t>项目</w:t>
            </w:r>
          </w:p>
        </w:tc>
        <w:tc>
          <w:tcPr>
            <w:tcW w:type="dxa" w:w="4968"/>
          </w:tcPr>
          <w:p>
            <w:r/>
            <w:r>
              <w:rPr>
                <w:rFonts w:ascii="Calibri" w:hAnsi="Calibri" w:eastAsia="宋体"/>
                <w:b/>
                <w:i w:val="0"/>
                <w:sz w:val="20"/>
              </w:rPr>
              <w:t>内容</w:t>
            </w:r>
          </w:p>
        </w:tc>
      </w:tr>
      <w:tr>
        <w:tc>
          <w:tcPr>
            <w:tcW w:type="dxa" w:w="4968"/>
          </w:tcPr>
          <w:p>
            <w:r/>
            <w:r>
              <w:rPr>
                <w:rFonts w:ascii="Calibri" w:hAnsi="Calibri" w:eastAsia="宋体"/>
                <w:b w:val="0"/>
                <w:i w:val="0"/>
                <w:sz w:val="20"/>
              </w:rPr>
              <w:t>软件全称</w:t>
            </w:r>
          </w:p>
        </w:tc>
        <w:tc>
          <w:tcPr>
            <w:tcW w:type="dxa" w:w="4968"/>
          </w:tcPr>
          <w:p>
            <w:r/>
            <w:r>
              <w:rPr>
                <w:rFonts w:ascii="Calibri" w:hAnsi="Calibri" w:eastAsia="宋体"/>
                <w:b w:val="0"/>
                <w:i w:val="0"/>
                <w:sz w:val="20"/>
              </w:rPr>
              <w:t>次聊 NFC 社交聊天软件</w:t>
            </w:r>
          </w:p>
        </w:tc>
      </w:tr>
      <w:tr>
        <w:tc>
          <w:tcPr>
            <w:tcW w:type="dxa" w:w="4968"/>
          </w:tcPr>
          <w:p>
            <w:r/>
            <w:r>
              <w:rPr>
                <w:rFonts w:ascii="Calibri" w:hAnsi="Calibri" w:eastAsia="宋体"/>
                <w:b w:val="0"/>
                <w:i w:val="0"/>
                <w:sz w:val="20"/>
              </w:rPr>
              <w:t>软件简称</w:t>
            </w:r>
          </w:p>
        </w:tc>
        <w:tc>
          <w:tcPr>
            <w:tcW w:type="dxa" w:w="4968"/>
          </w:tcPr>
          <w:p>
            <w:r/>
            <w:r>
              <w:rPr>
                <w:rFonts w:ascii="Calibri" w:hAnsi="Calibri" w:eastAsia="宋体"/>
                <w:b w:val="0"/>
                <w:i w:val="0"/>
                <w:sz w:val="20"/>
              </w:rPr>
              <w:t>次聊</w:t>
            </w:r>
          </w:p>
        </w:tc>
      </w:tr>
      <w:tr>
        <w:tc>
          <w:tcPr>
            <w:tcW w:type="dxa" w:w="4968"/>
          </w:tcPr>
          <w:p>
            <w:r/>
            <w:r>
              <w:rPr>
                <w:rFonts w:ascii="Calibri" w:hAnsi="Calibri" w:eastAsia="宋体"/>
                <w:b w:val="0"/>
                <w:i w:val="0"/>
                <w:sz w:val="20"/>
              </w:rPr>
              <w:t>版本号</w:t>
            </w:r>
          </w:p>
        </w:tc>
        <w:tc>
          <w:tcPr>
            <w:tcW w:type="dxa" w:w="4968"/>
          </w:tcPr>
          <w:p>
            <w:r/>
            <w:r>
              <w:rPr>
                <w:rFonts w:ascii="Calibri" w:hAnsi="Calibri" w:eastAsia="宋体"/>
                <w:b w:val="0"/>
                <w:i w:val="0"/>
                <w:sz w:val="20"/>
              </w:rPr>
              <w:t>V1.0</w:t>
            </w:r>
          </w:p>
        </w:tc>
      </w:tr>
      <w:tr>
        <w:tc>
          <w:tcPr>
            <w:tcW w:type="dxa" w:w="4968"/>
          </w:tcPr>
          <w:p>
            <w:r/>
            <w:r>
              <w:rPr>
                <w:rFonts w:ascii="Calibri" w:hAnsi="Calibri" w:eastAsia="宋体"/>
                <w:b w:val="0"/>
                <w:i w:val="0"/>
                <w:sz w:val="20"/>
              </w:rPr>
              <w:t>源码范围</w:t>
            </w:r>
          </w:p>
        </w:tc>
        <w:tc>
          <w:tcPr>
            <w:tcW w:type="dxa" w:w="4968"/>
          </w:tcPr>
          <w:p>
            <w:r/>
            <w:r>
              <w:rPr>
                <w:rFonts w:ascii="Calibri" w:hAnsi="Calibri" w:eastAsia="宋体"/>
                <w:b w:val="0"/>
                <w:i w:val="0"/>
                <w:sz w:val="20"/>
              </w:rPr>
              <w:t>移动端 React Native 源码、后端 Spring Boot 源码、数据库迁移脚本</w:t>
            </w:r>
          </w:p>
        </w:tc>
      </w:tr>
      <w:tr>
        <w:tc>
          <w:tcPr>
            <w:tcW w:type="dxa" w:w="4968"/>
          </w:tcPr>
          <w:p>
            <w:r/>
            <w:r>
              <w:rPr>
                <w:rFonts w:ascii="Calibri" w:hAnsi="Calibri" w:eastAsia="宋体"/>
                <w:b w:val="0"/>
                <w:i w:val="0"/>
                <w:sz w:val="20"/>
              </w:rPr>
              <w:t>主要语言</w:t>
            </w:r>
          </w:p>
        </w:tc>
        <w:tc>
          <w:tcPr>
            <w:tcW w:type="dxa" w:w="4968"/>
          </w:tcPr>
          <w:p>
            <w:r/>
            <w:r>
              <w:rPr>
                <w:rFonts w:ascii="Calibri" w:hAnsi="Calibri" w:eastAsia="宋体"/>
                <w:b w:val="0"/>
                <w:i w:val="0"/>
                <w:sz w:val="20"/>
              </w:rPr>
              <w:t>TypeScript、TSX、Java、SQL</w:t>
            </w:r>
          </w:p>
        </w:tc>
      </w:tr>
    </w:tbl>
    <w:p/>
    <w:p>
      <w:pPr>
        <w:pStyle w:val="Heading2"/>
      </w:pPr>
      <w:r>
        <w:t>二、本次整理范围</w:t>
      </w:r>
    </w:p>
    <w:p>
      <w:r>
        <w:rPr>
          <w:rFonts w:ascii="Calibri" w:hAnsi="Calibri" w:eastAsia="宋体"/>
          <w:b w:val="0"/>
          <w:i w:val="0"/>
          <w:sz w:val="22"/>
        </w:rPr>
        <w:t>本次源代码交存稿从以下目录抽取：</w:t>
      </w:r>
    </w:p>
    <w:p>
      <w:pPr>
        <w:pStyle w:val="ListBullet"/>
      </w:pPr>
      <w:r>
        <w:rPr>
          <w:rFonts w:ascii="Calibri" w:hAnsi="Calibri" w:eastAsia="宋体"/>
          <w:b w:val="0"/>
          <w:i w:val="0"/>
          <w:sz w:val="22"/>
        </w:rPr>
        <w:t>apps/mobile/src</w:t>
      </w:r>
    </w:p>
    <w:p>
      <w:pPr>
        <w:pStyle w:val="ListBullet"/>
      </w:pPr>
      <w:r>
        <w:rPr>
          <w:rFonts w:ascii="Calibri" w:hAnsi="Calibri" w:eastAsia="宋体"/>
          <w:b w:val="0"/>
          <w:i w:val="0"/>
          <w:sz w:val="22"/>
        </w:rPr>
        <w:t>apps/server/src/main/java</w:t>
      </w:r>
    </w:p>
    <w:p>
      <w:pPr>
        <w:pStyle w:val="ListBullet"/>
      </w:pPr>
      <w:r>
        <w:rPr>
          <w:rFonts w:ascii="Calibri" w:hAnsi="Calibri" w:eastAsia="宋体"/>
          <w:b w:val="0"/>
          <w:i w:val="0"/>
          <w:sz w:val="22"/>
        </w:rPr>
        <w:t>apps/server/src/main/resources/db/migration</w:t>
      </w:r>
    </w:p>
    <w:p>
      <w:r>
        <w:rPr>
          <w:rFonts w:ascii="Calibri" w:hAnsi="Calibri" w:eastAsia="宋体"/>
          <w:b w:val="0"/>
          <w:i w:val="0"/>
          <w:sz w:val="22"/>
        </w:rPr>
        <w:t>抽取文件类型：</w:t>
      </w:r>
    </w:p>
    <w:p>
      <w:pPr>
        <w:pStyle w:val="ListBullet"/>
      </w:pPr>
      <w:r>
        <w:rPr>
          <w:rFonts w:ascii="Calibri" w:hAnsi="Calibri" w:eastAsia="宋体"/>
          <w:b w:val="0"/>
          <w:i w:val="0"/>
          <w:sz w:val="22"/>
        </w:rPr>
        <w:t>.ts</w:t>
      </w:r>
    </w:p>
    <w:p>
      <w:pPr>
        <w:pStyle w:val="ListBullet"/>
      </w:pPr>
      <w:r>
        <w:rPr>
          <w:rFonts w:ascii="Calibri" w:hAnsi="Calibri" w:eastAsia="宋体"/>
          <w:b w:val="0"/>
          <w:i w:val="0"/>
          <w:sz w:val="22"/>
        </w:rPr>
        <w:t>.tsx</w:t>
      </w:r>
    </w:p>
    <w:p>
      <w:pPr>
        <w:pStyle w:val="ListBullet"/>
      </w:pPr>
      <w:r>
        <w:rPr>
          <w:rFonts w:ascii="Calibri" w:hAnsi="Calibri" w:eastAsia="宋体"/>
          <w:b w:val="0"/>
          <w:i w:val="0"/>
          <w:sz w:val="22"/>
        </w:rPr>
        <w:t>.java</w:t>
      </w:r>
    </w:p>
    <w:p>
      <w:pPr>
        <w:pStyle w:val="ListBullet"/>
      </w:pPr>
      <w:r>
        <w:rPr>
          <w:rFonts w:ascii="Calibri" w:hAnsi="Calibri" w:eastAsia="宋体"/>
          <w:b w:val="0"/>
          <w:i w:val="0"/>
          <w:sz w:val="22"/>
        </w:rPr>
        <w:t>.sql</w:t>
      </w:r>
    </w:p>
    <w:p>
      <w:pPr>
        <w:pStyle w:val="Heading2"/>
      </w:pPr>
      <w:r>
        <w:t>三、排除内容</w:t>
      </w:r>
    </w:p>
    <w:p>
      <w:r>
        <w:rPr>
          <w:rFonts w:ascii="Calibri" w:hAnsi="Calibri" w:eastAsia="宋体"/>
          <w:b w:val="0"/>
          <w:i w:val="0"/>
          <w:sz w:val="22"/>
        </w:rPr>
        <w:t>以下内容未纳入源代码交存稿：</w:t>
      </w:r>
    </w:p>
    <w:p>
      <w:pPr>
        <w:pStyle w:val="ListBullet"/>
      </w:pPr>
      <w:r>
        <w:rPr>
          <w:rFonts w:ascii="Calibri" w:hAnsi="Calibri" w:eastAsia="宋体"/>
          <w:b w:val="0"/>
          <w:i w:val="0"/>
          <w:sz w:val="22"/>
        </w:rPr>
        <w:t>第三方依赖目录，例如 node_modules。</w:t>
      </w:r>
    </w:p>
    <w:p>
      <w:pPr>
        <w:pStyle w:val="ListBullet"/>
      </w:pPr>
      <w:r>
        <w:rPr>
          <w:rFonts w:ascii="Calibri" w:hAnsi="Calibri" w:eastAsia="宋体"/>
          <w:b w:val="0"/>
          <w:i w:val="0"/>
          <w:sz w:val="22"/>
        </w:rPr>
        <w:t>构建输出，例如 APK、Gradle build 目录、Expo/React Native 生成目录。</w:t>
      </w:r>
    </w:p>
    <w:p>
      <w:pPr>
        <w:pStyle w:val="ListBullet"/>
      </w:pPr>
      <w:r>
        <w:rPr>
          <w:rFonts w:ascii="Calibri" w:hAnsi="Calibri" w:eastAsia="宋体"/>
          <w:b w:val="0"/>
          <w:i w:val="0"/>
          <w:sz w:val="22"/>
        </w:rPr>
        <w:t>IDE、系统、缓存和日志文件。</w:t>
      </w:r>
    </w:p>
    <w:p>
      <w:pPr>
        <w:pStyle w:val="ListBullet"/>
      </w:pPr>
      <w:r>
        <w:rPr>
          <w:rFonts w:ascii="Calibri" w:hAnsi="Calibri" w:eastAsia="宋体"/>
          <w:b w:val="0"/>
          <w:i w:val="0"/>
          <w:sz w:val="22"/>
        </w:rPr>
        <w:t>图片、图标、二进制资源。</w:t>
      </w:r>
    </w:p>
    <w:p>
      <w:pPr>
        <w:pStyle w:val="ListBullet"/>
      </w:pPr>
      <w:r>
        <w:rPr>
          <w:rFonts w:ascii="Calibri" w:hAnsi="Calibri" w:eastAsia="宋体"/>
          <w:b w:val="0"/>
          <w:i w:val="0"/>
          <w:sz w:val="22"/>
        </w:rPr>
        <w:t>本地数据库文件和运行时数据。</w:t>
      </w:r>
    </w:p>
    <w:p>
      <w:pPr>
        <w:pStyle w:val="ListBullet"/>
      </w:pPr>
      <w:r>
        <w:rPr>
          <w:rFonts w:ascii="Calibri" w:hAnsi="Calibri" w:eastAsia="宋体"/>
          <w:b w:val="0"/>
          <w:i w:val="0"/>
          <w:sz w:val="22"/>
        </w:rPr>
        <w:t>可能包含环境配置、密码、服务器地址或其他敏感信息的配置文件。</w:t>
      </w:r>
    </w:p>
    <w:p>
      <w:pPr>
        <w:pStyle w:val="Heading2"/>
      </w:pPr>
      <w:r>
        <w:t>四、代码规模</w:t>
      </w:r>
    </w:p>
    <w:p>
      <w:r>
        <w:rPr>
          <w:rFonts w:ascii="Calibri" w:hAnsi="Calibri" w:eastAsia="宋体"/>
          <w:b w:val="0"/>
          <w:i w:val="0"/>
          <w:sz w:val="22"/>
        </w:rPr>
        <w:t>根据当前项目源码统计，本次整理范围内约包含：</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rFonts w:ascii="Calibri" w:hAnsi="Calibri" w:eastAsia="宋体"/>
                <w:b/>
                <w:i w:val="0"/>
                <w:sz w:val="20"/>
              </w:rPr>
              <w:t>类型</w:t>
            </w:r>
          </w:p>
        </w:tc>
        <w:tc>
          <w:tcPr>
            <w:tcW w:type="dxa" w:w="3312"/>
          </w:tcPr>
          <w:p>
            <w:r/>
            <w:r>
              <w:rPr>
                <w:rFonts w:ascii="Calibri" w:hAnsi="Calibri" w:eastAsia="宋体"/>
                <w:b/>
                <w:i w:val="0"/>
                <w:sz w:val="20"/>
              </w:rPr>
              <w:t>文件数</w:t>
            </w:r>
          </w:p>
        </w:tc>
        <w:tc>
          <w:tcPr>
            <w:tcW w:type="dxa" w:w="3312"/>
          </w:tcPr>
          <w:p>
            <w:r/>
            <w:r>
              <w:rPr>
                <w:rFonts w:ascii="Calibri" w:hAnsi="Calibri" w:eastAsia="宋体"/>
                <w:b/>
                <w:i w:val="0"/>
                <w:sz w:val="20"/>
              </w:rPr>
              <w:t>行数</w:t>
            </w:r>
          </w:p>
        </w:tc>
      </w:tr>
      <w:tr>
        <w:tc>
          <w:tcPr>
            <w:tcW w:type="dxa" w:w="3312"/>
          </w:tcPr>
          <w:p>
            <w:r/>
            <w:r>
              <w:rPr>
                <w:rFonts w:ascii="Calibri" w:hAnsi="Calibri" w:eastAsia="宋体"/>
                <w:b w:val="0"/>
                <w:i w:val="0"/>
                <w:sz w:val="20"/>
              </w:rPr>
              <w:t>TypeScript / TSX</w:t>
            </w:r>
          </w:p>
        </w:tc>
        <w:tc>
          <w:tcPr>
            <w:tcW w:type="dxa" w:w="3312"/>
          </w:tcPr>
          <w:p>
            <w:r/>
            <w:r>
              <w:rPr>
                <w:rFonts w:ascii="Calibri" w:hAnsi="Calibri" w:eastAsia="宋体"/>
                <w:b w:val="0"/>
                <w:i w:val="0"/>
                <w:sz w:val="20"/>
              </w:rPr>
              <w:t>25</w:t>
            </w:r>
          </w:p>
        </w:tc>
        <w:tc>
          <w:tcPr>
            <w:tcW w:type="dxa" w:w="3312"/>
          </w:tcPr>
          <w:p>
            <w:r/>
            <w:r>
              <w:rPr>
                <w:rFonts w:ascii="Calibri" w:hAnsi="Calibri" w:eastAsia="宋体"/>
                <w:b w:val="0"/>
                <w:i w:val="0"/>
                <w:sz w:val="20"/>
              </w:rPr>
              <w:t>2,451</w:t>
            </w:r>
          </w:p>
        </w:tc>
      </w:tr>
      <w:tr>
        <w:tc>
          <w:tcPr>
            <w:tcW w:type="dxa" w:w="3312"/>
          </w:tcPr>
          <w:p>
            <w:r/>
            <w:r>
              <w:rPr>
                <w:rFonts w:ascii="Calibri" w:hAnsi="Calibri" w:eastAsia="宋体"/>
                <w:b w:val="0"/>
                <w:i w:val="0"/>
                <w:sz w:val="20"/>
              </w:rPr>
              <w:t>Java</w:t>
            </w:r>
          </w:p>
        </w:tc>
        <w:tc>
          <w:tcPr>
            <w:tcW w:type="dxa" w:w="3312"/>
          </w:tcPr>
          <w:p>
            <w:r/>
            <w:r>
              <w:rPr>
                <w:rFonts w:ascii="Calibri" w:hAnsi="Calibri" w:eastAsia="宋体"/>
                <w:b w:val="0"/>
                <w:i w:val="0"/>
                <w:sz w:val="20"/>
              </w:rPr>
              <w:t>37</w:t>
            </w:r>
          </w:p>
        </w:tc>
        <w:tc>
          <w:tcPr>
            <w:tcW w:type="dxa" w:w="3312"/>
          </w:tcPr>
          <w:p>
            <w:r/>
            <w:r>
              <w:rPr>
                <w:rFonts w:ascii="Calibri" w:hAnsi="Calibri" w:eastAsia="宋体"/>
                <w:b w:val="0"/>
                <w:i w:val="0"/>
                <w:sz w:val="20"/>
              </w:rPr>
              <w:t>1,759</w:t>
            </w:r>
          </w:p>
        </w:tc>
      </w:tr>
      <w:tr>
        <w:tc>
          <w:tcPr>
            <w:tcW w:type="dxa" w:w="3312"/>
          </w:tcPr>
          <w:p>
            <w:r/>
            <w:r>
              <w:rPr>
                <w:rFonts w:ascii="Calibri" w:hAnsi="Calibri" w:eastAsia="宋体"/>
                <w:b w:val="0"/>
                <w:i w:val="0"/>
                <w:sz w:val="20"/>
              </w:rPr>
              <w:t>SQL</w:t>
            </w:r>
          </w:p>
        </w:tc>
        <w:tc>
          <w:tcPr>
            <w:tcW w:type="dxa" w:w="3312"/>
          </w:tcPr>
          <w:p>
            <w:r/>
            <w:r>
              <w:rPr>
                <w:rFonts w:ascii="Calibri" w:hAnsi="Calibri" w:eastAsia="宋体"/>
                <w:b w:val="0"/>
                <w:i w:val="0"/>
                <w:sz w:val="20"/>
              </w:rPr>
              <w:t>8</w:t>
            </w:r>
          </w:p>
        </w:tc>
        <w:tc>
          <w:tcPr>
            <w:tcW w:type="dxa" w:w="3312"/>
          </w:tcPr>
          <w:p>
            <w:r/>
            <w:r>
              <w:rPr>
                <w:rFonts w:ascii="Calibri" w:hAnsi="Calibri" w:eastAsia="宋体"/>
                <w:b w:val="0"/>
                <w:i w:val="0"/>
                <w:sz w:val="20"/>
              </w:rPr>
              <w:t>184</w:t>
            </w:r>
          </w:p>
        </w:tc>
      </w:tr>
      <w:tr>
        <w:tc>
          <w:tcPr>
            <w:tcW w:type="dxa" w:w="3312"/>
          </w:tcPr>
          <w:p>
            <w:r/>
            <w:r>
              <w:rPr>
                <w:rFonts w:ascii="Calibri" w:hAnsi="Calibri" w:eastAsia="宋体"/>
                <w:b w:val="0"/>
                <w:i w:val="0"/>
                <w:sz w:val="20"/>
              </w:rPr>
              <w:t>合计</w:t>
            </w:r>
          </w:p>
        </w:tc>
        <w:tc>
          <w:tcPr>
            <w:tcW w:type="dxa" w:w="3312"/>
          </w:tcPr>
          <w:p>
            <w:r/>
            <w:r>
              <w:rPr>
                <w:rFonts w:ascii="Calibri" w:hAnsi="Calibri" w:eastAsia="宋体"/>
                <w:b w:val="0"/>
                <w:i w:val="0"/>
                <w:sz w:val="20"/>
              </w:rPr>
              <w:t>70</w:t>
            </w:r>
          </w:p>
        </w:tc>
        <w:tc>
          <w:tcPr>
            <w:tcW w:type="dxa" w:w="3312"/>
          </w:tcPr>
          <w:p>
            <w:r/>
            <w:r>
              <w:rPr>
                <w:rFonts w:ascii="Calibri" w:hAnsi="Calibri" w:eastAsia="宋体"/>
                <w:b w:val="0"/>
                <w:i w:val="0"/>
                <w:sz w:val="20"/>
              </w:rPr>
              <w:t>4,394</w:t>
            </w:r>
          </w:p>
        </w:tc>
      </w:tr>
    </w:tbl>
    <w:p/>
    <w:p>
      <w:r>
        <w:rPr>
          <w:rFonts w:ascii="Calibri" w:hAnsi="Calibri" w:eastAsia="宋体"/>
          <w:b w:val="0"/>
          <w:i/>
          <w:sz w:val="20"/>
        </w:rPr>
        <w:t>实际提交时请以最终交存稿导出的页数和行数为准。</w:t>
      </w:r>
    </w:p>
    <w:p>
      <w:pPr>
        <w:pStyle w:val="Heading2"/>
      </w:pPr>
      <w:r>
        <w:t>五、交存格式建议</w:t>
      </w:r>
    </w:p>
    <w:p>
      <w:r>
        <w:rPr>
          <w:rFonts w:ascii="Calibri" w:hAnsi="Calibri" w:eastAsia="宋体"/>
          <w:b w:val="0"/>
          <w:i w:val="0"/>
          <w:sz w:val="22"/>
        </w:rPr>
        <w:t>常见做法是提交源程序前、后各连续 30 页，共 60 页；每页不少于 50 行。若源程序不足 60 页，通常提交全部源程序。为便于整理，本资料包中的 源代码交存稿_前后30页.txt 已按每页 50 行生成页码标记。</w:t>
      </w:r>
    </w:p>
    <w:p>
      <w:r>
        <w:rPr>
          <w:rFonts w:ascii="Calibri" w:hAnsi="Calibri" w:eastAsia="宋体"/>
          <w:b w:val="0"/>
          <w:i w:val="0"/>
          <w:sz w:val="22"/>
        </w:rPr>
        <w:t>正式提交前建议：</w:t>
      </w:r>
    </w:p>
    <w:p>
      <w:pPr>
        <w:pStyle w:val="ListNumber"/>
      </w:pPr>
      <w:r>
        <w:rPr>
          <w:rFonts w:ascii="Calibri" w:hAnsi="Calibri" w:eastAsia="宋体"/>
          <w:b w:val="0"/>
          <w:i w:val="0"/>
          <w:sz w:val="22"/>
        </w:rPr>
        <w:t>将 源代码交存稿_前后30页.txt 复制到 Word/WPS。</w:t>
      </w:r>
    </w:p>
    <w:p>
      <w:pPr>
        <w:pStyle w:val="ListNumber"/>
      </w:pPr>
      <w:r>
        <w:rPr>
          <w:rFonts w:ascii="Calibri" w:hAnsi="Calibri" w:eastAsia="宋体"/>
          <w:b w:val="0"/>
          <w:i w:val="0"/>
          <w:sz w:val="22"/>
        </w:rPr>
        <w:t>页眉统一写为：次聊 NFC 社交聊天软件 V1.0 源程序。</w:t>
      </w:r>
    </w:p>
    <w:p>
      <w:pPr>
        <w:pStyle w:val="ListNumber"/>
      </w:pPr>
      <w:r>
        <w:rPr>
          <w:rFonts w:ascii="Calibri" w:hAnsi="Calibri" w:eastAsia="宋体"/>
          <w:b w:val="0"/>
          <w:i w:val="0"/>
          <w:sz w:val="22"/>
        </w:rPr>
        <w:t>页脚或右上角添加页码。</w:t>
      </w:r>
    </w:p>
    <w:p>
      <w:pPr>
        <w:pStyle w:val="ListNumber"/>
      </w:pPr>
      <w:r>
        <w:rPr>
          <w:rFonts w:ascii="Calibri" w:hAnsi="Calibri" w:eastAsia="宋体"/>
          <w:b w:val="0"/>
          <w:i w:val="0"/>
          <w:sz w:val="22"/>
        </w:rPr>
        <w:t>字体使用等宽字体，例如 Consolas、Courier New 或仿宋/宋体。</w:t>
      </w:r>
    </w:p>
    <w:p>
      <w:pPr>
        <w:pStyle w:val="ListNumber"/>
      </w:pPr>
      <w:r>
        <w:rPr>
          <w:rFonts w:ascii="Calibri" w:hAnsi="Calibri" w:eastAsia="宋体"/>
          <w:b w:val="0"/>
          <w:i w:val="0"/>
          <w:sz w:val="22"/>
        </w:rPr>
        <w:t>确保软件名称、简称、版本号与申请表完全一致。</w:t>
      </w:r>
    </w:p>
    <w:p>
      <w:pPr>
        <w:pStyle w:val="ListNumber"/>
      </w:pPr>
      <w:r>
        <w:rPr>
          <w:rFonts w:ascii="Calibri" w:hAnsi="Calibri" w:eastAsia="宋体"/>
          <w:b w:val="0"/>
          <w:i w:val="0"/>
          <w:sz w:val="22"/>
        </w:rPr>
        <w:t>检查是否存在不应公开的服务器地址、密钥、密码、个人隐私或第三方商业敏感信息。</w:t>
      </w:r>
    </w:p>
    <w:p>
      <w:pPr>
        <w:pStyle w:val="Heading2"/>
      </w:pPr>
      <w:r>
        <w:t>六、原创性说明草稿</w:t>
      </w:r>
    </w:p>
    <w:p>
      <w:r>
        <w:rPr>
          <w:rFonts w:ascii="Calibri" w:hAnsi="Calibri" w:eastAsia="宋体"/>
          <w:b w:val="0"/>
          <w:i w:val="0"/>
          <w:sz w:val="22"/>
        </w:rPr>
        <w:t>本软件源代码由项目开发者围绕 NFC 加好友和一对一聊天业务流程编写，核心内容包括移动端页面交互、NFC 邀请解析、好友申请流程、通讯录状态管理、聊天界面、API 通信、后端业务服务、数据库实体、数据访问仓库、WebSocket 实时推送和数据库迁移脚本。项目使用的开源框架和第三方依赖仅作为基础运行环境和通用技术组件，不作为本软件原创源代码主张。</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