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86FED" w14:textId="761267CA" w:rsidR="00A030CD" w:rsidRPr="0083791A" w:rsidRDefault="00A030CD" w:rsidP="002A5AAC">
      <w:pPr>
        <w:jc w:val="center"/>
        <w:rPr>
          <w:b/>
          <w:bCs/>
          <w:color w:val="C00000"/>
          <w:sz w:val="28"/>
          <w:szCs w:val="28"/>
        </w:rPr>
      </w:pPr>
      <w:proofErr w:type="spellStart"/>
      <w:r w:rsidRPr="0083791A">
        <w:rPr>
          <w:b/>
          <w:bCs/>
          <w:color w:val="C00000"/>
          <w:sz w:val="28"/>
          <w:szCs w:val="28"/>
        </w:rPr>
        <w:t>Instructions</w:t>
      </w:r>
      <w:proofErr w:type="spellEnd"/>
      <w:r w:rsidR="0083791A" w:rsidRPr="0083791A">
        <w:rPr>
          <w:b/>
          <w:bCs/>
          <w:color w:val="C00000"/>
          <w:sz w:val="28"/>
          <w:szCs w:val="28"/>
        </w:rPr>
        <w:t xml:space="preserve"> (DIY)</w:t>
      </w:r>
    </w:p>
    <w:p w14:paraId="2D7E9584" w14:textId="77777777" w:rsidR="00A030CD" w:rsidRDefault="00A030CD" w:rsidP="002A5AAC">
      <w:pPr>
        <w:jc w:val="both"/>
      </w:pPr>
    </w:p>
    <w:p w14:paraId="2A0D5FB7" w14:textId="77777777" w:rsidR="0083791A" w:rsidRDefault="0083791A" w:rsidP="002A5AAC">
      <w:pPr>
        <w:jc w:val="both"/>
        <w:rPr>
          <w:lang w:val="en-US"/>
        </w:rPr>
      </w:pPr>
    </w:p>
    <w:p w14:paraId="6E8D24F9" w14:textId="44E1EB51" w:rsidR="00A030CD" w:rsidRDefault="00A030CD" w:rsidP="002A5AAC">
      <w:pPr>
        <w:jc w:val="both"/>
        <w:rPr>
          <w:lang w:val="en-US"/>
        </w:rPr>
      </w:pPr>
      <w:r>
        <w:rPr>
          <w:lang w:val="en-US"/>
        </w:rPr>
        <w:t>Select</w:t>
      </w:r>
      <w:r w:rsidRPr="00A030CD">
        <w:rPr>
          <w:lang w:val="en-US"/>
        </w:rPr>
        <w:t xml:space="preserve"> mutation file </w:t>
      </w:r>
      <w:r>
        <w:rPr>
          <w:lang w:val="en-US"/>
        </w:rPr>
        <w:t>with the Browse (</w:t>
      </w:r>
      <w:r w:rsidRPr="00A030CD">
        <w:rPr>
          <w:lang w:val="en-US"/>
        </w:rPr>
        <w:drawing>
          <wp:inline distT="0" distB="0" distL="0" distR="0" wp14:anchorId="533550BA" wp14:editId="3F66E19D">
            <wp:extent cx="1266660" cy="270997"/>
            <wp:effectExtent l="0" t="0" r="3810" b="0"/>
            <wp:docPr id="354853532" name="Immagine 1" descr="Immagine che contiene testo, Carattere, bianc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53532" name="Immagine 1" descr="Immagine che contiene testo, Carattere, bianco, schermata&#10;&#10;Descrizione generata automaticamente"/>
                    <pic:cNvPicPr/>
                  </pic:nvPicPr>
                  <pic:blipFill rotWithShape="1">
                    <a:blip r:embed="rId4"/>
                    <a:srcRect t="6348"/>
                    <a:stretch/>
                  </pic:blipFill>
                  <pic:spPr bwMode="auto">
                    <a:xfrm>
                      <a:off x="0" y="0"/>
                      <a:ext cx="1288607" cy="275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) button on the top left of the page. </w:t>
      </w:r>
      <w:r w:rsidRPr="00A030CD">
        <w:rPr>
          <w:lang w:val="en-US"/>
        </w:rPr>
        <w:t xml:space="preserve"> </w:t>
      </w:r>
    </w:p>
    <w:p w14:paraId="72D4D1EF" w14:textId="77777777" w:rsidR="00A030CD" w:rsidRDefault="00A030CD" w:rsidP="002A5AAC">
      <w:pPr>
        <w:jc w:val="both"/>
        <w:rPr>
          <w:lang w:val="en-US"/>
        </w:rPr>
      </w:pPr>
    </w:p>
    <w:p w14:paraId="54354218" w14:textId="44C5E69C" w:rsidR="00A030CD" w:rsidRDefault="00A030CD" w:rsidP="002A5AAC">
      <w:pPr>
        <w:jc w:val="both"/>
        <w:rPr>
          <w:lang w:val="en-US"/>
        </w:rPr>
      </w:pPr>
      <w:r>
        <w:rPr>
          <w:lang w:val="en-US"/>
        </w:rPr>
        <w:t>Once selected upload it with the load data function (</w:t>
      </w:r>
      <w:r w:rsidRPr="00A030CD">
        <w:rPr>
          <w:lang w:val="en-US"/>
        </w:rPr>
        <w:drawing>
          <wp:inline distT="0" distB="0" distL="0" distR="0" wp14:anchorId="2DDC758C" wp14:editId="701DDD76">
            <wp:extent cx="487680" cy="246255"/>
            <wp:effectExtent l="0" t="0" r="0" b="0"/>
            <wp:docPr id="873040210" name="Immagine 1" descr="Immagine che contiene testo, Carattere, bianco, str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40210" name="Immagine 1" descr="Immagine che contiene testo, Carattere, bianco, strumen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7" cy="26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).</w:t>
      </w:r>
    </w:p>
    <w:p w14:paraId="0EC6FC3A" w14:textId="77777777" w:rsidR="00A030CD" w:rsidRDefault="00A030CD" w:rsidP="002A5AAC">
      <w:pPr>
        <w:jc w:val="both"/>
        <w:rPr>
          <w:lang w:val="en-US"/>
        </w:rPr>
      </w:pPr>
    </w:p>
    <w:p w14:paraId="263D6E91" w14:textId="75B2BF7A" w:rsidR="00A030CD" w:rsidRDefault="00A030CD" w:rsidP="002A5AAC">
      <w:pPr>
        <w:jc w:val="both"/>
        <w:rPr>
          <w:lang w:val="en-US"/>
        </w:rPr>
      </w:pPr>
      <w:r>
        <w:rPr>
          <w:lang w:val="en-US"/>
        </w:rPr>
        <w:t>The three selection buttons (</w:t>
      </w:r>
      <w:proofErr w:type="spellStart"/>
      <w:r w:rsidRPr="0083791A">
        <w:rPr>
          <w:rFonts w:ascii="Source Sans Pro" w:hAnsi="Source Sans Pro"/>
          <w:b/>
          <w:bCs/>
          <w:color w:val="333333"/>
          <w:sz w:val="20"/>
          <w:szCs w:val="20"/>
          <w:shd w:val="clear" w:color="auto" w:fill="F5F5F5"/>
          <w:lang w:val="en-US"/>
        </w:rPr>
        <w:t>SynonymousSelection</w:t>
      </w:r>
      <w:proofErr w:type="spellEnd"/>
      <w:r w:rsidRPr="0083791A">
        <w:rPr>
          <w:rFonts w:ascii="Source Sans Pro" w:hAnsi="Source Sans Pro"/>
          <w:b/>
          <w:bCs/>
          <w:color w:val="333333"/>
          <w:sz w:val="20"/>
          <w:szCs w:val="20"/>
          <w:shd w:val="clear" w:color="auto" w:fill="F5F5F5"/>
          <w:lang w:val="en-US"/>
        </w:rPr>
        <w:t xml:space="preserve">, </w:t>
      </w:r>
      <w:proofErr w:type="spellStart"/>
      <w:r w:rsidRPr="0083791A">
        <w:rPr>
          <w:rFonts w:ascii="Source Sans Pro" w:hAnsi="Source Sans Pro"/>
          <w:b/>
          <w:bCs/>
          <w:color w:val="333333"/>
          <w:sz w:val="20"/>
          <w:szCs w:val="20"/>
          <w:shd w:val="clear" w:color="auto" w:fill="F5F5F5"/>
          <w:lang w:val="en-US"/>
        </w:rPr>
        <w:t>NonSynonymousSelection</w:t>
      </w:r>
      <w:proofErr w:type="spellEnd"/>
      <w:r w:rsidRPr="0083791A">
        <w:rPr>
          <w:rFonts w:ascii="Source Sans Pro" w:hAnsi="Source Sans Pro"/>
          <w:b/>
          <w:bCs/>
          <w:color w:val="333333"/>
          <w:sz w:val="20"/>
          <w:szCs w:val="20"/>
          <w:shd w:val="clear" w:color="auto" w:fill="F5F5F5"/>
          <w:lang w:val="en-US"/>
        </w:rPr>
        <w:t xml:space="preserve">, </w:t>
      </w:r>
      <w:proofErr w:type="spellStart"/>
      <w:r w:rsidRPr="0083791A">
        <w:rPr>
          <w:rFonts w:ascii="Source Sans Pro" w:hAnsi="Source Sans Pro"/>
          <w:b/>
          <w:bCs/>
          <w:color w:val="333333"/>
          <w:sz w:val="20"/>
          <w:szCs w:val="20"/>
          <w:shd w:val="clear" w:color="auto" w:fill="F5F5F5"/>
          <w:lang w:val="en-US"/>
        </w:rPr>
        <w:t>IntronicSelection</w:t>
      </w:r>
      <w:proofErr w:type="spellEnd"/>
      <w:r>
        <w:rPr>
          <w:lang w:val="en-US"/>
        </w:rPr>
        <w:t xml:space="preserve">) can be used to define the mutation types to be considered for the different tables. This is not used for the plotting, which automatically extract the </w:t>
      </w:r>
      <w:proofErr w:type="spellStart"/>
      <w:proofErr w:type="gramStart"/>
      <w:r>
        <w:rPr>
          <w:lang w:val="en-US"/>
        </w:rPr>
        <w:t>informations</w:t>
      </w:r>
      <w:proofErr w:type="spellEnd"/>
      <w:proofErr w:type="gram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ExonicFunc.refGene</w:t>
      </w:r>
      <w:proofErr w:type="spellEnd"/>
      <w:r>
        <w:rPr>
          <w:lang w:val="en-US"/>
        </w:rPr>
        <w:t xml:space="preserve"> column. *</w:t>
      </w:r>
    </w:p>
    <w:p w14:paraId="7BA2E42F" w14:textId="77777777" w:rsidR="00A030CD" w:rsidRDefault="00A030CD" w:rsidP="002A5AAC">
      <w:pPr>
        <w:jc w:val="both"/>
        <w:rPr>
          <w:lang w:val="en-US"/>
        </w:rPr>
      </w:pPr>
    </w:p>
    <w:p w14:paraId="37E8A702" w14:textId="0C31C650" w:rsidR="0083791A" w:rsidRDefault="00A030CD" w:rsidP="002A5AAC">
      <w:pPr>
        <w:jc w:val="both"/>
        <w:rPr>
          <w:lang w:val="en-US"/>
        </w:rPr>
      </w:pPr>
      <w:r>
        <w:rPr>
          <w:lang w:val="en-US"/>
        </w:rPr>
        <w:t>Available options for plotting include the inclusion/exclusion of unmutated patients,</w:t>
      </w:r>
      <w:r w:rsidR="0083791A">
        <w:rPr>
          <w:lang w:val="en-US"/>
        </w:rPr>
        <w:t xml:space="preserve"> only keep genes mutated in at least a percentage of patients, and three options for downloading the file: width and height of the image saved, and size of row labels, please change this accordingly (need to be modified based on the number of patients/genes). Note that this can be changed any time, there is no need to re-upload the file.</w:t>
      </w:r>
    </w:p>
    <w:p w14:paraId="28ACEF1E" w14:textId="77777777" w:rsidR="0083791A" w:rsidRDefault="0083791A" w:rsidP="002A5AAC">
      <w:pPr>
        <w:jc w:val="both"/>
        <w:rPr>
          <w:lang w:val="en-US"/>
        </w:rPr>
      </w:pPr>
    </w:p>
    <w:p w14:paraId="6F2E556F" w14:textId="085C9A9B" w:rsidR="0083791A" w:rsidRDefault="0083791A" w:rsidP="002A5AAC">
      <w:pPr>
        <w:jc w:val="both"/>
        <w:rPr>
          <w:lang w:val="en-US"/>
        </w:rPr>
      </w:pPr>
      <w:r>
        <w:rPr>
          <w:lang w:val="en-US"/>
        </w:rPr>
        <w:t>Once you’re happy, write the name you want your files to be saved as, and download!</w:t>
      </w:r>
    </w:p>
    <w:p w14:paraId="034431AF" w14:textId="77777777" w:rsidR="0083791A" w:rsidRPr="0083791A" w:rsidRDefault="0083791A" w:rsidP="002A5AAC">
      <w:pPr>
        <w:jc w:val="both"/>
        <w:rPr>
          <w:lang w:val="en-US"/>
        </w:rPr>
      </w:pPr>
    </w:p>
    <w:p w14:paraId="4EBB5B43" w14:textId="77777777" w:rsidR="0083791A" w:rsidRDefault="0083791A" w:rsidP="002A5AAC">
      <w:pPr>
        <w:pBdr>
          <w:bottom w:val="single" w:sz="4" w:space="1" w:color="auto"/>
        </w:pBdr>
        <w:jc w:val="both"/>
        <w:rPr>
          <w:lang w:val="en-US"/>
        </w:rPr>
      </w:pPr>
    </w:p>
    <w:p w14:paraId="625D682C" w14:textId="77777777" w:rsidR="0083791A" w:rsidRDefault="0083791A" w:rsidP="002A5AAC">
      <w:pPr>
        <w:jc w:val="both"/>
        <w:rPr>
          <w:lang w:val="en-US"/>
        </w:rPr>
      </w:pPr>
    </w:p>
    <w:p w14:paraId="48F0D5ED" w14:textId="77777777" w:rsidR="002A5AAC" w:rsidRDefault="002A5AAC" w:rsidP="002A5AAC">
      <w:pPr>
        <w:jc w:val="both"/>
        <w:rPr>
          <w:lang w:val="en-US"/>
        </w:rPr>
      </w:pPr>
    </w:p>
    <w:p w14:paraId="6C479241" w14:textId="155253F2" w:rsidR="0083791A" w:rsidRPr="0083791A" w:rsidRDefault="0083791A" w:rsidP="002A5AAC">
      <w:pPr>
        <w:jc w:val="center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 xml:space="preserve">Input </w:t>
      </w:r>
      <w:proofErr w:type="spellStart"/>
      <w:r>
        <w:rPr>
          <w:b/>
          <w:bCs/>
          <w:color w:val="C00000"/>
          <w:sz w:val="28"/>
          <w:szCs w:val="28"/>
        </w:rPr>
        <w:t>requirements</w:t>
      </w:r>
      <w:proofErr w:type="spellEnd"/>
    </w:p>
    <w:p w14:paraId="1F434CC1" w14:textId="77777777" w:rsidR="0083791A" w:rsidRPr="00A030CD" w:rsidRDefault="0083791A" w:rsidP="002A5AAC">
      <w:pPr>
        <w:jc w:val="both"/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030CD" w:rsidRPr="00A030CD" w14:paraId="0D5C3CEF" w14:textId="77777777" w:rsidTr="00A030CD">
        <w:tc>
          <w:tcPr>
            <w:tcW w:w="4814" w:type="dxa"/>
          </w:tcPr>
          <w:p w14:paraId="329381AC" w14:textId="279C0C46" w:rsidR="00A030CD" w:rsidRPr="0083791A" w:rsidRDefault="00A030CD" w:rsidP="002A5AAC">
            <w:pPr>
              <w:jc w:val="both"/>
              <w:rPr>
                <w:b/>
                <w:bCs/>
              </w:rPr>
            </w:pPr>
            <w:proofErr w:type="spellStart"/>
            <w:r w:rsidRPr="0083791A">
              <w:rPr>
                <w:b/>
                <w:bCs/>
              </w:rPr>
              <w:t>Column</w:t>
            </w:r>
            <w:proofErr w:type="spellEnd"/>
            <w:r w:rsidRPr="0083791A">
              <w:rPr>
                <w:b/>
                <w:bCs/>
              </w:rPr>
              <w:t xml:space="preserve"> info</w:t>
            </w:r>
          </w:p>
        </w:tc>
        <w:tc>
          <w:tcPr>
            <w:tcW w:w="4814" w:type="dxa"/>
          </w:tcPr>
          <w:p w14:paraId="5FE272D5" w14:textId="35BB2E35" w:rsidR="00A030CD" w:rsidRPr="0083791A" w:rsidRDefault="00A030CD" w:rsidP="002A5AAC">
            <w:pPr>
              <w:jc w:val="both"/>
              <w:rPr>
                <w:b/>
                <w:bCs/>
                <w:lang w:val="en-US"/>
              </w:rPr>
            </w:pPr>
            <w:r w:rsidRPr="0083791A">
              <w:rPr>
                <w:b/>
                <w:bCs/>
                <w:lang w:val="en-US"/>
              </w:rPr>
              <w:t>Required name of the column</w:t>
            </w:r>
          </w:p>
        </w:tc>
      </w:tr>
      <w:tr w:rsidR="00A030CD" w:rsidRPr="00A030CD" w14:paraId="04933CCE" w14:textId="77777777" w:rsidTr="00A030CD">
        <w:tc>
          <w:tcPr>
            <w:tcW w:w="4814" w:type="dxa"/>
          </w:tcPr>
          <w:p w14:paraId="269A515A" w14:textId="2A89ED79" w:rsidR="00A030CD" w:rsidRPr="00A030CD" w:rsidRDefault="00A030CD" w:rsidP="002A5AA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Sample IDs</w:t>
            </w:r>
          </w:p>
        </w:tc>
        <w:tc>
          <w:tcPr>
            <w:tcW w:w="4814" w:type="dxa"/>
          </w:tcPr>
          <w:p w14:paraId="092FA9D6" w14:textId="51BF0413" w:rsidR="00A030CD" w:rsidRPr="00A030CD" w:rsidRDefault="00A030CD" w:rsidP="002A5AA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samplename</w:t>
            </w:r>
            <w:proofErr w:type="spellEnd"/>
          </w:p>
        </w:tc>
      </w:tr>
      <w:tr w:rsidR="00A030CD" w:rsidRPr="00A030CD" w14:paraId="041E80FC" w14:textId="77777777" w:rsidTr="00A030CD">
        <w:tc>
          <w:tcPr>
            <w:tcW w:w="4814" w:type="dxa"/>
          </w:tcPr>
          <w:p w14:paraId="1F9057F2" w14:textId="2C8EEDD7" w:rsidR="00A030CD" w:rsidRPr="00A030CD" w:rsidRDefault="00A030CD" w:rsidP="002A5AA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Gene name</w:t>
            </w:r>
          </w:p>
        </w:tc>
        <w:tc>
          <w:tcPr>
            <w:tcW w:w="4814" w:type="dxa"/>
          </w:tcPr>
          <w:p w14:paraId="7F8A9FB9" w14:textId="25BF5101" w:rsidR="00A030CD" w:rsidRPr="00A030CD" w:rsidRDefault="00A030CD" w:rsidP="002A5AAC">
            <w:pPr>
              <w:jc w:val="both"/>
              <w:rPr>
                <w:lang w:val="en-US"/>
              </w:rPr>
            </w:pPr>
            <w:proofErr w:type="spellStart"/>
            <w:r w:rsidRPr="00A030CD">
              <w:rPr>
                <w:lang w:val="en-US"/>
              </w:rPr>
              <w:t>Gene.refGene</w:t>
            </w:r>
            <w:proofErr w:type="spellEnd"/>
          </w:p>
        </w:tc>
      </w:tr>
      <w:tr w:rsidR="00A030CD" w:rsidRPr="00A030CD" w14:paraId="7BB1CE04" w14:textId="77777777" w:rsidTr="00A030CD">
        <w:tc>
          <w:tcPr>
            <w:tcW w:w="4814" w:type="dxa"/>
          </w:tcPr>
          <w:p w14:paraId="2146F1EE" w14:textId="2C7CD5EC" w:rsidR="00A030CD" w:rsidRPr="00A030CD" w:rsidRDefault="00A030CD" w:rsidP="002A5AA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Mutation annotation</w:t>
            </w:r>
          </w:p>
        </w:tc>
        <w:tc>
          <w:tcPr>
            <w:tcW w:w="4814" w:type="dxa"/>
          </w:tcPr>
          <w:p w14:paraId="39BBFBA5" w14:textId="07CAE11A" w:rsidR="00A030CD" w:rsidRPr="00A030CD" w:rsidRDefault="00A030CD" w:rsidP="002A5AAC">
            <w:pPr>
              <w:jc w:val="both"/>
              <w:rPr>
                <w:lang w:val="en-US"/>
              </w:rPr>
            </w:pPr>
            <w:proofErr w:type="spellStart"/>
            <w:r w:rsidRPr="00A030CD">
              <w:rPr>
                <w:lang w:val="en-US"/>
              </w:rPr>
              <w:t>ExonicFunc.refGene</w:t>
            </w:r>
            <w:proofErr w:type="spellEnd"/>
          </w:p>
        </w:tc>
      </w:tr>
    </w:tbl>
    <w:p w14:paraId="4520267F" w14:textId="77777777" w:rsidR="00CC7733" w:rsidRDefault="00CC7733" w:rsidP="002A5AAC">
      <w:pPr>
        <w:jc w:val="both"/>
        <w:rPr>
          <w:lang w:val="en-US"/>
        </w:rPr>
      </w:pPr>
    </w:p>
    <w:p w14:paraId="1B64E4A4" w14:textId="15062309" w:rsidR="00A030CD" w:rsidRDefault="00A030CD" w:rsidP="002A5AAC">
      <w:pPr>
        <w:jc w:val="both"/>
        <w:rPr>
          <w:lang w:val="en-US"/>
        </w:rPr>
      </w:pPr>
      <w:r>
        <w:rPr>
          <w:lang w:val="en-US"/>
        </w:rPr>
        <w:t>If unmutated patients</w:t>
      </w:r>
      <w:r w:rsidR="0083791A">
        <w:rPr>
          <w:lang w:val="en-US"/>
        </w:rPr>
        <w:t xml:space="preserve"> are present</w:t>
      </w:r>
      <w:r>
        <w:rPr>
          <w:lang w:val="en-US"/>
        </w:rPr>
        <w:t xml:space="preserve">, please write ‘UNMUTATED’ or ‘unmutated’ in the </w:t>
      </w:r>
      <w:proofErr w:type="spellStart"/>
      <w:r w:rsidRPr="00A030CD">
        <w:rPr>
          <w:lang w:val="en-US"/>
        </w:rPr>
        <w:t>Gene.refGene</w:t>
      </w:r>
      <w:proofErr w:type="spellEnd"/>
      <w:r>
        <w:rPr>
          <w:lang w:val="en-US"/>
        </w:rPr>
        <w:t xml:space="preserve"> column.</w:t>
      </w:r>
    </w:p>
    <w:p w14:paraId="1A214608" w14:textId="77777777" w:rsidR="0083791A" w:rsidRDefault="0083791A" w:rsidP="002A5AAC">
      <w:pPr>
        <w:jc w:val="both"/>
        <w:rPr>
          <w:lang w:val="en-US"/>
        </w:rPr>
      </w:pPr>
    </w:p>
    <w:p w14:paraId="249B8960" w14:textId="77777777" w:rsidR="002A5AAC" w:rsidRDefault="002A5AAC" w:rsidP="002A5AAC">
      <w:pPr>
        <w:pBdr>
          <w:bottom w:val="single" w:sz="4" w:space="1" w:color="auto"/>
        </w:pBdr>
        <w:jc w:val="both"/>
        <w:rPr>
          <w:lang w:val="en-US"/>
        </w:rPr>
      </w:pPr>
    </w:p>
    <w:p w14:paraId="4DCC68C4" w14:textId="77777777" w:rsidR="0083791A" w:rsidRDefault="0083791A" w:rsidP="002A5AAC">
      <w:pPr>
        <w:jc w:val="both"/>
        <w:rPr>
          <w:lang w:val="en-US"/>
        </w:rPr>
      </w:pPr>
    </w:p>
    <w:p w14:paraId="699E43AF" w14:textId="77777777" w:rsidR="0083791A" w:rsidRDefault="0083791A" w:rsidP="002A5AAC">
      <w:pPr>
        <w:jc w:val="both"/>
        <w:rPr>
          <w:lang w:val="en-US"/>
        </w:rPr>
      </w:pPr>
    </w:p>
    <w:p w14:paraId="2F9C6FF8" w14:textId="15527183" w:rsidR="002A5AAC" w:rsidRDefault="0083791A" w:rsidP="002A5AAC">
      <w:pPr>
        <w:jc w:val="center"/>
        <w:rPr>
          <w:lang w:val="en-US"/>
        </w:rPr>
      </w:pPr>
      <w:r w:rsidRPr="002A5AAC">
        <w:rPr>
          <w:b/>
          <w:bCs/>
          <w:color w:val="C00000"/>
          <w:sz w:val="28"/>
          <w:szCs w:val="28"/>
          <w:lang w:val="en-US"/>
        </w:rPr>
        <w:t>Questions?</w:t>
      </w:r>
      <w:r w:rsidR="002A5AAC" w:rsidRPr="002A5AAC">
        <w:rPr>
          <w:lang w:val="en-US"/>
        </w:rPr>
        <w:t xml:space="preserve"> </w:t>
      </w:r>
      <w:r w:rsidR="002A5AAC" w:rsidRPr="0083791A">
        <w:rPr>
          <w:lang w:val="en-US"/>
        </w:rPr>
        <w:t>Don’t write to me, solve it yourself</w:t>
      </w:r>
      <w:r w:rsidR="002A5AAC">
        <w:rPr>
          <w:lang w:val="en-US"/>
        </w:rPr>
        <w:t>!</w:t>
      </w:r>
    </w:p>
    <w:p w14:paraId="2BC74B31" w14:textId="77777777" w:rsidR="0083791A" w:rsidRDefault="0083791A" w:rsidP="002A5AAC">
      <w:pPr>
        <w:jc w:val="both"/>
        <w:rPr>
          <w:lang w:val="en-US"/>
        </w:rPr>
      </w:pPr>
    </w:p>
    <w:p w14:paraId="22F4F3B1" w14:textId="77777777" w:rsidR="002A5AAC" w:rsidRDefault="002A5AAC" w:rsidP="002A5AAC">
      <w:pPr>
        <w:pBdr>
          <w:bottom w:val="single" w:sz="4" w:space="1" w:color="auto"/>
        </w:pBdr>
        <w:jc w:val="both"/>
        <w:rPr>
          <w:lang w:val="en-US"/>
        </w:rPr>
      </w:pPr>
    </w:p>
    <w:p w14:paraId="62D74C15" w14:textId="77777777" w:rsidR="0083791A" w:rsidRDefault="0083791A" w:rsidP="002A5AAC">
      <w:pPr>
        <w:jc w:val="both"/>
        <w:rPr>
          <w:lang w:val="en-US"/>
        </w:rPr>
      </w:pPr>
    </w:p>
    <w:p w14:paraId="24798C23" w14:textId="77777777" w:rsidR="0083791A" w:rsidRPr="002A5AAC" w:rsidRDefault="0083791A" w:rsidP="002A5AAC">
      <w:pPr>
        <w:jc w:val="both"/>
        <w:rPr>
          <w:sz w:val="22"/>
          <w:szCs w:val="22"/>
          <w:lang w:val="en-US"/>
        </w:rPr>
      </w:pPr>
      <w:r w:rsidRPr="002A5AAC">
        <w:rPr>
          <w:sz w:val="22"/>
          <w:szCs w:val="22"/>
          <w:lang w:val="en-US"/>
        </w:rPr>
        <w:t>*Current options are (and pre-loaded) as follows:</w:t>
      </w:r>
    </w:p>
    <w:p w14:paraId="197E1847" w14:textId="77777777" w:rsidR="0083791A" w:rsidRPr="002A5AAC" w:rsidRDefault="0083791A" w:rsidP="002A5AAC">
      <w:pPr>
        <w:jc w:val="both"/>
        <w:rPr>
          <w:sz w:val="22"/>
          <w:szCs w:val="22"/>
          <w:u w:val="single"/>
          <w:lang w:val="en-US"/>
        </w:rPr>
      </w:pPr>
    </w:p>
    <w:p w14:paraId="6601DC80" w14:textId="3B0DBFA6" w:rsidR="0083791A" w:rsidRPr="002A5AAC" w:rsidRDefault="0083791A" w:rsidP="002A5AAC">
      <w:pPr>
        <w:jc w:val="both"/>
        <w:rPr>
          <w:i/>
          <w:iCs/>
          <w:sz w:val="22"/>
          <w:szCs w:val="22"/>
          <w:lang w:val="en-US"/>
        </w:rPr>
      </w:pPr>
      <w:r w:rsidRPr="002A5AAC">
        <w:rPr>
          <w:sz w:val="22"/>
          <w:szCs w:val="22"/>
          <w:u w:val="single"/>
          <w:lang w:val="en-US"/>
        </w:rPr>
        <w:t>Non-synonymous</w:t>
      </w:r>
      <w:r w:rsidRPr="002A5AAC">
        <w:rPr>
          <w:sz w:val="22"/>
          <w:szCs w:val="22"/>
          <w:lang w:val="en-US"/>
        </w:rPr>
        <w:t xml:space="preserve">: </w:t>
      </w:r>
      <w:r w:rsidRPr="002A5AAC">
        <w:rPr>
          <w:i/>
          <w:iCs/>
          <w:sz w:val="22"/>
          <w:szCs w:val="22"/>
          <w:lang w:val="en-US"/>
        </w:rPr>
        <w:t xml:space="preserve">splicing, frameshift deletion, frameshift insertion, </w:t>
      </w:r>
      <w:proofErr w:type="spellStart"/>
      <w:r w:rsidRPr="002A5AAC">
        <w:rPr>
          <w:i/>
          <w:iCs/>
          <w:sz w:val="22"/>
          <w:szCs w:val="22"/>
          <w:lang w:val="en-US"/>
        </w:rPr>
        <w:t>nonframeshift</w:t>
      </w:r>
      <w:proofErr w:type="spellEnd"/>
      <w:r w:rsidRPr="002A5AAC">
        <w:rPr>
          <w:i/>
          <w:iCs/>
          <w:sz w:val="22"/>
          <w:szCs w:val="22"/>
          <w:lang w:val="en-US"/>
        </w:rPr>
        <w:t xml:space="preserve"> deletion, </w:t>
      </w:r>
      <w:proofErr w:type="spellStart"/>
      <w:r w:rsidRPr="002A5AAC">
        <w:rPr>
          <w:i/>
          <w:iCs/>
          <w:sz w:val="22"/>
          <w:szCs w:val="22"/>
          <w:lang w:val="en-US"/>
        </w:rPr>
        <w:t>nonframeshift</w:t>
      </w:r>
      <w:proofErr w:type="spellEnd"/>
      <w:r w:rsidRPr="002A5AAC">
        <w:rPr>
          <w:i/>
          <w:iCs/>
          <w:sz w:val="22"/>
          <w:szCs w:val="22"/>
          <w:lang w:val="en-US"/>
        </w:rPr>
        <w:t xml:space="preserve"> insertion, nonsynonymous SNV, </w:t>
      </w:r>
      <w:proofErr w:type="spellStart"/>
      <w:r w:rsidRPr="002A5AAC">
        <w:rPr>
          <w:i/>
          <w:iCs/>
          <w:sz w:val="22"/>
          <w:szCs w:val="22"/>
          <w:lang w:val="en-US"/>
        </w:rPr>
        <w:t>stopgain</w:t>
      </w:r>
      <w:proofErr w:type="spellEnd"/>
      <w:r w:rsidRPr="002A5AAC">
        <w:rPr>
          <w:i/>
          <w:iCs/>
          <w:sz w:val="22"/>
          <w:szCs w:val="22"/>
          <w:lang w:val="en-US"/>
        </w:rPr>
        <w:t xml:space="preserve">, </w:t>
      </w:r>
      <w:proofErr w:type="spellStart"/>
      <w:r w:rsidRPr="002A5AAC">
        <w:rPr>
          <w:i/>
          <w:iCs/>
          <w:sz w:val="22"/>
          <w:szCs w:val="22"/>
          <w:lang w:val="en-US"/>
        </w:rPr>
        <w:t>startloss</w:t>
      </w:r>
      <w:proofErr w:type="spellEnd"/>
    </w:p>
    <w:p w14:paraId="707506C5" w14:textId="77777777" w:rsidR="0083791A" w:rsidRPr="002A5AAC" w:rsidRDefault="0083791A" w:rsidP="002A5AAC">
      <w:pPr>
        <w:jc w:val="both"/>
        <w:rPr>
          <w:i/>
          <w:iCs/>
          <w:sz w:val="22"/>
          <w:szCs w:val="22"/>
          <w:lang w:val="en-US"/>
        </w:rPr>
      </w:pPr>
      <w:r w:rsidRPr="002A5AAC">
        <w:rPr>
          <w:sz w:val="22"/>
          <w:szCs w:val="22"/>
          <w:u w:val="single"/>
          <w:lang w:val="en-US"/>
        </w:rPr>
        <w:t>Synonymous</w:t>
      </w:r>
      <w:r w:rsidRPr="002A5AAC">
        <w:rPr>
          <w:sz w:val="22"/>
          <w:szCs w:val="22"/>
          <w:lang w:val="en-US"/>
        </w:rPr>
        <w:t xml:space="preserve">: </w:t>
      </w:r>
      <w:r w:rsidRPr="002A5AAC">
        <w:rPr>
          <w:i/>
          <w:iCs/>
          <w:sz w:val="22"/>
          <w:szCs w:val="22"/>
          <w:lang w:val="en-US"/>
        </w:rPr>
        <w:t>synonymous SNV</w:t>
      </w:r>
    </w:p>
    <w:p w14:paraId="54919F76" w14:textId="77777777" w:rsidR="0083791A" w:rsidRPr="002A5AAC" w:rsidRDefault="0083791A" w:rsidP="002A5AAC">
      <w:pPr>
        <w:jc w:val="both"/>
        <w:rPr>
          <w:i/>
          <w:iCs/>
          <w:sz w:val="22"/>
          <w:szCs w:val="22"/>
          <w:lang w:val="en-US"/>
        </w:rPr>
      </w:pPr>
      <w:r w:rsidRPr="002A5AAC">
        <w:rPr>
          <w:sz w:val="22"/>
          <w:szCs w:val="22"/>
          <w:u w:val="single"/>
          <w:lang w:val="en-US"/>
        </w:rPr>
        <w:t>Intronic</w:t>
      </w:r>
      <w:r w:rsidRPr="002A5AAC">
        <w:rPr>
          <w:sz w:val="22"/>
          <w:szCs w:val="22"/>
          <w:lang w:val="en-US"/>
        </w:rPr>
        <w:t xml:space="preserve">: </w:t>
      </w:r>
      <w:r w:rsidRPr="002A5AAC">
        <w:rPr>
          <w:i/>
          <w:iCs/>
          <w:sz w:val="22"/>
          <w:szCs w:val="22"/>
          <w:lang w:val="en-US"/>
        </w:rPr>
        <w:t>intronic, UTR3, UTR, UTR5</w:t>
      </w:r>
    </w:p>
    <w:p w14:paraId="6D17DD07" w14:textId="77777777" w:rsidR="0083791A" w:rsidRPr="002A5AAC" w:rsidRDefault="0083791A" w:rsidP="002A5AAC">
      <w:pPr>
        <w:jc w:val="both"/>
        <w:rPr>
          <w:i/>
          <w:iCs/>
          <w:sz w:val="22"/>
          <w:szCs w:val="22"/>
          <w:lang w:val="en-US"/>
        </w:rPr>
      </w:pPr>
    </w:p>
    <w:p w14:paraId="1502B8D5" w14:textId="3E96E20D" w:rsidR="0083791A" w:rsidRPr="002A5AAC" w:rsidRDefault="0083791A" w:rsidP="002A5AAC">
      <w:pPr>
        <w:jc w:val="both"/>
        <w:rPr>
          <w:sz w:val="22"/>
          <w:szCs w:val="22"/>
          <w:lang w:val="en-US"/>
        </w:rPr>
      </w:pPr>
      <w:r w:rsidRPr="002A5AAC">
        <w:rPr>
          <w:sz w:val="22"/>
          <w:szCs w:val="22"/>
          <w:lang w:val="en-US"/>
        </w:rPr>
        <w:t xml:space="preserve">If these change (for ex. With </w:t>
      </w:r>
      <w:proofErr w:type="spellStart"/>
      <w:r w:rsidRPr="002A5AAC">
        <w:rPr>
          <w:sz w:val="22"/>
          <w:szCs w:val="22"/>
          <w:lang w:val="en-US"/>
        </w:rPr>
        <w:t>Annovar</w:t>
      </w:r>
      <w:proofErr w:type="spellEnd"/>
      <w:r w:rsidRPr="002A5AAC">
        <w:rPr>
          <w:sz w:val="22"/>
          <w:szCs w:val="22"/>
          <w:lang w:val="en-US"/>
        </w:rPr>
        <w:t xml:space="preserve"> update), let’s remember to change</w:t>
      </w:r>
      <w:r w:rsidR="002A5AAC" w:rsidRPr="002A5AAC">
        <w:rPr>
          <w:sz w:val="22"/>
          <w:szCs w:val="22"/>
          <w:lang w:val="en-US"/>
        </w:rPr>
        <w:t xml:space="preserve"> it!</w:t>
      </w:r>
    </w:p>
    <w:sectPr w:rsidR="0083791A" w:rsidRPr="002A5A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CD"/>
    <w:rsid w:val="000122A1"/>
    <w:rsid w:val="00053A50"/>
    <w:rsid w:val="000576D3"/>
    <w:rsid w:val="00085B79"/>
    <w:rsid w:val="000B4BF8"/>
    <w:rsid w:val="000D0775"/>
    <w:rsid w:val="000D7890"/>
    <w:rsid w:val="0011465B"/>
    <w:rsid w:val="00120EED"/>
    <w:rsid w:val="00175F09"/>
    <w:rsid w:val="001A6DDD"/>
    <w:rsid w:val="001F56C9"/>
    <w:rsid w:val="00207BA4"/>
    <w:rsid w:val="002A5AAC"/>
    <w:rsid w:val="002B399B"/>
    <w:rsid w:val="002C0D99"/>
    <w:rsid w:val="002E1E78"/>
    <w:rsid w:val="00350E4C"/>
    <w:rsid w:val="003804E7"/>
    <w:rsid w:val="003855A6"/>
    <w:rsid w:val="00386734"/>
    <w:rsid w:val="003A6CA0"/>
    <w:rsid w:val="003D366A"/>
    <w:rsid w:val="00405D03"/>
    <w:rsid w:val="00405E0C"/>
    <w:rsid w:val="004A21DC"/>
    <w:rsid w:val="00555267"/>
    <w:rsid w:val="00580D31"/>
    <w:rsid w:val="005853EA"/>
    <w:rsid w:val="00683A32"/>
    <w:rsid w:val="006C38FB"/>
    <w:rsid w:val="006D22BB"/>
    <w:rsid w:val="00736835"/>
    <w:rsid w:val="00795901"/>
    <w:rsid w:val="007C03D3"/>
    <w:rsid w:val="007D55E7"/>
    <w:rsid w:val="007F0966"/>
    <w:rsid w:val="0083791A"/>
    <w:rsid w:val="00863035"/>
    <w:rsid w:val="00864761"/>
    <w:rsid w:val="00872E14"/>
    <w:rsid w:val="00890873"/>
    <w:rsid w:val="008A1D35"/>
    <w:rsid w:val="008A25E7"/>
    <w:rsid w:val="008B11B4"/>
    <w:rsid w:val="008E1063"/>
    <w:rsid w:val="008F36DC"/>
    <w:rsid w:val="00966A33"/>
    <w:rsid w:val="00996AB7"/>
    <w:rsid w:val="009C0DA1"/>
    <w:rsid w:val="009F662B"/>
    <w:rsid w:val="00A030CD"/>
    <w:rsid w:val="00A5789F"/>
    <w:rsid w:val="00A72C78"/>
    <w:rsid w:val="00A80CD8"/>
    <w:rsid w:val="00A83910"/>
    <w:rsid w:val="00AA1783"/>
    <w:rsid w:val="00AC04C8"/>
    <w:rsid w:val="00AC1163"/>
    <w:rsid w:val="00AC1DF6"/>
    <w:rsid w:val="00B13597"/>
    <w:rsid w:val="00B2010C"/>
    <w:rsid w:val="00B90C31"/>
    <w:rsid w:val="00BF5ACD"/>
    <w:rsid w:val="00C65CE1"/>
    <w:rsid w:val="00C74D73"/>
    <w:rsid w:val="00CC7733"/>
    <w:rsid w:val="00D7012C"/>
    <w:rsid w:val="00D82F89"/>
    <w:rsid w:val="00D87841"/>
    <w:rsid w:val="00D916FF"/>
    <w:rsid w:val="00D95E6D"/>
    <w:rsid w:val="00DF58F9"/>
    <w:rsid w:val="00E1666F"/>
    <w:rsid w:val="00E3285C"/>
    <w:rsid w:val="00EC1C45"/>
    <w:rsid w:val="00F053C3"/>
    <w:rsid w:val="00F15309"/>
    <w:rsid w:val="00F42B4C"/>
    <w:rsid w:val="00F71FC6"/>
    <w:rsid w:val="00F852EE"/>
    <w:rsid w:val="00F87331"/>
    <w:rsid w:val="00F90DFE"/>
    <w:rsid w:val="00F9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6A575"/>
  <w15:chartTrackingRefBased/>
  <w15:docId w15:val="{3C41BE0E-3197-A44D-BCD5-C87BC076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03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Terzi Lodovico</dc:creator>
  <cp:keywords/>
  <dc:description/>
  <cp:lastModifiedBy>Terzi Lodovico</cp:lastModifiedBy>
  <cp:revision>1</cp:revision>
  <dcterms:created xsi:type="dcterms:W3CDTF">2024-02-07T15:32:00Z</dcterms:created>
  <dcterms:modified xsi:type="dcterms:W3CDTF">2024-02-07T15:56:00Z</dcterms:modified>
</cp:coreProperties>
</file>