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38aaa4bd1cbf3d2a9f5dcffa615f47158f7a0c"/>
    <w:p>
      <w:pPr>
        <w:pStyle w:val="Heading1"/>
      </w:pPr>
      <w:r>
        <w:t xml:space="preserve">Internal Compliance Overview – Asset Management Division (Detailed Version)</w:t>
      </w:r>
    </w:p>
    <w:bookmarkStart w:id="20" w:name="purpose-and-scope"/>
    <w:p>
      <w:pPr>
        <w:pStyle w:val="Heading2"/>
      </w:pPr>
      <w:r>
        <w:t xml:space="preserve">1. Purpose and Scope</w:t>
      </w:r>
    </w:p>
    <w:p>
      <w:pPr>
        <w:pStyle w:val="FirstParagraph"/>
      </w:pPr>
      <w:r>
        <w:t xml:space="preserve">This document provides a detailed mock compliance overview for a banking institution’s Asset Management division. It is intended for internal training, analytical modeling, and AI use cases such as document classification, compliance risk detection, and regulatory gap analysis. The document does not represent a real institution.</w:t>
      </w:r>
    </w:p>
    <w:p>
      <w:pPr>
        <w:pStyle w:val="BodyText"/>
      </w:pPr>
      <w:r>
        <w:t xml:space="preserve">The scope includes discretionary portfolio management, advisory mandates, fund management activities, client onboarding, trading, and regulatory reporting.</w:t>
      </w:r>
    </w:p>
    <w:p>
      <w:r>
        <w:pict>
          <v:rect style="width:0;height:1.5pt" o:hralign="center" o:hrstd="t" o:hr="t"/>
        </w:pict>
      </w:r>
    </w:p>
    <w:bookmarkEnd w:id="20"/>
    <w:bookmarkStart w:id="21" w:name="regulatory-landscape-and-applicability"/>
    <w:p>
      <w:pPr>
        <w:pStyle w:val="Heading2"/>
      </w:pPr>
      <w:r>
        <w:t xml:space="preserve">2. Regulatory Landscape and Applicability</w:t>
      </w:r>
    </w:p>
    <w:p>
      <w:pPr>
        <w:pStyle w:val="FirstParagraph"/>
      </w:pPr>
      <w:r>
        <w:t xml:space="preserve">The Asset Management division operates under a multi-layered regulatory framework. Key regulatory regimes typically applicable include:</w:t>
      </w:r>
    </w:p>
    <w:p>
      <w:pPr>
        <w:pStyle w:val="Compact"/>
        <w:numPr>
          <w:ilvl w:val="0"/>
          <w:numId w:val="1001"/>
        </w:numPr>
      </w:pPr>
      <w:r>
        <w:t xml:space="preserve">Conduct-of-business regulations (e.g. suitability, inducements, best execution)</w:t>
      </w:r>
    </w:p>
    <w:p>
      <w:pPr>
        <w:pStyle w:val="Compact"/>
        <w:numPr>
          <w:ilvl w:val="0"/>
          <w:numId w:val="1001"/>
        </w:numPr>
      </w:pPr>
      <w:r>
        <w:t xml:space="preserve">Fund regulation (e.g. UCITS, AIF, pension mandates)</w:t>
      </w:r>
    </w:p>
    <w:p>
      <w:pPr>
        <w:pStyle w:val="Compact"/>
        <w:numPr>
          <w:ilvl w:val="0"/>
          <w:numId w:val="1001"/>
        </w:numPr>
      </w:pPr>
      <w:r>
        <w:t xml:space="preserve">Market abuse prevention</w:t>
      </w:r>
    </w:p>
    <w:p>
      <w:pPr>
        <w:pStyle w:val="Compact"/>
        <w:numPr>
          <w:ilvl w:val="0"/>
          <w:numId w:val="1001"/>
        </w:numPr>
      </w:pPr>
      <w:r>
        <w:t xml:space="preserve">Anti-Money Laundering (AML) and Counter-Terrorist Financing (CTF)</w:t>
      </w:r>
    </w:p>
    <w:p>
      <w:pPr>
        <w:pStyle w:val="Compact"/>
        <w:numPr>
          <w:ilvl w:val="0"/>
          <w:numId w:val="1001"/>
        </w:numPr>
      </w:pPr>
      <w:r>
        <w:t xml:space="preserve">Data protection and record-keeping obligations</w:t>
      </w:r>
    </w:p>
    <w:p>
      <w:pPr>
        <w:pStyle w:val="FirstParagraph"/>
      </w:pPr>
      <w:r>
        <w:t xml:space="preserve">Internal policies are reviewed annually and updated within</w:t>
      </w:r>
      <w:r>
        <w:t xml:space="preserve"> </w:t>
      </w:r>
      <w:r>
        <w:rPr>
          <w:b/>
          <w:bCs/>
        </w:rPr>
        <w:t xml:space="preserve">90 days</w:t>
      </w:r>
      <w:r>
        <w:t xml:space="preserve"> </w:t>
      </w:r>
      <w:r>
        <w:t xml:space="preserve">of any material regulatory change.</w:t>
      </w:r>
    </w:p>
    <w:p>
      <w:r>
        <w:pict>
          <v:rect style="width:0;height:1.5pt" o:hralign="center" o:hrstd="t" o:hr="t"/>
        </w:pict>
      </w:r>
    </w:p>
    <w:bookmarkEnd w:id="21"/>
    <w:bookmarkStart w:id="24" w:name="governance-and-compliance-organization"/>
    <w:p>
      <w:pPr>
        <w:pStyle w:val="Heading2"/>
      </w:pPr>
      <w:r>
        <w:t xml:space="preserve">3. Governance and Compliance Organization</w:t>
      </w:r>
    </w:p>
    <w:bookmarkStart w:id="22" w:name="three-lines-of-defense-model"/>
    <w:p>
      <w:pPr>
        <w:pStyle w:val="Heading3"/>
      </w:pPr>
      <w:r>
        <w:t xml:space="preserve">3.1 Three Lines of Defense Model</w:t>
      </w:r>
    </w:p>
    <w:p>
      <w:pPr>
        <w:pStyle w:val="Compact"/>
        <w:numPr>
          <w:ilvl w:val="0"/>
          <w:numId w:val="1002"/>
        </w:numPr>
      </w:pPr>
      <w:r>
        <w:rPr>
          <w:b/>
          <w:bCs/>
        </w:rPr>
        <w:t xml:space="preserve">First Line – Business</w:t>
      </w:r>
    </w:p>
    <w:p>
      <w:pPr>
        <w:pStyle w:val="Compact"/>
        <w:numPr>
          <w:ilvl w:val="1"/>
          <w:numId w:val="1003"/>
        </w:numPr>
      </w:pPr>
      <w:r>
        <w:t xml:space="preserve">Portfolio Managers, Traders, and Client Relationship Managers</w:t>
      </w:r>
      <w:r>
        <w:br/>
      </w:r>
    </w:p>
    <w:p>
      <w:pPr>
        <w:pStyle w:val="Compact"/>
        <w:numPr>
          <w:ilvl w:val="1"/>
          <w:numId w:val="1003"/>
        </w:numPr>
      </w:pPr>
      <w:r>
        <w:t xml:space="preserve">Accountable for compliance with client mandates, investment restrictions, and dealing rules</w:t>
      </w:r>
      <w:r>
        <w:br/>
      </w:r>
    </w:p>
    <w:p>
      <w:pPr>
        <w:pStyle w:val="Compact"/>
        <w:numPr>
          <w:ilvl w:val="1"/>
          <w:numId w:val="1003"/>
        </w:numPr>
      </w:pPr>
      <w:r>
        <w:t xml:space="preserve">Required to attest quarterly to policy adherence</w:t>
      </w:r>
    </w:p>
    <w:p>
      <w:pPr>
        <w:pStyle w:val="Compact"/>
        <w:numPr>
          <w:ilvl w:val="0"/>
          <w:numId w:val="1002"/>
        </w:numPr>
      </w:pPr>
      <w:r>
        <w:rPr>
          <w:b/>
          <w:bCs/>
        </w:rPr>
        <w:t xml:space="preserve">Second Line – Compliance and Risk</w:t>
      </w:r>
    </w:p>
    <w:p>
      <w:pPr>
        <w:pStyle w:val="Compact"/>
        <w:numPr>
          <w:ilvl w:val="1"/>
          <w:numId w:val="1004"/>
        </w:numPr>
      </w:pPr>
      <w:r>
        <w:t xml:space="preserve">Compliance staffing ratio:</w:t>
      </w:r>
      <w:r>
        <w:t xml:space="preserve"> </w:t>
      </w:r>
      <w:r>
        <w:rPr>
          <w:b/>
          <w:bCs/>
        </w:rPr>
        <w:t xml:space="preserve">1 FTE per 45 Asset Management employees</w:t>
      </w:r>
      <w:r>
        <w:br/>
      </w:r>
    </w:p>
    <w:p>
      <w:pPr>
        <w:pStyle w:val="Compact"/>
        <w:numPr>
          <w:ilvl w:val="1"/>
          <w:numId w:val="1004"/>
        </w:numPr>
      </w:pPr>
      <w:r>
        <w:t xml:space="preserve">Responsibilities include monitoring, advisory, policy maintenance, and regulatory reporting</w:t>
      </w:r>
      <w:r>
        <w:br/>
      </w:r>
    </w:p>
    <w:p>
      <w:pPr>
        <w:pStyle w:val="Compact"/>
        <w:numPr>
          <w:ilvl w:val="1"/>
          <w:numId w:val="1004"/>
        </w:numPr>
      </w:pPr>
      <w:r>
        <w:t xml:space="preserve">Independent Risk function performs daily exposure and limit monitoring</w:t>
      </w:r>
    </w:p>
    <w:p>
      <w:pPr>
        <w:pStyle w:val="Compact"/>
        <w:numPr>
          <w:ilvl w:val="0"/>
          <w:numId w:val="1002"/>
        </w:numPr>
      </w:pPr>
      <w:r>
        <w:rPr>
          <w:b/>
          <w:bCs/>
        </w:rPr>
        <w:t xml:space="preserve">Third Line – Internal Audit</w:t>
      </w:r>
    </w:p>
    <w:p>
      <w:pPr>
        <w:pStyle w:val="Compact"/>
        <w:numPr>
          <w:ilvl w:val="1"/>
          <w:numId w:val="1005"/>
        </w:numPr>
      </w:pPr>
      <w:r>
        <w:t xml:space="preserve">Asset Management audited on a</w:t>
      </w:r>
      <w:r>
        <w:t xml:space="preserve"> </w:t>
      </w:r>
      <w:r>
        <w:rPr>
          <w:b/>
          <w:bCs/>
        </w:rPr>
        <w:t xml:space="preserve">3-year rolling cycle</w:t>
      </w:r>
      <w:r>
        <w:br/>
      </w:r>
    </w:p>
    <w:p>
      <w:pPr>
        <w:pStyle w:val="Compact"/>
        <w:numPr>
          <w:ilvl w:val="1"/>
          <w:numId w:val="1005"/>
        </w:numPr>
      </w:pPr>
      <w:r>
        <w:t xml:space="preserve">High-risk areas reviewed at least</w:t>
      </w:r>
      <w:r>
        <w:t xml:space="preserve"> </w:t>
      </w:r>
      <w:r>
        <w:rPr>
          <w:b/>
          <w:bCs/>
        </w:rPr>
        <w:t xml:space="preserve">annually</w:t>
      </w:r>
    </w:p>
    <w:bookmarkEnd w:id="22"/>
    <w:bookmarkStart w:id="23" w:name="governance-committees"/>
    <w:p>
      <w:pPr>
        <w:pStyle w:val="Heading3"/>
      </w:pPr>
      <w:r>
        <w:t xml:space="preserve">3.2 Governance Committees</w:t>
      </w:r>
    </w:p>
    <w:p>
      <w:pPr>
        <w:pStyle w:val="Compact"/>
        <w:numPr>
          <w:ilvl w:val="0"/>
          <w:numId w:val="1006"/>
        </w:numPr>
      </w:pPr>
      <w:r>
        <w:rPr>
          <w:b/>
          <w:bCs/>
        </w:rPr>
        <w:t xml:space="preserve">Investment Committee</w:t>
      </w:r>
      <w:r>
        <w:t xml:space="preserve"> </w:t>
      </w:r>
      <w:r>
        <w:t xml:space="preserve">(meets bi-weekly)</w:t>
      </w:r>
      <w:r>
        <w:br/>
      </w:r>
    </w:p>
    <w:p>
      <w:pPr>
        <w:pStyle w:val="Compact"/>
        <w:numPr>
          <w:ilvl w:val="0"/>
          <w:numId w:val="1006"/>
        </w:numPr>
      </w:pPr>
      <w:r>
        <w:rPr>
          <w:b/>
          <w:bCs/>
        </w:rPr>
        <w:t xml:space="preserve">Risk Committee</w:t>
      </w:r>
      <w:r>
        <w:t xml:space="preserve"> </w:t>
      </w:r>
      <w:r>
        <w:t xml:space="preserve">(meets monthly)</w:t>
      </w:r>
      <w:r>
        <w:br/>
      </w:r>
    </w:p>
    <w:p>
      <w:pPr>
        <w:pStyle w:val="Compact"/>
        <w:numPr>
          <w:ilvl w:val="0"/>
          <w:numId w:val="1006"/>
        </w:numPr>
      </w:pPr>
      <w:r>
        <w:rPr>
          <w:b/>
          <w:bCs/>
        </w:rPr>
        <w:t xml:space="preserve">Compliance Oversight Committee</w:t>
      </w:r>
      <w:r>
        <w:t xml:space="preserve"> </w:t>
      </w:r>
      <w:r>
        <w:t xml:space="preserve">(meets quarterly)</w:t>
      </w:r>
    </w:p>
    <w:p>
      <w:pPr>
        <w:pStyle w:val="FirstParagraph"/>
      </w:pPr>
      <w:r>
        <w:t xml:space="preserve">Minutes are retained for</w:t>
      </w:r>
      <w:r>
        <w:t xml:space="preserve"> </w:t>
      </w:r>
      <w:r>
        <w:rPr>
          <w:b/>
          <w:bCs/>
        </w:rPr>
        <w:t xml:space="preserve">7 years</w:t>
      </w:r>
      <w:r>
        <w:t xml:space="preserve">.</w:t>
      </w:r>
    </w:p>
    <w:p>
      <w:r>
        <w:pict>
          <v:rect style="width:0;height:1.5pt" o:hralign="center" o:hrstd="t" o:hr="t"/>
        </w:pict>
      </w:r>
    </w:p>
    <w:bookmarkEnd w:id="23"/>
    <w:bookmarkEnd w:id="24"/>
    <w:bookmarkStart w:id="27" w:name="investment-compliance-framework"/>
    <w:p>
      <w:pPr>
        <w:pStyle w:val="Heading2"/>
      </w:pPr>
      <w:r>
        <w:t xml:space="preserve">4. Investment Compliance Framework</w:t>
      </w:r>
    </w:p>
    <w:bookmarkStart w:id="25" w:name="pre-trade-controls"/>
    <w:p>
      <w:pPr>
        <w:pStyle w:val="Heading3"/>
      </w:pPr>
      <w:r>
        <w:t xml:space="preserve">4.1 Pre-Trade Controls</w:t>
      </w:r>
    </w:p>
    <w:p>
      <w:pPr>
        <w:pStyle w:val="FirstParagraph"/>
      </w:pPr>
      <w:r>
        <w:t xml:space="preserve">Pre-trade compliance checks are executed through an automated rule engine covering:</w:t>
      </w:r>
    </w:p>
    <w:p>
      <w:pPr>
        <w:pStyle w:val="Compact"/>
        <w:numPr>
          <w:ilvl w:val="0"/>
          <w:numId w:val="1007"/>
        </w:numPr>
      </w:pPr>
      <w:r>
        <w:t xml:space="preserve">Single issuer concentration limits (e.g. </w:t>
      </w:r>
      <w:r>
        <w:rPr>
          <w:b/>
          <w:bCs/>
        </w:rPr>
        <w:t xml:space="preserve">max 10% NAV</w:t>
      </w:r>
      <w:r>
        <w:t xml:space="preserve">)</w:t>
      </w:r>
    </w:p>
    <w:p>
      <w:pPr>
        <w:pStyle w:val="Compact"/>
        <w:numPr>
          <w:ilvl w:val="0"/>
          <w:numId w:val="1007"/>
        </w:numPr>
      </w:pPr>
      <w:r>
        <w:t xml:space="preserve">Asset class exposure limits</w:t>
      </w:r>
    </w:p>
    <w:p>
      <w:pPr>
        <w:pStyle w:val="Compact"/>
        <w:numPr>
          <w:ilvl w:val="0"/>
          <w:numId w:val="1007"/>
        </w:numPr>
      </w:pPr>
      <w:r>
        <w:t xml:space="preserve">Restricted and prohibited instruments</w:t>
      </w:r>
    </w:p>
    <w:p>
      <w:pPr>
        <w:pStyle w:val="Compact"/>
        <w:numPr>
          <w:ilvl w:val="0"/>
          <w:numId w:val="1007"/>
        </w:numPr>
      </w:pPr>
      <w:r>
        <w:t xml:space="preserve">Leverage limits (e.g. </w:t>
      </w:r>
      <w:r>
        <w:rPr>
          <w:b/>
          <w:bCs/>
        </w:rPr>
        <w:t xml:space="preserve">max gross leverage 200%</w:t>
      </w:r>
      <w:r>
        <w:t xml:space="preserve"> </w:t>
      </w:r>
      <w:r>
        <w:t xml:space="preserve">for alternative funds)</w:t>
      </w:r>
    </w:p>
    <w:p>
      <w:pPr>
        <w:pStyle w:val="FirstParagraph"/>
      </w:pPr>
      <w:r>
        <w:t xml:space="preserve">Blocked trades require Compliance approval within</w:t>
      </w:r>
      <w:r>
        <w:t xml:space="preserve"> </w:t>
      </w:r>
      <w:r>
        <w:rPr>
          <w:b/>
          <w:bCs/>
        </w:rPr>
        <w:t xml:space="preserve">1 business day</w:t>
      </w:r>
      <w:r>
        <w:t xml:space="preserve">.</w:t>
      </w:r>
    </w:p>
    <w:bookmarkEnd w:id="25"/>
    <w:bookmarkStart w:id="26" w:name="post-trade-monitoring"/>
    <w:p>
      <w:pPr>
        <w:pStyle w:val="Heading3"/>
      </w:pPr>
      <w:r>
        <w:t xml:space="preserve">4.2 Post-Trade Monitoring</w:t>
      </w:r>
    </w:p>
    <w:p>
      <w:pPr>
        <w:pStyle w:val="FirstParagraph"/>
      </w:pPr>
      <w:r>
        <w:t xml:space="preserve">Post-trade checks are run</w:t>
      </w:r>
      <w:r>
        <w:t xml:space="preserve"> </w:t>
      </w:r>
      <w:r>
        <w:rPr>
          <w:b/>
          <w:bCs/>
        </w:rPr>
        <w:t xml:space="preserve">daily (T+0)</w:t>
      </w:r>
      <w:r>
        <w:t xml:space="preserve"> </w:t>
      </w:r>
      <w:r>
        <w:t xml:space="preserve">and reconciled against portfolio positions. Breaches are classified as:</w:t>
      </w:r>
    </w:p>
    <w:p>
      <w:pPr>
        <w:pStyle w:val="Compact"/>
        <w:numPr>
          <w:ilvl w:val="0"/>
          <w:numId w:val="1008"/>
        </w:numPr>
      </w:pPr>
      <w:r>
        <w:t xml:space="preserve">Passive breach (market movement)</w:t>
      </w:r>
    </w:p>
    <w:p>
      <w:pPr>
        <w:pStyle w:val="Compact"/>
        <w:numPr>
          <w:ilvl w:val="0"/>
          <w:numId w:val="1008"/>
        </w:numPr>
      </w:pPr>
      <w:r>
        <w:t xml:space="preserve">Active breach (trading decision)</w:t>
      </w:r>
    </w:p>
    <w:p>
      <w:pPr>
        <w:pStyle w:val="FirstParagraph"/>
      </w:pPr>
      <w:r>
        <w:t xml:space="preserve">Active breaches must be remediated within</w:t>
      </w:r>
      <w:r>
        <w:t xml:space="preserve"> </w:t>
      </w:r>
      <w:r>
        <w:rPr>
          <w:b/>
          <w:bCs/>
        </w:rPr>
        <w:t xml:space="preserve">5 trading days</w:t>
      </w:r>
      <w:r>
        <w:t xml:space="preserve">.</w:t>
      </w:r>
    </w:p>
    <w:p>
      <w:r>
        <w:pict>
          <v:rect style="width:0;height:1.5pt" o:hralign="center" o:hrstd="t" o:hr="t"/>
        </w:pict>
      </w:r>
    </w:p>
    <w:bookmarkEnd w:id="26"/>
    <w:bookmarkEnd w:id="27"/>
    <w:bookmarkStart w:id="30" w:name="conflicts-of-interest-management"/>
    <w:p>
      <w:pPr>
        <w:pStyle w:val="Heading2"/>
      </w:pPr>
      <w:r>
        <w:t xml:space="preserve">5. Conflicts of Interest Management</w:t>
      </w:r>
    </w:p>
    <w:bookmarkStart w:id="28" w:name="personal-account-dealing-pad"/>
    <w:p>
      <w:pPr>
        <w:pStyle w:val="Heading3"/>
      </w:pPr>
      <w:r>
        <w:t xml:space="preserve">5.1 Personal Account Dealing (PAD)</w:t>
      </w:r>
    </w:p>
    <w:p>
      <w:pPr>
        <w:pStyle w:val="Compact"/>
        <w:numPr>
          <w:ilvl w:val="0"/>
          <w:numId w:val="1009"/>
        </w:numPr>
      </w:pPr>
      <w:r>
        <w:t xml:space="preserve">Pre-clearance required for all employee trades</w:t>
      </w:r>
    </w:p>
    <w:p>
      <w:pPr>
        <w:pStyle w:val="Compact"/>
        <w:numPr>
          <w:ilvl w:val="0"/>
          <w:numId w:val="1009"/>
        </w:numPr>
      </w:pPr>
      <w:r>
        <w:t xml:space="preserve">Holding period:</w:t>
      </w:r>
      <w:r>
        <w:t xml:space="preserve"> </w:t>
      </w:r>
      <w:r>
        <w:rPr>
          <w:b/>
          <w:bCs/>
        </w:rPr>
        <w:t xml:space="preserve">minimum 30 calendar days</w:t>
      </w:r>
    </w:p>
    <w:p>
      <w:pPr>
        <w:pStyle w:val="Compact"/>
        <w:numPr>
          <w:ilvl w:val="0"/>
          <w:numId w:val="1009"/>
        </w:numPr>
      </w:pPr>
      <w:r>
        <w:t xml:space="preserve">Blackout periods apply during fund rebalancing windows</w:t>
      </w:r>
    </w:p>
    <w:p>
      <w:pPr>
        <w:pStyle w:val="FirstParagraph"/>
      </w:pPr>
      <w:r>
        <w:t xml:space="preserve">PAD violations are tracked as a Key Risk Indicator.</w:t>
      </w:r>
    </w:p>
    <w:bookmarkEnd w:id="28"/>
    <w:bookmarkStart w:id="29" w:name="trade-allocation-controls"/>
    <w:p>
      <w:pPr>
        <w:pStyle w:val="Heading3"/>
      </w:pPr>
      <w:r>
        <w:t xml:space="preserve">5.2 Trade Allocation Controls</w:t>
      </w:r>
    </w:p>
    <w:p>
      <w:pPr>
        <w:pStyle w:val="Compact"/>
        <w:numPr>
          <w:ilvl w:val="0"/>
          <w:numId w:val="1010"/>
        </w:numPr>
      </w:pPr>
      <w:r>
        <w:t xml:space="preserve">Allocation performed using pro-rata methodologies</w:t>
      </w:r>
    </w:p>
    <w:p>
      <w:pPr>
        <w:pStyle w:val="Compact"/>
        <w:numPr>
          <w:ilvl w:val="0"/>
          <w:numId w:val="1010"/>
        </w:numPr>
      </w:pPr>
      <w:r>
        <w:t xml:space="preserve">Manual overrides require documented justification and Compliance sign-off</w:t>
      </w:r>
    </w:p>
    <w:p>
      <w:r>
        <w:pict>
          <v:rect style="width:0;height:1.5pt" o:hralign="center" o:hrstd="t" o:hr="t"/>
        </w:pict>
      </w:r>
    </w:p>
    <w:bookmarkEnd w:id="29"/>
    <w:bookmarkEnd w:id="30"/>
    <w:bookmarkStart w:id="31" w:name="X1e5a9dff672f9cb041f66904877e0c4b6b39ad5"/>
    <w:p>
      <w:pPr>
        <w:pStyle w:val="Heading2"/>
      </w:pPr>
      <w:r>
        <w:t xml:space="preserve">6. Market Abuse and Insider Trading Controls</w:t>
      </w:r>
    </w:p>
    <w:p>
      <w:pPr>
        <w:pStyle w:val="FirstParagraph"/>
      </w:pPr>
      <w:r>
        <w:t xml:space="preserve">The market abuse framework includes:</w:t>
      </w:r>
    </w:p>
    <w:p>
      <w:pPr>
        <w:pStyle w:val="Compact"/>
        <w:numPr>
          <w:ilvl w:val="0"/>
          <w:numId w:val="1011"/>
        </w:numPr>
      </w:pPr>
      <w:r>
        <w:t xml:space="preserve">Restricted list (updated daily)</w:t>
      </w:r>
    </w:p>
    <w:p>
      <w:pPr>
        <w:pStyle w:val="Compact"/>
        <w:numPr>
          <w:ilvl w:val="0"/>
          <w:numId w:val="1011"/>
        </w:numPr>
      </w:pPr>
      <w:r>
        <w:t xml:space="preserve">Watch list (updated ad hoc)</w:t>
      </w:r>
    </w:p>
    <w:p>
      <w:pPr>
        <w:pStyle w:val="Compact"/>
        <w:numPr>
          <w:ilvl w:val="0"/>
          <w:numId w:val="1011"/>
        </w:numPr>
      </w:pPr>
      <w:r>
        <w:t xml:space="preserve">Surveillance scenarios monitoring unusual price, volume, and timing patterns</w:t>
      </w:r>
    </w:p>
    <w:p>
      <w:pPr>
        <w:pStyle w:val="FirstParagraph"/>
      </w:pPr>
      <w:r>
        <w:t xml:space="preserve">Potential alerts must be reviewed within</w:t>
      </w:r>
      <w:r>
        <w:t xml:space="preserve"> </w:t>
      </w:r>
      <w:r>
        <w:rPr>
          <w:b/>
          <w:bCs/>
        </w:rPr>
        <w:t xml:space="preserve">48 hours</w:t>
      </w:r>
      <w:r>
        <w:t xml:space="preserve"> </w:t>
      </w:r>
      <w:r>
        <w:t xml:space="preserve">and escalated if unresolved.</w:t>
      </w:r>
    </w:p>
    <w:p>
      <w:r>
        <w:pict>
          <v:rect style="width:0;height:1.5pt" o:hralign="center" o:hrstd="t" o:hr="t"/>
        </w:pict>
      </w:r>
    </w:p>
    <w:bookmarkEnd w:id="31"/>
    <w:bookmarkStart w:id="34" w:name="client-protection-and-conduct-risk"/>
    <w:p>
      <w:pPr>
        <w:pStyle w:val="Heading2"/>
      </w:pPr>
      <w:r>
        <w:t xml:space="preserve">7. Client Protection and Conduct Risk</w:t>
      </w:r>
    </w:p>
    <w:bookmarkStart w:id="32" w:name="suitability-reviews"/>
    <w:p>
      <w:pPr>
        <w:pStyle w:val="Heading3"/>
      </w:pPr>
      <w:r>
        <w:t xml:space="preserve">7.1 Suitability Reviews</w:t>
      </w:r>
    </w:p>
    <w:p>
      <w:pPr>
        <w:pStyle w:val="Compact"/>
        <w:numPr>
          <w:ilvl w:val="0"/>
          <w:numId w:val="1012"/>
        </w:numPr>
      </w:pPr>
      <w:r>
        <w:t xml:space="preserve">Initial suitability at onboarding</w:t>
      </w:r>
    </w:p>
    <w:p>
      <w:pPr>
        <w:pStyle w:val="Compact"/>
        <w:numPr>
          <w:ilvl w:val="0"/>
          <w:numId w:val="1012"/>
        </w:numPr>
      </w:pPr>
      <w:r>
        <w:t xml:space="preserve">Periodic review every</w:t>
      </w:r>
      <w:r>
        <w:t xml:space="preserve"> </w:t>
      </w:r>
      <w:r>
        <w:rPr>
          <w:b/>
          <w:bCs/>
        </w:rPr>
        <w:t xml:space="preserve">24 months</w:t>
      </w:r>
      <w:r>
        <w:t xml:space="preserve"> </w:t>
      </w:r>
      <w:r>
        <w:t xml:space="preserve">(retail) and</w:t>
      </w:r>
      <w:r>
        <w:t xml:space="preserve"> </w:t>
      </w:r>
      <w:r>
        <w:rPr>
          <w:b/>
          <w:bCs/>
        </w:rPr>
        <w:t xml:space="preserve">36 months</w:t>
      </w:r>
      <w:r>
        <w:t xml:space="preserve"> </w:t>
      </w:r>
      <w:r>
        <w:t xml:space="preserve">(professional clients)</w:t>
      </w:r>
    </w:p>
    <w:p>
      <w:pPr>
        <w:pStyle w:val="Compact"/>
        <w:numPr>
          <w:ilvl w:val="0"/>
          <w:numId w:val="1012"/>
        </w:numPr>
      </w:pPr>
      <w:r>
        <w:t xml:space="preserve">Trigger-based reviews for material portfolio changes</w:t>
      </w:r>
    </w:p>
    <w:bookmarkEnd w:id="32"/>
    <w:bookmarkStart w:id="33" w:name="best-execution-monitoring"/>
    <w:p>
      <w:pPr>
        <w:pStyle w:val="Heading3"/>
      </w:pPr>
      <w:r>
        <w:t xml:space="preserve">7.2 Best Execution Monitoring</w:t>
      </w:r>
    </w:p>
    <w:p>
      <w:pPr>
        <w:pStyle w:val="Compact"/>
        <w:numPr>
          <w:ilvl w:val="0"/>
          <w:numId w:val="1013"/>
        </w:numPr>
      </w:pPr>
      <w:r>
        <w:t xml:space="preserve">Transaction Cost Analysis (TCA) performed</w:t>
      </w:r>
      <w:r>
        <w:t xml:space="preserve"> </w:t>
      </w:r>
      <w:r>
        <w:rPr>
          <w:b/>
          <w:bCs/>
        </w:rPr>
        <w:t xml:space="preserve">quarterly</w:t>
      </w:r>
    </w:p>
    <w:p>
      <w:pPr>
        <w:pStyle w:val="Compact"/>
        <w:numPr>
          <w:ilvl w:val="0"/>
          <w:numId w:val="1013"/>
        </w:numPr>
      </w:pPr>
      <w:r>
        <w:t xml:space="preserve">Broker execution scores below</w:t>
      </w:r>
      <w:r>
        <w:t xml:space="preserve"> </w:t>
      </w:r>
      <w:r>
        <w:rPr>
          <w:b/>
          <w:bCs/>
        </w:rPr>
        <w:t xml:space="preserve">80/100</w:t>
      </w:r>
      <w:r>
        <w:t xml:space="preserve"> </w:t>
      </w:r>
      <w:r>
        <w:t xml:space="preserve">trigger remediation actions</w:t>
      </w:r>
    </w:p>
    <w:p>
      <w:r>
        <w:pict>
          <v:rect style="width:0;height:1.5pt" o:hralign="center" o:hrstd="t" o:hr="t"/>
        </w:pict>
      </w:r>
    </w:p>
    <w:bookmarkEnd w:id="33"/>
    <w:bookmarkEnd w:id="34"/>
    <w:bookmarkStart w:id="37" w:name="financial-crime-compliance"/>
    <w:p>
      <w:pPr>
        <w:pStyle w:val="Heading2"/>
      </w:pPr>
      <w:r>
        <w:t xml:space="preserve">8. Financial Crime Compliance</w:t>
      </w:r>
    </w:p>
    <w:bookmarkStart w:id="35" w:name="aml-and-client-due-diligence"/>
    <w:p>
      <w:pPr>
        <w:pStyle w:val="Heading3"/>
      </w:pPr>
      <w:r>
        <w:t xml:space="preserve">8.1 AML and Client Due Diligence</w:t>
      </w:r>
    </w:p>
    <w:p>
      <w:pPr>
        <w:pStyle w:val="Compact"/>
        <w:numPr>
          <w:ilvl w:val="0"/>
          <w:numId w:val="1014"/>
        </w:numPr>
      </w:pPr>
      <w:r>
        <w:t xml:space="preserve">Client risk scoring model with</w:t>
      </w:r>
      <w:r>
        <w:t xml:space="preserve"> </w:t>
      </w:r>
      <w:r>
        <w:rPr>
          <w:b/>
          <w:bCs/>
        </w:rPr>
        <w:t xml:space="preserve">Low / Medium / High</w:t>
      </w:r>
      <w:r>
        <w:t xml:space="preserve"> </w:t>
      </w:r>
      <w:r>
        <w:t xml:space="preserve">categories</w:t>
      </w:r>
    </w:p>
    <w:p>
      <w:pPr>
        <w:pStyle w:val="Compact"/>
        <w:numPr>
          <w:ilvl w:val="0"/>
          <w:numId w:val="1014"/>
        </w:numPr>
      </w:pPr>
      <w:r>
        <w:t xml:space="preserve">Enhanced Due Diligence required for High-risk clients</w:t>
      </w:r>
    </w:p>
    <w:p>
      <w:pPr>
        <w:pStyle w:val="Compact"/>
        <w:numPr>
          <w:ilvl w:val="0"/>
          <w:numId w:val="1014"/>
        </w:numPr>
      </w:pPr>
      <w:r>
        <w:t xml:space="preserve">Periodic reviews:</w:t>
      </w:r>
    </w:p>
    <w:p>
      <w:pPr>
        <w:pStyle w:val="Compact"/>
        <w:numPr>
          <w:ilvl w:val="1"/>
          <w:numId w:val="1015"/>
        </w:numPr>
      </w:pPr>
      <w:r>
        <w:t xml:space="preserve">Low risk: every</w:t>
      </w:r>
      <w:r>
        <w:t xml:space="preserve"> </w:t>
      </w:r>
      <w:r>
        <w:rPr>
          <w:b/>
          <w:bCs/>
        </w:rPr>
        <w:t xml:space="preserve">5 years</w:t>
      </w:r>
    </w:p>
    <w:p>
      <w:pPr>
        <w:pStyle w:val="Compact"/>
        <w:numPr>
          <w:ilvl w:val="1"/>
          <w:numId w:val="1015"/>
        </w:numPr>
      </w:pPr>
      <w:r>
        <w:t xml:space="preserve">Medium risk: every</w:t>
      </w:r>
      <w:r>
        <w:t xml:space="preserve"> </w:t>
      </w:r>
      <w:r>
        <w:rPr>
          <w:b/>
          <w:bCs/>
        </w:rPr>
        <w:t xml:space="preserve">3 years</w:t>
      </w:r>
    </w:p>
    <w:p>
      <w:pPr>
        <w:pStyle w:val="Compact"/>
        <w:numPr>
          <w:ilvl w:val="1"/>
          <w:numId w:val="1015"/>
        </w:numPr>
      </w:pPr>
      <w:r>
        <w:t xml:space="preserve">High risk: annually</w:t>
      </w:r>
    </w:p>
    <w:bookmarkEnd w:id="35"/>
    <w:bookmarkStart w:id="36" w:name="transaction-monitoring"/>
    <w:p>
      <w:pPr>
        <w:pStyle w:val="Heading3"/>
      </w:pPr>
      <w:r>
        <w:t xml:space="preserve">8.2 Transaction Monitoring</w:t>
      </w:r>
    </w:p>
    <w:p>
      <w:pPr>
        <w:pStyle w:val="Compact"/>
        <w:numPr>
          <w:ilvl w:val="0"/>
          <w:numId w:val="1016"/>
        </w:numPr>
      </w:pPr>
      <w:r>
        <w:t xml:space="preserve">Rules-based monitoring with thresholds for unusual transaction size and frequency</w:t>
      </w:r>
    </w:p>
    <w:p>
      <w:pPr>
        <w:pStyle w:val="Compact"/>
        <w:numPr>
          <w:ilvl w:val="0"/>
          <w:numId w:val="1016"/>
        </w:numPr>
      </w:pPr>
      <w:r>
        <w:t xml:space="preserve">Alerts reviewed within</w:t>
      </w:r>
      <w:r>
        <w:t xml:space="preserve"> </w:t>
      </w:r>
      <w:r>
        <w:rPr>
          <w:b/>
          <w:bCs/>
        </w:rPr>
        <w:t xml:space="preserve">2 business days</w:t>
      </w:r>
    </w:p>
    <w:p>
      <w:r>
        <w:pict>
          <v:rect style="width:0;height:1.5pt" o:hralign="center" o:hrstd="t" o:hr="t"/>
        </w:pict>
      </w:r>
    </w:p>
    <w:bookmarkEnd w:id="36"/>
    <w:bookmarkEnd w:id="37"/>
    <w:bookmarkStart w:id="40" w:name="data-governance-and-record-retention"/>
    <w:p>
      <w:pPr>
        <w:pStyle w:val="Heading2"/>
      </w:pPr>
      <w:r>
        <w:t xml:space="preserve">9. Data Governance and Record Retention</w:t>
      </w:r>
    </w:p>
    <w:bookmarkStart w:id="38" w:name="data-retention"/>
    <w:p>
      <w:pPr>
        <w:pStyle w:val="Heading3"/>
      </w:pPr>
      <w:r>
        <w:t xml:space="preserve">9.1 Data Retention</w:t>
      </w:r>
    </w:p>
    <w:p>
      <w:pPr>
        <w:pStyle w:val="Compact"/>
        <w:numPr>
          <w:ilvl w:val="0"/>
          <w:numId w:val="1017"/>
        </w:numPr>
      </w:pPr>
      <w:r>
        <w:t xml:space="preserve">Client identification data:</w:t>
      </w:r>
      <w:r>
        <w:t xml:space="preserve"> </w:t>
      </w:r>
      <w:r>
        <w:rPr>
          <w:b/>
          <w:bCs/>
        </w:rPr>
        <w:t xml:space="preserve">7 years after relationship end</w:t>
      </w:r>
    </w:p>
    <w:p>
      <w:pPr>
        <w:pStyle w:val="Compact"/>
        <w:numPr>
          <w:ilvl w:val="0"/>
          <w:numId w:val="1017"/>
        </w:numPr>
      </w:pPr>
      <w:r>
        <w:t xml:space="preserve">Transaction records:</w:t>
      </w:r>
      <w:r>
        <w:t xml:space="preserve"> </w:t>
      </w:r>
      <w:r>
        <w:rPr>
          <w:b/>
          <w:bCs/>
        </w:rPr>
        <w:t xml:space="preserve">10 years</w:t>
      </w:r>
    </w:p>
    <w:p>
      <w:pPr>
        <w:pStyle w:val="Compact"/>
        <w:numPr>
          <w:ilvl w:val="0"/>
          <w:numId w:val="1017"/>
        </w:numPr>
      </w:pPr>
      <w:r>
        <w:t xml:space="preserve">Order and trade data:</w:t>
      </w:r>
      <w:r>
        <w:t xml:space="preserve"> </w:t>
      </w:r>
      <w:r>
        <w:rPr>
          <w:b/>
          <w:bCs/>
        </w:rPr>
        <w:t xml:space="preserve">5 years</w:t>
      </w:r>
      <w:r>
        <w:t xml:space="preserve"> </w:t>
      </w:r>
      <w:r>
        <w:t xml:space="preserve">(readily accessible first</w:t>
      </w:r>
      <w:r>
        <w:t xml:space="preserve"> </w:t>
      </w:r>
      <w:r>
        <w:rPr>
          <w:b/>
          <w:bCs/>
        </w:rPr>
        <w:t xml:space="preserve">2 years</w:t>
      </w:r>
      <w:r>
        <w:t xml:space="preserve">)</w:t>
      </w:r>
    </w:p>
    <w:p>
      <w:pPr>
        <w:pStyle w:val="Compact"/>
        <w:numPr>
          <w:ilvl w:val="0"/>
          <w:numId w:val="1017"/>
        </w:numPr>
      </w:pPr>
      <w:r>
        <w:t xml:space="preserve">Email and electronic communications:</w:t>
      </w:r>
      <w:r>
        <w:t xml:space="preserve"> </w:t>
      </w:r>
      <w:r>
        <w:rPr>
          <w:b/>
          <w:bCs/>
        </w:rPr>
        <w:t xml:space="preserve">7 years</w:t>
      </w:r>
    </w:p>
    <w:bookmarkEnd w:id="38"/>
    <w:bookmarkStart w:id="39" w:name="data-quality-controls"/>
    <w:p>
      <w:pPr>
        <w:pStyle w:val="Heading3"/>
      </w:pPr>
      <w:r>
        <w:t xml:space="preserve">9.2 Data Quality Controls</w:t>
      </w:r>
    </w:p>
    <w:p>
      <w:pPr>
        <w:pStyle w:val="FirstParagraph"/>
      </w:pPr>
      <w:r>
        <w:t xml:space="preserve">Key data quality metrics include:</w:t>
      </w:r>
      <w:r>
        <w:t xml:space="preserve"> </w:t>
      </w:r>
      <w:r>
        <w:t xml:space="preserve">- % missing mandatory fields (threshold:</w:t>
      </w:r>
      <w:r>
        <w:t xml:space="preserve"> </w:t>
      </w:r>
      <w:r>
        <w:rPr>
          <w:b/>
          <w:bCs/>
        </w:rPr>
        <w:t xml:space="preserve">&lt;1%</w:t>
      </w:r>
      <w:r>
        <w:t xml:space="preserve">)</w:t>
      </w:r>
      <w:r>
        <w:t xml:space="preserve"> </w:t>
      </w:r>
      <w:r>
        <w:t xml:space="preserve">- Duplicate client identifiers (threshold:</w:t>
      </w:r>
      <w:r>
        <w:t xml:space="preserve"> </w:t>
      </w:r>
      <w:r>
        <w:rPr>
          <w:b/>
          <w:bCs/>
        </w:rPr>
        <w:t xml:space="preserve">&lt;0.5%</w:t>
      </w:r>
      <w:r>
        <w:t xml:space="preserve">)</w:t>
      </w:r>
      <w:r>
        <w:t xml:space="preserve"> </w:t>
      </w:r>
      <w:r>
        <w:t xml:space="preserve">- Reconciliation breaks older than</w:t>
      </w:r>
      <w:r>
        <w:t xml:space="preserve"> </w:t>
      </w:r>
      <w:r>
        <w:rPr>
          <w:b/>
          <w:bCs/>
        </w:rPr>
        <w:t xml:space="preserve">2 business days</w:t>
      </w:r>
    </w:p>
    <w:p>
      <w:r>
        <w:pict>
          <v:rect style="width:0;height:1.5pt" o:hralign="center" o:hrstd="t" o:hr="t"/>
        </w:pict>
      </w:r>
    </w:p>
    <w:bookmarkEnd w:id="39"/>
    <w:bookmarkEnd w:id="40"/>
    <w:bookmarkStart w:id="43" w:name="monitoring-kris-and-reporting"/>
    <w:p>
      <w:pPr>
        <w:pStyle w:val="Heading2"/>
      </w:pPr>
      <w:r>
        <w:t xml:space="preserve">10. Monitoring, KRIs, and Reporting</w:t>
      </w:r>
    </w:p>
    <w:bookmarkStart w:id="41" w:name="key-risk-indicators-kris"/>
    <w:p>
      <w:pPr>
        <w:pStyle w:val="Heading3"/>
      </w:pPr>
      <w:r>
        <w:t xml:space="preserve">10.1 Key Risk Indicators (KRIs)</w:t>
      </w:r>
    </w:p>
    <w:p>
      <w:pPr>
        <w:pStyle w:val="FirstParagraph"/>
      </w:pPr>
      <w:r>
        <w:t xml:space="preserve">Examples of KRIs monitored monthly:</w:t>
      </w:r>
    </w:p>
    <w:p>
      <w:pPr>
        <w:pStyle w:val="Compact"/>
        <w:numPr>
          <w:ilvl w:val="0"/>
          <w:numId w:val="1018"/>
        </w:numPr>
      </w:pPr>
      <w:r>
        <w:t xml:space="preserve">Number of active investment breaches (&gt;</w:t>
      </w:r>
      <w:r>
        <w:t xml:space="preserve"> </w:t>
      </w:r>
      <w:r>
        <w:rPr>
          <w:b/>
          <w:bCs/>
        </w:rPr>
        <w:t xml:space="preserve">5</w:t>
      </w:r>
      <w:r>
        <w:t xml:space="preserve"> </w:t>
      </w:r>
      <w:r>
        <w:t xml:space="preserve">triggers escalation)</w:t>
      </w:r>
    </w:p>
    <w:p>
      <w:pPr>
        <w:pStyle w:val="Compact"/>
        <w:numPr>
          <w:ilvl w:val="0"/>
          <w:numId w:val="1018"/>
        </w:numPr>
      </w:pPr>
      <w:r>
        <w:t xml:space="preserve">Overdue breach remediation (&gt;</w:t>
      </w:r>
      <w:r>
        <w:t xml:space="preserve"> </w:t>
      </w:r>
      <w:r>
        <w:rPr>
          <w:b/>
          <w:bCs/>
        </w:rPr>
        <w:t xml:space="preserve">3 days</w:t>
      </w:r>
      <w:r>
        <w:t xml:space="preserve">)</w:t>
      </w:r>
    </w:p>
    <w:p>
      <w:pPr>
        <w:pStyle w:val="Compact"/>
        <w:numPr>
          <w:ilvl w:val="0"/>
          <w:numId w:val="1018"/>
        </w:numPr>
      </w:pPr>
      <w:r>
        <w:t xml:space="preserve">PAD policy violations (&gt;</w:t>
      </w:r>
      <w:r>
        <w:t xml:space="preserve"> </w:t>
      </w:r>
      <w:r>
        <w:rPr>
          <w:b/>
          <w:bCs/>
        </w:rPr>
        <w:t xml:space="preserve">2 per quarter</w:t>
      </w:r>
      <w:r>
        <w:t xml:space="preserve">)</w:t>
      </w:r>
    </w:p>
    <w:p>
      <w:pPr>
        <w:pStyle w:val="Compact"/>
        <w:numPr>
          <w:ilvl w:val="0"/>
          <w:numId w:val="1018"/>
        </w:numPr>
      </w:pPr>
      <w:r>
        <w:t xml:space="preserve">Late AML reviews (&gt;</w:t>
      </w:r>
      <w:r>
        <w:t xml:space="preserve"> </w:t>
      </w:r>
      <w:r>
        <w:rPr>
          <w:b/>
          <w:bCs/>
        </w:rPr>
        <w:t xml:space="preserve">1% of population</w:t>
      </w:r>
      <w:r>
        <w:t xml:space="preserve">)</w:t>
      </w:r>
    </w:p>
    <w:p>
      <w:pPr>
        <w:pStyle w:val="Compact"/>
        <w:numPr>
          <w:ilvl w:val="0"/>
          <w:numId w:val="1018"/>
        </w:numPr>
      </w:pPr>
      <w:r>
        <w:t xml:space="preserve">Failed best execution reviews (&gt;</w:t>
      </w:r>
      <w:r>
        <w:t xml:space="preserve"> </w:t>
      </w:r>
      <w:r>
        <w:rPr>
          <w:b/>
          <w:bCs/>
        </w:rPr>
        <w:t xml:space="preserve">5% of sampled trades</w:t>
      </w:r>
      <w:r>
        <w:t xml:space="preserve">)</w:t>
      </w:r>
    </w:p>
    <w:bookmarkEnd w:id="41"/>
    <w:bookmarkStart w:id="42" w:name="breach-reporting"/>
    <w:p>
      <w:pPr>
        <w:pStyle w:val="Heading3"/>
      </w:pPr>
      <w:r>
        <w:t xml:space="preserve">10.2 Breach Reporting</w:t>
      </w:r>
    </w:p>
    <w:p>
      <w:pPr>
        <w:pStyle w:val="Compact"/>
        <w:numPr>
          <w:ilvl w:val="0"/>
          <w:numId w:val="1019"/>
        </w:numPr>
      </w:pPr>
      <w:r>
        <w:t xml:space="preserve">Minor breaches reported monthly</w:t>
      </w:r>
    </w:p>
    <w:p>
      <w:pPr>
        <w:pStyle w:val="Compact"/>
        <w:numPr>
          <w:ilvl w:val="0"/>
          <w:numId w:val="1019"/>
        </w:numPr>
      </w:pPr>
      <w:r>
        <w:t xml:space="preserve">Material breaches escalated within</w:t>
      </w:r>
      <w:r>
        <w:t xml:space="preserve"> </w:t>
      </w:r>
      <w:r>
        <w:rPr>
          <w:b/>
          <w:bCs/>
        </w:rPr>
        <w:t xml:space="preserve">24 hours</w:t>
      </w:r>
    </w:p>
    <w:p>
      <w:pPr>
        <w:pStyle w:val="Compact"/>
        <w:numPr>
          <w:ilvl w:val="0"/>
          <w:numId w:val="1019"/>
        </w:numPr>
      </w:pPr>
      <w:r>
        <w:t xml:space="preserve">Regulatory notifications submitted within</w:t>
      </w:r>
      <w:r>
        <w:t xml:space="preserve"> </w:t>
      </w:r>
      <w:r>
        <w:rPr>
          <w:b/>
          <w:bCs/>
        </w:rPr>
        <w:t xml:space="preserve">5 business days</w:t>
      </w:r>
      <w:r>
        <w:t xml:space="preserve"> </w:t>
      </w:r>
      <w:r>
        <w:t xml:space="preserve">where required</w:t>
      </w:r>
    </w:p>
    <w:p>
      <w:r>
        <w:pict>
          <v:rect style="width:0;height:1.5pt" o:hralign="center" o:hrstd="t" o:hr="t"/>
        </w:pict>
      </w:r>
    </w:p>
    <w:bookmarkEnd w:id="42"/>
    <w:bookmarkEnd w:id="43"/>
    <w:bookmarkStart w:id="44" w:name="training-and-awareness"/>
    <w:p>
      <w:pPr>
        <w:pStyle w:val="Heading2"/>
      </w:pPr>
      <w:r>
        <w:t xml:space="preserve">11. Training and Awareness</w:t>
      </w:r>
    </w:p>
    <w:p>
      <w:pPr>
        <w:pStyle w:val="FirstParagraph"/>
      </w:pPr>
      <w:r>
        <w:t xml:space="preserve">Mandatory compliance training requirements:</w:t>
      </w:r>
    </w:p>
    <w:p>
      <w:pPr>
        <w:pStyle w:val="Compact"/>
        <w:numPr>
          <w:ilvl w:val="0"/>
          <w:numId w:val="1020"/>
        </w:numPr>
      </w:pPr>
      <w:r>
        <w:t xml:space="preserve">Code of Conduct:</w:t>
      </w:r>
      <w:r>
        <w:t xml:space="preserve"> </w:t>
      </w:r>
      <w:r>
        <w:rPr>
          <w:b/>
          <w:bCs/>
        </w:rPr>
        <w:t xml:space="preserve">annually</w:t>
      </w:r>
    </w:p>
    <w:p>
      <w:pPr>
        <w:pStyle w:val="Compact"/>
        <w:numPr>
          <w:ilvl w:val="0"/>
          <w:numId w:val="1020"/>
        </w:numPr>
      </w:pPr>
      <w:r>
        <w:t xml:space="preserve">Market Abuse:</w:t>
      </w:r>
      <w:r>
        <w:t xml:space="preserve"> </w:t>
      </w:r>
      <w:r>
        <w:rPr>
          <w:b/>
          <w:bCs/>
        </w:rPr>
        <w:t xml:space="preserve">annually</w:t>
      </w:r>
    </w:p>
    <w:p>
      <w:pPr>
        <w:pStyle w:val="Compact"/>
        <w:numPr>
          <w:ilvl w:val="0"/>
          <w:numId w:val="1020"/>
        </w:numPr>
      </w:pPr>
      <w:r>
        <w:t xml:space="preserve">AML / Sanctions:</w:t>
      </w:r>
      <w:r>
        <w:t xml:space="preserve"> </w:t>
      </w:r>
      <w:r>
        <w:rPr>
          <w:b/>
          <w:bCs/>
        </w:rPr>
        <w:t xml:space="preserve">annually</w:t>
      </w:r>
    </w:p>
    <w:p>
      <w:pPr>
        <w:pStyle w:val="Compact"/>
        <w:numPr>
          <w:ilvl w:val="0"/>
          <w:numId w:val="1020"/>
        </w:numPr>
      </w:pPr>
      <w:r>
        <w:t xml:space="preserve">Conflicts of Interest:</w:t>
      </w:r>
      <w:r>
        <w:t xml:space="preserve"> </w:t>
      </w:r>
      <w:r>
        <w:rPr>
          <w:b/>
          <w:bCs/>
        </w:rPr>
        <w:t xml:space="preserve">every 2 years</w:t>
      </w:r>
    </w:p>
    <w:p>
      <w:pPr>
        <w:pStyle w:val="FirstParagraph"/>
      </w:pPr>
      <w:r>
        <w:t xml:space="preserve">Minimum completion threshold:</w:t>
      </w:r>
      <w:r>
        <w:t xml:space="preserve"> </w:t>
      </w:r>
      <w:r>
        <w:rPr>
          <w:b/>
          <w:bCs/>
        </w:rPr>
        <w:t xml:space="preserve">98%</w:t>
      </w:r>
      <w:r>
        <w:t xml:space="preserve">. Non-compliance is escalated to HR after</w:t>
      </w:r>
      <w:r>
        <w:t xml:space="preserve"> </w:t>
      </w:r>
      <w:r>
        <w:rPr>
          <w:b/>
          <w:bCs/>
        </w:rPr>
        <w:t xml:space="preserve">10 business days</w:t>
      </w:r>
      <w:r>
        <w:t xml:space="preserve">.</w:t>
      </w:r>
    </w:p>
    <w:p>
      <w:r>
        <w:pict>
          <v:rect style="width:0;height:1.5pt" o:hralign="center" o:hrstd="t" o:hr="t"/>
        </w:pict>
      </w:r>
    </w:p>
    <w:bookmarkEnd w:id="44"/>
    <w:bookmarkStart w:id="45" w:name="conclusion"/>
    <w:p>
      <w:pPr>
        <w:pStyle w:val="Heading2"/>
      </w:pPr>
      <w:r>
        <w:t xml:space="preserve">12. Conclusion</w:t>
      </w:r>
    </w:p>
    <w:p>
      <w:pPr>
        <w:pStyle w:val="FirstParagraph"/>
      </w:pPr>
      <w:r>
        <w:t xml:space="preserve">This document illustrates a detailed compliance framework for Asset Management, combining quantitative thresholds, defined processes, and governance structures. It reflects typical operational realities, including control dependencies, monitoring limitations, and data quality challenges relevant for advanced compliance analytics and AI-driven risk detection use cases.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2025-12-17T11:13:07Z</dcterms:created>
  <dcterms:modified xsi:type="dcterms:W3CDTF">2025-12-17T11:13:07Z</dcterms:modified>
</cp:coreProperties>
</file>

<file path=docProps/custom.xml><?xml version="1.0" encoding="utf-8"?>
<Properties xmlns="http://schemas.openxmlformats.org/officeDocument/2006/custom-properties" xmlns:vt="http://schemas.openxmlformats.org/officeDocument/2006/docPropsVTypes"/>
</file>