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FB86D" w14:textId="755CF549" w:rsidR="00C94E58" w:rsidRDefault="00C94E58">
      <w:r>
        <w:rPr>
          <w:rFonts w:hint="eastAsia"/>
        </w:rPr>
        <w:t>问题提出</w:t>
      </w:r>
    </w:p>
    <w:p w14:paraId="18CDD364" w14:textId="35E3E2C7" w:rsidR="00710428" w:rsidRDefault="006D4797">
      <w:r>
        <w:fldChar w:fldCharType="begin" w:fldLock="1"/>
      </w:r>
      <w:r>
        <w:instrText>ADDIN CSL_CITATION {"citationItems":[{"id":"ITEM-1","itemData":{"abstract":"—Creating high quality three-dimensional models of indoor scenes promises many applications in augmented reality, robotics, and object scanning. One popular approach for 3D model reconstruction is dense visual Simultaneous Localization and Mapping (SLAM), in which a camera is used to build a map of the environment while simultaneously localizing itself within the map. One major drawback of most dense visual SLAM methods is that they can either build accurate maps in small-scale environments (using model-based techniques) or estimate their pose accurately in large-scale environments (using pose graphs), but not both. Deformation graphs can bridge this gap. They can be used in large-scale environments while directly optimizing map reconstruction, theoretically resulting in higher map accuracy. We investigate how much deformation graphs embedded in the model's surface will improve large-scale scene reconstruction quality. Specifically, this project has added deformation graphs into Draper's existing dense visual SLAM system and evaluated the system on published benchmark datasets and real world tests. In addition, we compare the performance of our approach to existing state-of-the-art dense visual SLAM algorithms.","author":[{"dropping-particle":"","family":"Choi","given":"Sungjoon","non-dropping-particle":"","parse-names":false,"suffix":""},{"dropping-particle":"","family":"Zhou","given":"Qian-Yi","non-dropping-particle":"","parse-names":false,"suffix":""},{"dropping-particle":"","family":"Koltun","given":"Vladlen","non-dropping-particle":"","parse-names":false,"suffix":""}],"container-title":"IEEE Conference on Computer Vision and Pattern Recognition","id":"ITEM-1","issued":{"date-parts":[["2015"]]},"page":"5556-5565","title":"Robust Large Scale Reconstruction of Indoor Scenes","type":"article-journal"},"uris":["http://www.mendeley.com/documents/?uuid=a8bb1264-8b7a-4321-bdc6-df9700a8eecc"]}],"mendeley":{"formattedCitation":"[1]","plainTextFormattedCitation":"[1]","previouslyFormattedCitation":"[1]"},"properties":{"noteIndex":0},"schema":"https://github.com/citation-style-language/schema/raw/master/csl-citation.json"}</w:instrText>
      </w:r>
      <w:r>
        <w:fldChar w:fldCharType="separate"/>
      </w:r>
      <w:r w:rsidRPr="006D4797">
        <w:rPr>
          <w:noProof/>
        </w:rPr>
        <w:t>[1]</w:t>
      </w:r>
      <w:r>
        <w:fldChar w:fldCharType="end"/>
      </w:r>
      <w:r w:rsidR="00B16C75">
        <w:t xml:space="preserve"> </w:t>
      </w:r>
      <w:r w:rsidR="00B16C75">
        <w:rPr>
          <w:rFonts w:hint="eastAsia"/>
        </w:rPr>
        <w:t>三维表面重建</w:t>
      </w:r>
    </w:p>
    <w:p w14:paraId="11376304" w14:textId="34C0FBF1" w:rsidR="00B16C75" w:rsidRDefault="00334A66">
      <w:r>
        <w:fldChar w:fldCharType="begin" w:fldLock="1"/>
      </w:r>
      <w:r w:rsidR="00DF471E">
        <w:instrText>ADDIN CSL_CITATION {"citationItems":[{"id":"ITEM-1","itemData":{"DOI":"10.1109/70.736771","ISSN":"1042296X","abstract":"In this paper, we present a unified geometric theory for localization of three types of workpieces: 1) general three-dimensional (3-D) workpieces where points from the finished surfaces fully constrain the rigid motions of the workpieces; 2) symmetric workpieces; 3) partially machined workpieces where points from the finished surfaces are inadequate to fully constrain the rigid motions of the workpieces. Applications of the study include workpiece setup, refixturing and dimensional inspections in a flexible manufacturing environment. First, we formulate the localization problem for a general three-dimensional (3-D) workpiece and study the mathematical properties of the underlying problem. We discuss an iterative approach for solving the general localization problem and show how different considerations in updating the Euclidean transformation lead to various geometric algorithms. Then, we extend the localization techniques to symmetric workpieces and partially machined workpieces and present a simple algorithm for each of the problems. Finally, we present simulation results showing convergence and robustness properties of the various geometric algorithms.","author":[{"dropping-particle":"","family":"Li","given":"Zexiang","non-dropping-particle":"","parse-names":false,"suffix":""},{"dropping-particle":"","family":"Gou","given":"Jianbo","non-dropping-particle":"","parse-names":false,"suffix":""},{"dropping-particle":"","family":"Chu","given":"Yunxian","non-dropping-particle":"","parse-names":false,"suffix":""}],"container-title":"IEEE Transactions on Robotics and Automation","id":"ITEM-1","issue":"6","issued":{"date-parts":[["1998"]]},"page":"864-878","title":"Geometric algorithms for workpiece localization","type":"article-journal","volume":"14"},"uris":["http://www.mendeley.com/documents/?uuid=c0f574a3-e6e9-4181-ab9a-ffe806e5473b"]}],"mendeley":{"formattedCitation":"[2]","plainTextFormattedCitation":"[2]","previouslyFormattedCitation":"[2]"},"properties":{"noteIndex":0},"schema":"https://github.com/citation-style-language/schema/raw/master/csl-citation.json"}</w:instrText>
      </w:r>
      <w:r>
        <w:fldChar w:fldCharType="separate"/>
      </w:r>
      <w:r w:rsidRPr="00334A66">
        <w:rPr>
          <w:noProof/>
        </w:rPr>
        <w:t>[2]</w:t>
      </w:r>
      <w:r>
        <w:fldChar w:fldCharType="end"/>
      </w:r>
      <w:r>
        <w:t xml:space="preserve"> </w:t>
      </w:r>
      <w:r>
        <w:rPr>
          <w:rFonts w:hint="eastAsia"/>
        </w:rPr>
        <w:t>工件定位</w:t>
      </w:r>
    </w:p>
    <w:p w14:paraId="0B11E3F7" w14:textId="7CE593DA" w:rsidR="00DF471E" w:rsidRDefault="00DF471E">
      <w:r>
        <w:fldChar w:fldCharType="begin" w:fldLock="1"/>
      </w:r>
      <w:r w:rsidR="00A00ACF">
        <w:instrText>ADDIN CSL_CITATION {"citationItems":[{"id":"ITEM-1","itemData":{"DOI":"10.1002/rob.22032","ISSN":"15564967","abstract":"Accurate registration is critical for robotic mapping and simultaneous localization and mapping (SLAM). Sparse or non-uniform point clouds can be very challenging to register, even in ideal environments. Previous research by Holz et al. has developed a mesh-based extension to the popular generalized iterative closest point (GICP) algorithm, which can accurately register sparse clouds where unmodified GICP would fail. This paper builds on that work by expanding the comparison between the two algorithms across multiple data sets at a greater range of distances. The results confirm that Mesh-GICP is more accurate, more precise, and faster. They also show that it can successfully register scans 4–17 times further apart than GICP. In two different experiments this paper uses Mesh-GICP to compare three different registration methods—pairwise, metascan, keyscan—in two different situations, one in a visual odometry (VO) style, and another in a mapping style. The results of these experiments show that the keyscan method is the most accurate of the three so long as there is sufficient overlap between the target and source clouds. Where there is unsufficient overlap, pairwise matching is more accurate.","author":[{"dropping-particle":"","family":"Young","given":"Matthew","non-dropping-particle":"","parse-names":false,"suffix":""},{"dropping-particle":"","family":"Pretty","given":"Chris","non-dropping-particle":"","parse-names":false,"suffix":""},{"dropping-particle":"","family":"McCulloch","given":"Josh","non-dropping-particle":"","parse-names":false,"suffix":""},{"dropping-particle":"","family":"Green","given":"Richard","non-dropping-particle":"","parse-names":false,"suffix":""}],"container-title":"Journal of Field Robotics","id":"ITEM-1","issue":"August","issued":{"date-parts":[["2021"]]},"page":"1-14","title":"Sparse point cloud registration and aggregation with mesh-based generalized iterative closest point","type":"article-journal"},"uris":["http://www.mendeley.com/documents/?uuid=b191e3c8-2b38-4d0b-bd01-710b96395cf6"]}],"mendeley":{"formattedCitation":"[3]","plainTextFormattedCitation":"[3]","previouslyFormattedCitation":"[3]"},"properties":{"noteIndex":0},"schema":"https://github.com/citation-style-language/schema/raw/master/csl-citation.json"}</w:instrText>
      </w:r>
      <w:r>
        <w:fldChar w:fldCharType="separate"/>
      </w:r>
      <w:r w:rsidRPr="00DF471E">
        <w:rPr>
          <w:noProof/>
        </w:rPr>
        <w:t>[3]</w:t>
      </w:r>
      <w:r>
        <w:fldChar w:fldCharType="end"/>
      </w:r>
      <w:r>
        <w:t xml:space="preserve"> </w:t>
      </w:r>
      <w:r>
        <w:rPr>
          <w:rFonts w:hint="eastAsia"/>
        </w:rPr>
        <w:t>位姿估计</w:t>
      </w:r>
    </w:p>
    <w:p w14:paraId="12B9D38F" w14:textId="369CE803" w:rsidR="00C94E58" w:rsidRDefault="00C94E58">
      <w:pPr>
        <w:rPr>
          <w:rFonts w:hint="eastAsia"/>
        </w:rPr>
      </w:pPr>
      <w:r>
        <w:rPr>
          <w:rFonts w:hint="eastAsia"/>
        </w:rPr>
        <w:t>问题建立</w:t>
      </w:r>
    </w:p>
    <w:p w14:paraId="37804EB8" w14:textId="2DA2AB87" w:rsidR="00C94E58" w:rsidRDefault="00C94E58">
      <w:r w:rsidRPr="00C94E58">
        <w:rPr>
          <w:position w:val="-30"/>
        </w:rPr>
        <w:object w:dxaOrig="660" w:dyaOrig="720" w14:anchorId="75B5AE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0.85pt;height:36pt" o:ole="">
            <v:imagedata r:id="rId5" o:title=""/>
          </v:shape>
          <o:OLEObject Type="Embed" ProgID="Equation.DSMT4" ShapeID="_x0000_i1030" DrawAspect="Content" ObjectID="_1699110361" r:id="rId6"/>
        </w:object>
      </w:r>
    </w:p>
    <w:p w14:paraId="549B1F5A" w14:textId="2F03B5AA" w:rsidR="00C94E58" w:rsidRDefault="00E20260">
      <w:r w:rsidRPr="00E20260">
        <w:rPr>
          <w:position w:val="-28"/>
        </w:rPr>
        <w:object w:dxaOrig="2780" w:dyaOrig="680" w14:anchorId="5521836E">
          <v:shape id="_x0000_i1079" type="#_x0000_t75" style="width:138.85pt;height:36pt" o:ole="">
            <v:imagedata r:id="rId7" o:title=""/>
          </v:shape>
          <o:OLEObject Type="Embed" ProgID="Equation.DSMT4" ShapeID="_x0000_i1079" DrawAspect="Content" ObjectID="_1699110362" r:id="rId8"/>
        </w:object>
      </w:r>
    </w:p>
    <w:p w14:paraId="3C5D0443" w14:textId="1294464E" w:rsidR="00F34F51" w:rsidRDefault="00F34F51">
      <w:r w:rsidRPr="00F34F51">
        <w:rPr>
          <w:position w:val="-30"/>
        </w:rPr>
        <w:object w:dxaOrig="3400" w:dyaOrig="700" w14:anchorId="4C91690B">
          <v:shape id="_x0000_i1086" type="#_x0000_t75" style="width:169.7pt;height:36pt" o:ole="">
            <v:imagedata r:id="rId9" o:title=""/>
          </v:shape>
          <o:OLEObject Type="Embed" ProgID="Equation.DSMT4" ShapeID="_x0000_i1086" DrawAspect="Content" ObjectID="_1699110363" r:id="rId10"/>
        </w:object>
      </w:r>
      <w:r>
        <w:t xml:space="preserve"> </w:t>
      </w:r>
    </w:p>
    <w:p w14:paraId="5D59E24B" w14:textId="586A72CB" w:rsidR="009E0687" w:rsidRDefault="009E0687">
      <w:r w:rsidRPr="009E0687">
        <w:rPr>
          <w:position w:val="-24"/>
        </w:rPr>
        <w:object w:dxaOrig="740" w:dyaOrig="620" w14:anchorId="62D971FB">
          <v:shape id="_x0000_i1093" type="#_x0000_t75" style="width:36pt;height:30.85pt" o:ole="">
            <v:imagedata r:id="rId11" o:title=""/>
          </v:shape>
          <o:OLEObject Type="Embed" ProgID="Equation.DSMT4" ShapeID="_x0000_i1093" DrawAspect="Content" ObjectID="_1699110364" r:id="rId12"/>
        </w:object>
      </w:r>
      <w:r>
        <w:t xml:space="preserve"> </w:t>
      </w:r>
    </w:p>
    <w:p w14:paraId="06C2BC54" w14:textId="3361364D" w:rsidR="0014703B" w:rsidRDefault="0014703B">
      <w:r w:rsidRPr="0014703B">
        <w:rPr>
          <w:position w:val="-28"/>
        </w:rPr>
        <w:object w:dxaOrig="3519" w:dyaOrig="680" w14:anchorId="08AD82DD">
          <v:shape id="_x0000_i1100" type="#_x0000_t75" style="width:174.85pt;height:36pt" o:ole="">
            <v:imagedata r:id="rId13" o:title=""/>
          </v:shape>
          <o:OLEObject Type="Embed" ProgID="Equation.DSMT4" ShapeID="_x0000_i1100" DrawAspect="Content" ObjectID="_1699110365" r:id="rId14"/>
        </w:object>
      </w:r>
      <w:r>
        <w:t xml:space="preserve"> </w:t>
      </w:r>
    </w:p>
    <w:p w14:paraId="336D0329" w14:textId="588B0DED" w:rsidR="0014703B" w:rsidRDefault="0014703B">
      <w:r w:rsidRPr="0014703B">
        <w:rPr>
          <w:position w:val="-28"/>
        </w:rPr>
        <w:object w:dxaOrig="2560" w:dyaOrig="680" w14:anchorId="177280ED">
          <v:shape id="_x0000_i1107" type="#_x0000_t75" style="width:128.55pt;height:36pt" o:ole="">
            <v:imagedata r:id="rId15" o:title=""/>
          </v:shape>
          <o:OLEObject Type="Embed" ProgID="Equation.DSMT4" ShapeID="_x0000_i1107" DrawAspect="Content" ObjectID="_1699110366" r:id="rId16"/>
        </w:object>
      </w:r>
      <w:r>
        <w:t xml:space="preserve"> </w:t>
      </w:r>
    </w:p>
    <w:p w14:paraId="69A21C2E" w14:textId="70CFC287" w:rsidR="000B4C67" w:rsidRDefault="000B4C67">
      <w:r w:rsidRPr="000B4C67">
        <w:rPr>
          <w:position w:val="-12"/>
        </w:rPr>
        <w:object w:dxaOrig="2120" w:dyaOrig="380" w14:anchorId="0459BCA6">
          <v:shape id="_x0000_i1114" type="#_x0000_t75" style="width:108pt;height:20.55pt" o:ole="">
            <v:imagedata r:id="rId17" o:title=""/>
          </v:shape>
          <o:OLEObject Type="Embed" ProgID="Equation.DSMT4" ShapeID="_x0000_i1114" DrawAspect="Content" ObjectID="_1699110367" r:id="rId18"/>
        </w:object>
      </w:r>
      <w:r>
        <w:t xml:space="preserve"> </w:t>
      </w:r>
    </w:p>
    <w:p w14:paraId="08435814" w14:textId="5F8D9418" w:rsidR="00E20260" w:rsidRDefault="000B4C67">
      <w:r w:rsidRPr="000B4C67">
        <w:rPr>
          <w:position w:val="-12"/>
        </w:rPr>
        <w:object w:dxaOrig="4099" w:dyaOrig="380" w14:anchorId="6E8B3435">
          <v:shape id="_x0000_i1121" type="#_x0000_t75" style="width:205.7pt;height:20.55pt" o:ole="">
            <v:imagedata r:id="rId19" o:title=""/>
          </v:shape>
          <o:OLEObject Type="Embed" ProgID="Equation.DSMT4" ShapeID="_x0000_i1121" DrawAspect="Content" ObjectID="_1699110368" r:id="rId20"/>
        </w:object>
      </w:r>
      <w:r>
        <w:t xml:space="preserve"> </w:t>
      </w:r>
    </w:p>
    <w:p w14:paraId="55774C70" w14:textId="2B79B0D1" w:rsidR="00A00ACF" w:rsidRDefault="00A00ACF">
      <w:r>
        <w:fldChar w:fldCharType="begin" w:fldLock="1"/>
      </w:r>
      <w:r w:rsidR="00445D56">
        <w:instrText>ADDIN CSL_CITATION {"citationItems":[{"id":"ITEM-1","itemData":{"abstract":"This note summarizes the steps to computing the rigid transformation that aligns two sets of points.","author":[{"dropping-particle":"","family":"Sorkine","given":"Olga","non-dropping-particle":"","parse-names":false,"suffix":""},{"dropping-particle":"","family":"Rabinovich","given":"Michael","non-dropping-particle":"","parse-names":false,"suffix":""}],"container-title":"Technical notes","id":"ITEM-1","issue":"February","issued":{"date-parts":[["2009"]]},"page":"1-6","title":"Least-squares rigid motion using svd","type":"article-journal"},"uris":["http://www.mendeley.com/documents/?uuid=6e41ef12-509f-4bbc-ad08-0cd59d1736bf"]}],"mendeley":{"formattedCitation":"[4]","plainTextFormattedCitation":"[4]","previouslyFormattedCitation":"[4]"},"properties":{"noteIndex":0},"schema":"https://github.com/citation-style-language/schema/raw/master/csl-citation.json"}</w:instrText>
      </w:r>
      <w:r>
        <w:fldChar w:fldCharType="separate"/>
      </w:r>
      <w:r w:rsidRPr="00A00ACF">
        <w:rPr>
          <w:noProof/>
        </w:rPr>
        <w:t>[4]</w:t>
      </w:r>
      <w:r>
        <w:fldChar w:fldCharType="end"/>
      </w:r>
      <w:r>
        <w:t xml:space="preserve"> </w:t>
      </w:r>
      <w:proofErr w:type="spellStart"/>
      <w:r>
        <w:rPr>
          <w:rFonts w:hint="eastAsia"/>
        </w:rPr>
        <w:t>svd</w:t>
      </w:r>
      <w:proofErr w:type="spellEnd"/>
    </w:p>
    <w:p w14:paraId="41E97100" w14:textId="58FEB21C" w:rsidR="008833A5" w:rsidRDefault="008833A5">
      <w:r w:rsidRPr="008833A5">
        <w:rPr>
          <w:position w:val="-12"/>
        </w:rPr>
        <w:object w:dxaOrig="3400" w:dyaOrig="380" w14:anchorId="2B180828">
          <v:shape id="_x0000_i1202" type="#_x0000_t75" style="width:169.7pt;height:20.55pt" o:ole="">
            <v:imagedata r:id="rId21" o:title=""/>
          </v:shape>
          <o:OLEObject Type="Embed" ProgID="Equation.DSMT4" ShapeID="_x0000_i1202" DrawAspect="Content" ObjectID="_1699110369" r:id="rId22"/>
        </w:object>
      </w:r>
      <w:r>
        <w:t xml:space="preserve"> </w:t>
      </w:r>
    </w:p>
    <w:p w14:paraId="6C45D486" w14:textId="36083561" w:rsidR="009C6F4A" w:rsidRDefault="009C6F4A">
      <w:r w:rsidRPr="009C6F4A">
        <w:rPr>
          <w:position w:val="-10"/>
        </w:rPr>
        <w:object w:dxaOrig="2240" w:dyaOrig="360" w14:anchorId="50868140">
          <v:shape id="_x0000_i1139" type="#_x0000_t75" style="width:113.15pt;height:20.55pt" o:ole="">
            <v:imagedata r:id="rId23" o:title=""/>
          </v:shape>
          <o:OLEObject Type="Embed" ProgID="Equation.DSMT4" ShapeID="_x0000_i1139" DrawAspect="Content" ObjectID="_1699110370" r:id="rId24"/>
        </w:object>
      </w:r>
      <w:r>
        <w:t xml:space="preserve"> </w:t>
      </w:r>
    </w:p>
    <w:p w14:paraId="73F48FB2" w14:textId="0A587DEF" w:rsidR="009C6F4A" w:rsidRDefault="009C6F4A">
      <w:r w:rsidRPr="009C6F4A">
        <w:rPr>
          <w:position w:val="-14"/>
        </w:rPr>
        <w:object w:dxaOrig="2740" w:dyaOrig="400" w14:anchorId="12E01561">
          <v:shape id="_x0000_i1179" type="#_x0000_t75" style="width:138.85pt;height:20.55pt" o:ole="">
            <v:imagedata r:id="rId25" o:title=""/>
          </v:shape>
          <o:OLEObject Type="Embed" ProgID="Equation.DSMT4" ShapeID="_x0000_i1179" DrawAspect="Content" ObjectID="_1699110371" r:id="rId26"/>
        </w:object>
      </w:r>
      <w:r>
        <w:t xml:space="preserve"> </w:t>
      </w:r>
    </w:p>
    <w:p w14:paraId="7FE3F251" w14:textId="41F8E8AA" w:rsidR="001E1BA0" w:rsidRDefault="009E40E3">
      <w:r w:rsidRPr="001E1BA0">
        <w:rPr>
          <w:position w:val="-36"/>
        </w:rPr>
        <w:object w:dxaOrig="3080" w:dyaOrig="840" w14:anchorId="7309044C">
          <v:shape id="_x0000_i1196" type="#_x0000_t75" style="width:154.3pt;height:41.15pt" o:ole="">
            <v:imagedata r:id="rId27" o:title=""/>
          </v:shape>
          <o:OLEObject Type="Embed" ProgID="Equation.DSMT4" ShapeID="_x0000_i1196" DrawAspect="Content" ObjectID="_1699110372" r:id="rId28"/>
        </w:object>
      </w:r>
      <w:r w:rsidR="001E1BA0">
        <w:t xml:space="preserve"> </w:t>
      </w:r>
    </w:p>
    <w:p w14:paraId="6C65CF3E" w14:textId="248FE5B7" w:rsidR="008A3047" w:rsidRDefault="001E1BA0">
      <w:r w:rsidRPr="001E1BA0">
        <w:rPr>
          <w:position w:val="-22"/>
        </w:rPr>
        <w:object w:dxaOrig="2100" w:dyaOrig="460" w14:anchorId="30A28D36">
          <v:shape id="_x0000_i1155" type="#_x0000_t75" style="width:102.85pt;height:20.55pt" o:ole="">
            <v:imagedata r:id="rId29" o:title=""/>
          </v:shape>
          <o:OLEObject Type="Embed" ProgID="Equation.DSMT4" ShapeID="_x0000_i1155" DrawAspect="Content" ObjectID="_1699110373" r:id="rId30"/>
        </w:object>
      </w:r>
      <w:r>
        <w:t xml:space="preserve"> </w:t>
      </w:r>
    </w:p>
    <w:p w14:paraId="3F6C5A06" w14:textId="2E931BD9" w:rsidR="001E1BA0" w:rsidRDefault="001E1BA0">
      <w:r w:rsidRPr="001E1BA0">
        <w:rPr>
          <w:position w:val="-22"/>
        </w:rPr>
        <w:object w:dxaOrig="2520" w:dyaOrig="460" w14:anchorId="0F1D3F14">
          <v:shape id="_x0000_i1162" type="#_x0000_t75" style="width:128.55pt;height:20.55pt" o:ole="">
            <v:imagedata r:id="rId31" o:title=""/>
          </v:shape>
          <o:OLEObject Type="Embed" ProgID="Equation.DSMT4" ShapeID="_x0000_i1162" DrawAspect="Content" ObjectID="_1699110374" r:id="rId32"/>
        </w:object>
      </w:r>
      <w:r>
        <w:t xml:space="preserve"> </w:t>
      </w:r>
    </w:p>
    <w:p w14:paraId="5CA029EC" w14:textId="6CD6A0F8" w:rsidR="001E1BA0" w:rsidRDefault="001E1BA0">
      <w:r w:rsidRPr="001E1BA0">
        <w:rPr>
          <w:position w:val="-22"/>
        </w:rPr>
        <w:object w:dxaOrig="2380" w:dyaOrig="460" w14:anchorId="521F7BEB">
          <v:shape id="_x0000_i1169" type="#_x0000_t75" style="width:118.3pt;height:20.55pt" o:ole="">
            <v:imagedata r:id="rId33" o:title=""/>
          </v:shape>
          <o:OLEObject Type="Embed" ProgID="Equation.DSMT4" ShapeID="_x0000_i1169" DrawAspect="Content" ObjectID="_1699110375" r:id="rId34"/>
        </w:object>
      </w:r>
      <w:r>
        <w:t xml:space="preserve"> </w:t>
      </w:r>
    </w:p>
    <w:p w14:paraId="00EA40EF" w14:textId="7C9C6C84" w:rsidR="00786026" w:rsidRDefault="00786026">
      <w:r w:rsidRPr="00786026">
        <w:rPr>
          <w:position w:val="-86"/>
        </w:rPr>
        <w:object w:dxaOrig="1600" w:dyaOrig="1560" w14:anchorId="2BE2DA25">
          <v:shape id="_x0000_i1209" type="#_x0000_t75" style="width:82.3pt;height:77.15pt" o:ole="">
            <v:imagedata r:id="rId35" o:title=""/>
          </v:shape>
          <o:OLEObject Type="Embed" ProgID="Equation.DSMT4" ShapeID="_x0000_i1209" DrawAspect="Content" ObjectID="_1699110376" r:id="rId36"/>
        </w:object>
      </w:r>
      <w:r>
        <w:t xml:space="preserve"> </w:t>
      </w:r>
    </w:p>
    <w:p w14:paraId="17FBF240" w14:textId="26BE6E69" w:rsidR="009149A8" w:rsidRDefault="009149A8">
      <w:r w:rsidRPr="009149A8">
        <w:rPr>
          <w:position w:val="-30"/>
        </w:rPr>
        <w:object w:dxaOrig="1680" w:dyaOrig="720" w14:anchorId="323897E7">
          <v:shape id="_x0000_i1218" type="#_x0000_t75" style="width:82.3pt;height:36pt" o:ole="">
            <v:imagedata r:id="rId37" o:title=""/>
          </v:shape>
          <o:OLEObject Type="Embed" ProgID="Equation.DSMT4" ShapeID="_x0000_i1218" DrawAspect="Content" ObjectID="_1699110377" r:id="rId38"/>
        </w:object>
      </w:r>
      <w:r>
        <w:t xml:space="preserve"> </w:t>
      </w:r>
    </w:p>
    <w:p w14:paraId="58D29647" w14:textId="11A65AD6" w:rsidR="00F05A87" w:rsidRDefault="00F05A87">
      <w:pPr>
        <w:widowControl/>
        <w:jc w:val="left"/>
      </w:pPr>
      <w:r w:rsidRPr="00F05A87">
        <w:rPr>
          <w:position w:val="-28"/>
        </w:rPr>
        <w:object w:dxaOrig="1520" w:dyaOrig="680" w14:anchorId="54BABE45">
          <v:shape id="_x0000_i1236" type="#_x0000_t75" style="width:77.15pt;height:36pt" o:ole="">
            <v:imagedata r:id="rId39" o:title=""/>
          </v:shape>
          <o:OLEObject Type="Embed" ProgID="Equation.DSMT4" ShapeID="_x0000_i1236" DrawAspect="Content" ObjectID="_1699110378" r:id="rId40"/>
        </w:object>
      </w:r>
    </w:p>
    <w:p w14:paraId="35F781C9" w14:textId="706C47CF" w:rsidR="00F05A87" w:rsidRDefault="00F05A87">
      <w:pPr>
        <w:widowControl/>
        <w:jc w:val="left"/>
      </w:pPr>
      <w:r w:rsidRPr="00F05A87">
        <w:rPr>
          <w:position w:val="-28"/>
        </w:rPr>
        <w:object w:dxaOrig="1740" w:dyaOrig="680" w14:anchorId="0BF22197">
          <v:shape id="_x0000_i1253" type="#_x0000_t75" style="width:87.45pt;height:36pt" o:ole="">
            <v:imagedata r:id="rId41" o:title=""/>
          </v:shape>
          <o:OLEObject Type="Embed" ProgID="Equation.DSMT4" ShapeID="_x0000_i1253" DrawAspect="Content" ObjectID="_1699110379" r:id="rId42"/>
        </w:object>
      </w:r>
      <w:r>
        <w:t xml:space="preserve"> </w:t>
      </w:r>
    </w:p>
    <w:bookmarkStart w:id="0" w:name="MTBlankEqn"/>
    <w:p w14:paraId="050BCCF5" w14:textId="632EE935" w:rsidR="000427B3" w:rsidRDefault="000427B3">
      <w:pPr>
        <w:widowControl/>
        <w:jc w:val="left"/>
      </w:pPr>
      <w:r w:rsidRPr="000427B3">
        <w:rPr>
          <w:position w:val="-12"/>
        </w:rPr>
        <w:object w:dxaOrig="3600" w:dyaOrig="380" w14:anchorId="079A5A09">
          <v:shape id="_x0000_i1310" type="#_x0000_t75" style="width:180pt;height:20.55pt" o:ole="">
            <v:imagedata r:id="rId43" o:title=""/>
          </v:shape>
          <o:OLEObject Type="Embed" ProgID="Equation.DSMT4" ShapeID="_x0000_i1310" DrawAspect="Content" ObjectID="_1699110380" r:id="rId44"/>
        </w:object>
      </w:r>
      <w:bookmarkEnd w:id="0"/>
      <w:r>
        <w:t xml:space="preserve"> </w:t>
      </w:r>
    </w:p>
    <w:p w14:paraId="19B58EAB" w14:textId="1F30050D" w:rsidR="00445D56" w:rsidRDefault="00445D56">
      <w:pPr>
        <w:widowControl/>
        <w:jc w:val="left"/>
      </w:pPr>
      <w:r>
        <w:fldChar w:fldCharType="begin" w:fldLock="1"/>
      </w:r>
      <w:r>
        <w:instrText>ADDIN CSL_CITATION {"citationItems":[{"id":"ITEM-1","itemData":{"DOI":"10.1109/TRO.2020.3033695","ISSN":"19410468","abstract":"We propose the first fast and certifiable algorithm for the registration of two sets of three-dimensional (3-D) points in the presence of large amounts of outlier correspondences. A certifiable algorithm is one that attempts to solve an intractable optimization problem (e.g., robust estimation with outliers) and provides readily checkable conditions to verify if the returned solution is optimal (e.g., if the algorithm produced the most accurate estimate in the face of outliers) or bound its suboptimality or accuracy. Toward this goal, we first reformulate the registration problem using a truncated least squares (TLS) cost that makes the estimation insensitive to a large fraction of spurious correspondences. Then, we provide a general graph-theoretic framework to decouple scale, rotation, and translation estimation, which allows solving in cascade for the three transformations. Despite the fact that each subproblem (scale, rotation, and translation estimation) is still nonconvex and combinatorial in nature, we show that 1) TLS scale and (component-wise) translation estimation can be solved in polynomial time via an adaptive voting scheme, 2) TLS rotation estimation can be relaxed to a semidefinite program (SDP) and the relaxation is tight, even in the presence of extreme outlier rates, and 3) the graph-theoretic framework allows drastic pruning of outliers by finding the maximum clique. We name the resulting algorithm TEASER (Truncated least squares Estimation And SEmidefinite Relaxation). While solving large SDP relaxations is typically slow, we develop a second fast and certifiable algorithm, named TEASER++, that uses graduated nonconvexity to solve the rotation subproblem and leverages Douglas-Rachford Splitting to efficiently certify global optimality. For both algorithms, we provide theoretical bounds on the estimation errors, which are the first of their kind for robust registration problems. Moreover, we test their performance on standard benchmarks, object detection datasets, and the 3DMatch scan matching dataset, and show that 1) both algorithms dominate the state-of-the-art (e.g., RANSAC, branch-&amp;-bound, heuristics) and are robust to more than 99% outliers when the scale is known, 2) TEASER++ can run in milliseconds and it is currently the fastest robust registration algorithm, and 3) TEASER++ is so robust it can also solve problems without correspondences (e.g., hypothesizing all-to-all correspondences), where it largely outperforms ICP and it…","author":[{"dropping-particle":"","family":"Yang","given":"Heng","non-dropping-particle":"","parse-names":false,"suffix":""},{"dropping-particle":"","family":"Shi","given":"Jingnan","non-dropping-particle":"","parse-names":false,"suffix":""},{"dropping-particle":"","family":"Carlone","given":"Luca","non-dropping-particle":"","parse-names":false,"suffix":""}],"container-title":"IEEE Transactions on Robotics","id":"ITEM-1","issue":"2","issued":{"date-parts":[["2021"]]},"page":"314-333","title":"Teaser: Fast and certifiable point cloud registration","type":"article-journal","volume":"37"},"uris":["http://www.mendeley.com/documents/?uuid=095f671d-819a-4126-a0a9-17d6ea274382"]}],"mendeley":{"formattedCitation":"[5]","plainTextFormattedCitation":"[5]","previouslyFormattedCitation":"[5]"},"properties":{"noteIndex":0},"schema":"https://github.com/citation-style-language/schema/raw/master/csl-citation.json"}</w:instrText>
      </w:r>
      <w:r>
        <w:fldChar w:fldCharType="separate"/>
      </w:r>
      <w:r w:rsidRPr="00445D56">
        <w:rPr>
          <w:noProof/>
        </w:rPr>
        <w:t>[5]</w:t>
      </w:r>
      <w:r>
        <w:fldChar w:fldCharType="end"/>
      </w:r>
      <w:r>
        <w:fldChar w:fldCharType="begin" w:fldLock="1"/>
      </w:r>
      <w:r w:rsidR="00985330">
        <w:instrText>ADDIN CSL_CITATION {"citationItems":[{"id":"ITEM-1","itemData":{"DOI":"10.1109/CVPR.2017.595","ISBN":"9781538604571","abstract":"The registration of 3D models by a Euclidean transformation is a fundamental task at the core of many application in computer vision. This problem is non-convex due to the presence of rotational constraints, making traditional local optimization methods prone to getting stuck in local minima. This paper addresses finding the globally optimal transformation in various 3D registration problems by a unified formulation that integrates common geometric registration modalities (namely point-to-point, point-to-line and point-to-plane). This formulation renders the optimization problem independent of both the number and nature of the correspondences. The main novelty of our proposal is the introduction of a strengthened Lagrangian dual relaxation for this problem, which surpasses previous similar approaches [32] in effectiveness. In fact, even though with no theoretical guarantees, exhaustive empirical evaluation in both synthetic and real experiments always resulted on a tight relaxation that allowed to recover a guaranteed globally optimal solution by exploiting duality theory. Thus, our approach allows for effectively solving the 3D registration with global optimality guarantees while running at a fraction of the time for the state-of-the-art alternative [34], based on a more computationally intensive Branch and Bound method.","author":[{"dropping-particle":"","family":"Briales","given":"Jesus","non-dropping-particle":"","parse-names":false,"suffix":""},{"dropping-particle":"","family":"Gonzalez-Jimenez","given":"Javier","non-dropping-particle":"","parse-names":false,"suffix":""}],"container-title":"Proceedings - 30th IEEE Conference on Computer Vision and Pattern Recognition, CVPR 2017","id":"ITEM-1","issued":{"date-parts":[["2017"]]},"page":"5612-5621","title":"Convex global 3D registration with lagrangian duality","type":"article-journal","volume":"2017-January"},"uris":["http://www.mendeley.com/documents/?uuid=ef1ca6a8-c928-42b2-8c67-a55b4fa9810a"]}],"mendeley":{"formattedCitation":"[6]","plainTextFormattedCitation":"[6]","previouslyFormattedCitation":"[6]"},"properties":{"noteIndex":0},"schema":"https://github.com/citation-style-language/schema/raw/master/csl-citation.json"}</w:instrText>
      </w:r>
      <w:r>
        <w:fldChar w:fldCharType="separate"/>
      </w:r>
      <w:r w:rsidRPr="00445D56">
        <w:rPr>
          <w:noProof/>
        </w:rPr>
        <w:t>[6]</w:t>
      </w:r>
      <w:r>
        <w:fldChar w:fldCharType="end"/>
      </w:r>
      <w:r w:rsidR="00985330">
        <w:fldChar w:fldCharType="begin" w:fldLock="1"/>
      </w:r>
      <w:r w:rsidR="00985330">
        <w:instrText>ADDIN CSL_CITATION {"citationItems":[{"id":"ITEM-1","itemData":{"DOI":"10.1109/70.736771","ISSN":"1042296X","abstract":"In this paper, we present a unified geometric theory for localization of three types of workpieces: 1) general three-dimensional (3-D) workpieces where points from the finished surfaces fully constrain the rigid motions of the workpieces; 2) symmetric workpieces; 3) partially machined workpieces where points from the finished surfaces are inadequate to fully constrain the rigid motions of the workpieces. Applications of the study include workpiece setup, refixturing and dimensional inspections in a flexible manufacturing environment. First, we formulate the localization problem for a general three-dimensional (3-D) workpiece and study the mathematical properties of the underlying problem. We discuss an iterative approach for solving the general localization problem and show how different considerations in updating the Euclidean transformation lead to various geometric algorithms. Then, we extend the localization techniques to symmetric workpieces and partially machined workpieces and present a simple algorithm for each of the problems. Finally, we present simulation results showing convergence and robustness properties of the various geometric algorithms.","author":[{"dropping-particle":"","family":"Li","given":"Zexiang","non-dropping-particle":"","parse-names":false,"suffix":""},{"dropping-particle":"","family":"Gou","given":"Jianbo","non-dropping-particle":"","parse-names":false,"suffix":""},{"dropping-particle":"","family":"Chu","given":"Yunxian","non-dropping-particle":"","parse-names":false,"suffix":""}],"container-title":"IEEE Transactions on Robotics and Automation","id":"ITEM-1","issue":"6","issued":{"date-parts":[["1998"]]},"page":"864-878","title":"Geometric algorithms for workpiece localization","type":"article-journal","volume":"14"},"uris":["http://www.mendeley.com/documents/?uuid=c0f574a3-e6e9-4181-ab9a-ffe806e5473b"]}],"mendeley":{"formattedCitation":"[2]","plainTextFormattedCitation":"[2]","previouslyFormattedCitation":"[2]"},"properties":{"noteIndex":0},"schema":"https://github.com/citation-style-language/schema/raw/master/csl-citation.json"}</w:instrText>
      </w:r>
      <w:r w:rsidR="00985330">
        <w:fldChar w:fldCharType="separate"/>
      </w:r>
      <w:r w:rsidR="00985330" w:rsidRPr="00985330">
        <w:rPr>
          <w:noProof/>
        </w:rPr>
        <w:t>[2]</w:t>
      </w:r>
      <w:r w:rsidR="00985330">
        <w:fldChar w:fldCharType="end"/>
      </w:r>
      <w:r w:rsidR="00985330">
        <w:fldChar w:fldCharType="begin" w:fldLock="1"/>
      </w:r>
      <w:r w:rsidR="00985330">
        <w:instrText>ADDIN CSL_CITATION {"citationItems":[{"id":"ITEM-1","itemData":{"DOI":"10.1364/josaa.5.001127","ISSN":"1084-7529","abstract":"Finding the relationship between two coordinate systems by using pairs of measurements of the coordinates of a number of points in both systems is a classic photogrammetric task. The solution has applications in stereophotogrammetry and in robotics. We present here a closed-form solution to the least-squares problem for three or more points. Currently, various empirical, graphical, and numerical iterative methods are in use. Derivation of a closed-form solution can be simplified by using unit quaternions to represent rotation, as was shown in an earlier paper [J. Opt. Soc. Am. A 4, 629 (1987)]. Since orthonormal matrices are used more widely to represent rotation, we now present a solution in which 3 × 3 matrices are used. Our method requires the computation of the square root of a symmetric matrix. We compare the new result with that obtained by an alternative method in which orthonormality is not directly enforced. In this other method a best-fit linear transformation is found, and then the nearest orthonormal matrix is chosen for the rotation. We note that the best translational offset is the difference between the centroid of the coordinates in one system and the rotated and scaled centroid of the coordinates in the other system. The best scale is equal to the ratio of the root-mean-square deviations of the coordinates in the two systems from their respective centroids. These exact results are to be preferred to approximate methods based on measurements of a few selected points. © 1988 Optical Society of America.","author":[{"dropping-particle":"","family":"Horn","given":"Berthold K. P.","non-dropping-particle":"","parse-names":false,"suffix":""},{"dropping-particle":"","family":"Hilden","given":"Hugh M.","non-dropping-particle":"","parse-names":false,"suffix":""},{"dropping-particle":"","family":"Negahdaripour","given":"Shahriar","non-dropping-particle":"","parse-names":false,"suffix":""}],"container-title":"Journal of the Optical Society of America A","id":"ITEM-1","issue":"7","issued":{"date-parts":[["1988"]]},"page":"1127","title":"Closed-form solution of absolute orientation using orthonormal matrices","type":"article-journal","volume":"5"},"uris":["http://www.mendeley.com/documents/?uuid=9fda1b65-4e6a-4c76-9490-e40350b797e8"]}],"mendeley":{"formattedCitation":"[7]","plainTextFormattedCitation":"[7]"},"properties":{"noteIndex":0},"schema":"https://github.com/citation-style-language/schema/raw/master/csl-citation.json"}</w:instrText>
      </w:r>
      <w:r w:rsidR="00985330">
        <w:fldChar w:fldCharType="separate"/>
      </w:r>
      <w:r w:rsidR="00985330" w:rsidRPr="00985330">
        <w:rPr>
          <w:noProof/>
        </w:rPr>
        <w:t>[7]</w:t>
      </w:r>
      <w:r w:rsidR="00985330">
        <w:fldChar w:fldCharType="end"/>
      </w:r>
    </w:p>
    <w:p w14:paraId="3C663BDF" w14:textId="37C14594" w:rsidR="00445D56" w:rsidRDefault="00445D56">
      <w:pPr>
        <w:widowControl/>
        <w:jc w:val="left"/>
      </w:pPr>
      <w:r w:rsidRPr="00445D56">
        <w:rPr>
          <w:position w:val="-44"/>
        </w:rPr>
        <w:object w:dxaOrig="3159" w:dyaOrig="680" w14:anchorId="0F86F997">
          <v:shape id="_x0000_i1338" type="#_x0000_t75" style="width:159.45pt;height:36pt" o:ole="">
            <v:imagedata r:id="rId45" o:title=""/>
          </v:shape>
          <o:OLEObject Type="Embed" ProgID="Equation.DSMT4" ShapeID="_x0000_i1338" DrawAspect="Content" ObjectID="_1699110381" r:id="rId46"/>
        </w:object>
      </w:r>
      <w:r>
        <w:t xml:space="preserve"> </w:t>
      </w:r>
    </w:p>
    <w:p w14:paraId="63DB5F20" w14:textId="486C4951" w:rsidR="006D4797" w:rsidRDefault="00D4382D" w:rsidP="00D4382D">
      <w:pPr>
        <w:pStyle w:val="MTDisplayEquation"/>
      </w:pPr>
      <w:r>
        <w:tab/>
      </w:r>
      <w:r w:rsidRPr="00D4382D">
        <w:rPr>
          <w:position w:val="-28"/>
        </w:rPr>
        <w:object w:dxaOrig="1719" w:dyaOrig="700" w14:anchorId="032FDE5C">
          <v:shape id="_x0000_i1298" type="#_x0000_t75" style="width:87.45pt;height:36pt" o:ole="">
            <v:imagedata r:id="rId47" o:title=""/>
          </v:shape>
          <o:OLEObject Type="Embed" ProgID="Equation.DSMT4" ShapeID="_x0000_i1298" DrawAspect="Content" ObjectID="_1699110382" r:id="rId48"/>
        </w:object>
      </w:r>
      <w:r w:rsidR="006D4797">
        <w:br w:type="page"/>
      </w:r>
    </w:p>
    <w:p w14:paraId="7D458E2D" w14:textId="77777777" w:rsidR="000427B3" w:rsidRPr="000427B3" w:rsidRDefault="000427B3" w:rsidP="000427B3">
      <w:pPr>
        <w:rPr>
          <w:rFonts w:hint="eastAsia"/>
        </w:rPr>
      </w:pPr>
    </w:p>
    <w:p w14:paraId="20F739C3" w14:textId="75D1329B" w:rsidR="00985330" w:rsidRPr="00985330" w:rsidRDefault="006D4797" w:rsidP="00985330">
      <w:pPr>
        <w:autoSpaceDE w:val="0"/>
        <w:autoSpaceDN w:val="0"/>
        <w:adjustRightInd w:val="0"/>
        <w:ind w:left="640" w:hanging="640"/>
        <w:jc w:val="left"/>
        <w:rPr>
          <w:rFonts w:ascii="等线" w:eastAsia="等线" w:hAnsi="等线" w:cs="Times New Roman"/>
          <w:noProof/>
          <w:kern w:val="0"/>
          <w:sz w:val="20"/>
          <w:szCs w:val="24"/>
        </w:rPr>
      </w:pPr>
      <w:r>
        <w:fldChar w:fldCharType="begin" w:fldLock="1"/>
      </w:r>
      <w:r>
        <w:instrText xml:space="preserve">ADDIN Mendeley Bibliography CSL_BIBLIOGRAPHY </w:instrText>
      </w:r>
      <w:r>
        <w:fldChar w:fldCharType="separate"/>
      </w:r>
      <w:r w:rsidR="00985330" w:rsidRPr="00985330">
        <w:rPr>
          <w:rFonts w:ascii="等线" w:eastAsia="等线" w:hAnsi="等线" w:cs="Times New Roman"/>
          <w:noProof/>
          <w:kern w:val="0"/>
          <w:sz w:val="20"/>
          <w:szCs w:val="24"/>
        </w:rPr>
        <w:t>[1]</w:t>
      </w:r>
      <w:r w:rsidR="00985330" w:rsidRPr="00985330">
        <w:rPr>
          <w:rFonts w:ascii="等线" w:eastAsia="等线" w:hAnsi="等线" w:cs="Times New Roman"/>
          <w:noProof/>
          <w:kern w:val="0"/>
          <w:sz w:val="20"/>
          <w:szCs w:val="24"/>
        </w:rPr>
        <w:tab/>
        <w:t xml:space="preserve">S. Choi, Q.-Y. Zhou, and V. Koltun, “Robust Large Scale Reconstruction of Indoor Scenes,” </w:t>
      </w:r>
      <w:r w:rsidR="00985330" w:rsidRPr="00985330">
        <w:rPr>
          <w:rFonts w:ascii="等线" w:eastAsia="等线" w:hAnsi="等线" w:cs="Times New Roman"/>
          <w:i/>
          <w:iCs/>
          <w:noProof/>
          <w:kern w:val="0"/>
          <w:sz w:val="20"/>
          <w:szCs w:val="24"/>
        </w:rPr>
        <w:t>IEEE Conf. Comput. Vis. Pattern Recognit.</w:t>
      </w:r>
      <w:r w:rsidR="00985330" w:rsidRPr="00985330">
        <w:rPr>
          <w:rFonts w:ascii="等线" w:eastAsia="等线" w:hAnsi="等线" w:cs="Times New Roman"/>
          <w:noProof/>
          <w:kern w:val="0"/>
          <w:sz w:val="20"/>
          <w:szCs w:val="24"/>
        </w:rPr>
        <w:t>, pp. 5556–5565, 2015, [Online]. Available: https://vincentkee.files.wordpress.com/2011/12/paper.pdf.</w:t>
      </w:r>
    </w:p>
    <w:p w14:paraId="476FB9BE" w14:textId="77777777" w:rsidR="00985330" w:rsidRPr="00985330" w:rsidRDefault="00985330" w:rsidP="00985330">
      <w:pPr>
        <w:autoSpaceDE w:val="0"/>
        <w:autoSpaceDN w:val="0"/>
        <w:adjustRightInd w:val="0"/>
        <w:ind w:left="640" w:hanging="640"/>
        <w:jc w:val="left"/>
        <w:rPr>
          <w:rFonts w:ascii="等线" w:eastAsia="等线" w:hAnsi="等线" w:cs="Times New Roman"/>
          <w:noProof/>
          <w:kern w:val="0"/>
          <w:sz w:val="20"/>
          <w:szCs w:val="24"/>
        </w:rPr>
      </w:pPr>
      <w:r w:rsidRPr="00985330">
        <w:rPr>
          <w:rFonts w:ascii="等线" w:eastAsia="等线" w:hAnsi="等线" w:cs="Times New Roman"/>
          <w:noProof/>
          <w:kern w:val="0"/>
          <w:sz w:val="20"/>
          <w:szCs w:val="24"/>
        </w:rPr>
        <w:t>[2]</w:t>
      </w:r>
      <w:r w:rsidRPr="00985330">
        <w:rPr>
          <w:rFonts w:ascii="等线" w:eastAsia="等线" w:hAnsi="等线" w:cs="Times New Roman"/>
          <w:noProof/>
          <w:kern w:val="0"/>
          <w:sz w:val="20"/>
          <w:szCs w:val="24"/>
        </w:rPr>
        <w:tab/>
        <w:t xml:space="preserve">Z. Li, J. Gou, and Y. Chu, “Geometric algorithms for workpiece localization,” </w:t>
      </w:r>
      <w:r w:rsidRPr="00985330">
        <w:rPr>
          <w:rFonts w:ascii="等线" w:eastAsia="等线" w:hAnsi="等线" w:cs="Times New Roman"/>
          <w:i/>
          <w:iCs/>
          <w:noProof/>
          <w:kern w:val="0"/>
          <w:sz w:val="20"/>
          <w:szCs w:val="24"/>
        </w:rPr>
        <w:t>IEEE Trans. Robot. Autom.</w:t>
      </w:r>
      <w:r w:rsidRPr="00985330">
        <w:rPr>
          <w:rFonts w:ascii="等线" w:eastAsia="等线" w:hAnsi="等线" w:cs="Times New Roman"/>
          <w:noProof/>
          <w:kern w:val="0"/>
          <w:sz w:val="20"/>
          <w:szCs w:val="24"/>
        </w:rPr>
        <w:t>, vol. 14, no. 6, pp. 864–878, 1998, doi: 10.1109/70.736771.</w:t>
      </w:r>
    </w:p>
    <w:p w14:paraId="243587F0" w14:textId="77777777" w:rsidR="00985330" w:rsidRPr="00985330" w:rsidRDefault="00985330" w:rsidP="00985330">
      <w:pPr>
        <w:autoSpaceDE w:val="0"/>
        <w:autoSpaceDN w:val="0"/>
        <w:adjustRightInd w:val="0"/>
        <w:ind w:left="640" w:hanging="640"/>
        <w:jc w:val="left"/>
        <w:rPr>
          <w:rFonts w:ascii="等线" w:eastAsia="等线" w:hAnsi="等线" w:cs="Times New Roman"/>
          <w:noProof/>
          <w:kern w:val="0"/>
          <w:sz w:val="20"/>
          <w:szCs w:val="24"/>
        </w:rPr>
      </w:pPr>
      <w:r w:rsidRPr="00985330">
        <w:rPr>
          <w:rFonts w:ascii="等线" w:eastAsia="等线" w:hAnsi="等线" w:cs="Times New Roman"/>
          <w:noProof/>
          <w:kern w:val="0"/>
          <w:sz w:val="20"/>
          <w:szCs w:val="24"/>
        </w:rPr>
        <w:t>[3]</w:t>
      </w:r>
      <w:r w:rsidRPr="00985330">
        <w:rPr>
          <w:rFonts w:ascii="等线" w:eastAsia="等线" w:hAnsi="等线" w:cs="Times New Roman"/>
          <w:noProof/>
          <w:kern w:val="0"/>
          <w:sz w:val="20"/>
          <w:szCs w:val="24"/>
        </w:rPr>
        <w:tab/>
        <w:t xml:space="preserve">M. Young, C. Pretty, J. McCulloch, and R. Green, “Sparse point cloud registration and aggregation with mesh-based generalized iterative closest point,” </w:t>
      </w:r>
      <w:r w:rsidRPr="00985330">
        <w:rPr>
          <w:rFonts w:ascii="等线" w:eastAsia="等线" w:hAnsi="等线" w:cs="Times New Roman"/>
          <w:i/>
          <w:iCs/>
          <w:noProof/>
          <w:kern w:val="0"/>
          <w:sz w:val="20"/>
          <w:szCs w:val="24"/>
        </w:rPr>
        <w:t>J. F. Robot.</w:t>
      </w:r>
      <w:r w:rsidRPr="00985330">
        <w:rPr>
          <w:rFonts w:ascii="等线" w:eastAsia="等线" w:hAnsi="等线" w:cs="Times New Roman"/>
          <w:noProof/>
          <w:kern w:val="0"/>
          <w:sz w:val="20"/>
          <w:szCs w:val="24"/>
        </w:rPr>
        <w:t>, no. August, pp. 1–14, 2021, doi: 10.1002/rob.22032.</w:t>
      </w:r>
    </w:p>
    <w:p w14:paraId="34ACDAD4" w14:textId="77777777" w:rsidR="00985330" w:rsidRPr="00985330" w:rsidRDefault="00985330" w:rsidP="00985330">
      <w:pPr>
        <w:autoSpaceDE w:val="0"/>
        <w:autoSpaceDN w:val="0"/>
        <w:adjustRightInd w:val="0"/>
        <w:ind w:left="640" w:hanging="640"/>
        <w:jc w:val="left"/>
        <w:rPr>
          <w:rFonts w:ascii="等线" w:eastAsia="等线" w:hAnsi="等线" w:cs="Times New Roman"/>
          <w:noProof/>
          <w:kern w:val="0"/>
          <w:sz w:val="20"/>
          <w:szCs w:val="24"/>
        </w:rPr>
      </w:pPr>
      <w:r w:rsidRPr="00985330">
        <w:rPr>
          <w:rFonts w:ascii="等线" w:eastAsia="等线" w:hAnsi="等线" w:cs="Times New Roman"/>
          <w:noProof/>
          <w:kern w:val="0"/>
          <w:sz w:val="20"/>
          <w:szCs w:val="24"/>
        </w:rPr>
        <w:t>[4]</w:t>
      </w:r>
      <w:r w:rsidRPr="00985330">
        <w:rPr>
          <w:rFonts w:ascii="等线" w:eastAsia="等线" w:hAnsi="等线" w:cs="Times New Roman"/>
          <w:noProof/>
          <w:kern w:val="0"/>
          <w:sz w:val="20"/>
          <w:szCs w:val="24"/>
        </w:rPr>
        <w:tab/>
        <w:t xml:space="preserve">O. Sorkine and M. Rabinovich, “Least-squares rigid motion using svd,” </w:t>
      </w:r>
      <w:r w:rsidRPr="00985330">
        <w:rPr>
          <w:rFonts w:ascii="等线" w:eastAsia="等线" w:hAnsi="等线" w:cs="Times New Roman"/>
          <w:i/>
          <w:iCs/>
          <w:noProof/>
          <w:kern w:val="0"/>
          <w:sz w:val="20"/>
          <w:szCs w:val="24"/>
        </w:rPr>
        <w:t>Tech. notes</w:t>
      </w:r>
      <w:r w:rsidRPr="00985330">
        <w:rPr>
          <w:rFonts w:ascii="等线" w:eastAsia="等线" w:hAnsi="等线" w:cs="Times New Roman"/>
          <w:noProof/>
          <w:kern w:val="0"/>
          <w:sz w:val="20"/>
          <w:szCs w:val="24"/>
        </w:rPr>
        <w:t>, no. February, pp. 1–6, 2009, [Online]. Available: http://www.igl.ethz.ch/projects/ARAP/svd_rot.pdf.</w:t>
      </w:r>
    </w:p>
    <w:p w14:paraId="6653CC48" w14:textId="77777777" w:rsidR="00985330" w:rsidRPr="00985330" w:rsidRDefault="00985330" w:rsidP="00985330">
      <w:pPr>
        <w:autoSpaceDE w:val="0"/>
        <w:autoSpaceDN w:val="0"/>
        <w:adjustRightInd w:val="0"/>
        <w:ind w:left="640" w:hanging="640"/>
        <w:jc w:val="left"/>
        <w:rPr>
          <w:rFonts w:ascii="等线" w:eastAsia="等线" w:hAnsi="等线" w:cs="Times New Roman"/>
          <w:noProof/>
          <w:kern w:val="0"/>
          <w:sz w:val="20"/>
          <w:szCs w:val="24"/>
        </w:rPr>
      </w:pPr>
      <w:r w:rsidRPr="00985330">
        <w:rPr>
          <w:rFonts w:ascii="等线" w:eastAsia="等线" w:hAnsi="等线" w:cs="Times New Roman"/>
          <w:noProof/>
          <w:kern w:val="0"/>
          <w:sz w:val="20"/>
          <w:szCs w:val="24"/>
        </w:rPr>
        <w:t>[5]</w:t>
      </w:r>
      <w:r w:rsidRPr="00985330">
        <w:rPr>
          <w:rFonts w:ascii="等线" w:eastAsia="等线" w:hAnsi="等线" w:cs="Times New Roman"/>
          <w:noProof/>
          <w:kern w:val="0"/>
          <w:sz w:val="20"/>
          <w:szCs w:val="24"/>
        </w:rPr>
        <w:tab/>
        <w:t xml:space="preserve">H. Yang, J. Shi, and L. Carlone, “Teaser: Fast and certifiable point cloud registration,” </w:t>
      </w:r>
      <w:r w:rsidRPr="00985330">
        <w:rPr>
          <w:rFonts w:ascii="等线" w:eastAsia="等线" w:hAnsi="等线" w:cs="Times New Roman"/>
          <w:i/>
          <w:iCs/>
          <w:noProof/>
          <w:kern w:val="0"/>
          <w:sz w:val="20"/>
          <w:szCs w:val="24"/>
        </w:rPr>
        <w:t>IEEE Trans. Robot.</w:t>
      </w:r>
      <w:r w:rsidRPr="00985330">
        <w:rPr>
          <w:rFonts w:ascii="等线" w:eastAsia="等线" w:hAnsi="等线" w:cs="Times New Roman"/>
          <w:noProof/>
          <w:kern w:val="0"/>
          <w:sz w:val="20"/>
          <w:szCs w:val="24"/>
        </w:rPr>
        <w:t>, vol. 37, no. 2, pp. 314–333, 2021, doi: 10.1109/TRO.2020.3033695.</w:t>
      </w:r>
    </w:p>
    <w:p w14:paraId="37D0DB1F" w14:textId="77777777" w:rsidR="00985330" w:rsidRPr="00985330" w:rsidRDefault="00985330" w:rsidP="00985330">
      <w:pPr>
        <w:autoSpaceDE w:val="0"/>
        <w:autoSpaceDN w:val="0"/>
        <w:adjustRightInd w:val="0"/>
        <w:ind w:left="640" w:hanging="640"/>
        <w:jc w:val="left"/>
        <w:rPr>
          <w:rFonts w:ascii="等线" w:eastAsia="等线" w:hAnsi="等线" w:cs="Times New Roman"/>
          <w:noProof/>
          <w:kern w:val="0"/>
          <w:sz w:val="20"/>
          <w:szCs w:val="24"/>
        </w:rPr>
      </w:pPr>
      <w:r w:rsidRPr="00985330">
        <w:rPr>
          <w:rFonts w:ascii="等线" w:eastAsia="等线" w:hAnsi="等线" w:cs="Times New Roman"/>
          <w:noProof/>
          <w:kern w:val="0"/>
          <w:sz w:val="20"/>
          <w:szCs w:val="24"/>
        </w:rPr>
        <w:t>[6]</w:t>
      </w:r>
      <w:r w:rsidRPr="00985330">
        <w:rPr>
          <w:rFonts w:ascii="等线" w:eastAsia="等线" w:hAnsi="等线" w:cs="Times New Roman"/>
          <w:noProof/>
          <w:kern w:val="0"/>
          <w:sz w:val="20"/>
          <w:szCs w:val="24"/>
        </w:rPr>
        <w:tab/>
        <w:t xml:space="preserve">J. Briales and J. Gonzalez-Jimenez, “Convex global 3D registration with lagrangian duality,” </w:t>
      </w:r>
      <w:r w:rsidRPr="00985330">
        <w:rPr>
          <w:rFonts w:ascii="等线" w:eastAsia="等线" w:hAnsi="等线" w:cs="Times New Roman"/>
          <w:i/>
          <w:iCs/>
          <w:noProof/>
          <w:kern w:val="0"/>
          <w:sz w:val="20"/>
          <w:szCs w:val="24"/>
        </w:rPr>
        <w:t>Proc. - 30th IEEE Conf. Comput. Vis. Pattern Recognition, CVPR 2017</w:t>
      </w:r>
      <w:r w:rsidRPr="00985330">
        <w:rPr>
          <w:rFonts w:ascii="等线" w:eastAsia="等线" w:hAnsi="等线" w:cs="Times New Roman"/>
          <w:noProof/>
          <w:kern w:val="0"/>
          <w:sz w:val="20"/>
          <w:szCs w:val="24"/>
        </w:rPr>
        <w:t>, vol. 2017-January, pp. 5612–5621, 2017, doi: 10.1109/CVPR.2017.595.</w:t>
      </w:r>
    </w:p>
    <w:p w14:paraId="6272FC7E" w14:textId="77777777" w:rsidR="00985330" w:rsidRPr="00985330" w:rsidRDefault="00985330" w:rsidP="00985330">
      <w:pPr>
        <w:autoSpaceDE w:val="0"/>
        <w:autoSpaceDN w:val="0"/>
        <w:adjustRightInd w:val="0"/>
        <w:ind w:left="640" w:hanging="640"/>
        <w:jc w:val="left"/>
        <w:rPr>
          <w:rFonts w:ascii="等线" w:eastAsia="等线" w:hAnsi="等线"/>
          <w:noProof/>
          <w:sz w:val="20"/>
        </w:rPr>
      </w:pPr>
      <w:r w:rsidRPr="00985330">
        <w:rPr>
          <w:rFonts w:ascii="等线" w:eastAsia="等线" w:hAnsi="等线" w:cs="Times New Roman"/>
          <w:noProof/>
          <w:kern w:val="0"/>
          <w:sz w:val="20"/>
          <w:szCs w:val="24"/>
        </w:rPr>
        <w:t>[7]</w:t>
      </w:r>
      <w:r w:rsidRPr="00985330">
        <w:rPr>
          <w:rFonts w:ascii="等线" w:eastAsia="等线" w:hAnsi="等线" w:cs="Times New Roman"/>
          <w:noProof/>
          <w:kern w:val="0"/>
          <w:sz w:val="20"/>
          <w:szCs w:val="24"/>
        </w:rPr>
        <w:tab/>
        <w:t xml:space="preserve">B. K. P. Horn, H. M. Hilden, and S. Negahdaripour, “Closed-form solution of absolute orientation using orthonormal matrices,” </w:t>
      </w:r>
      <w:r w:rsidRPr="00985330">
        <w:rPr>
          <w:rFonts w:ascii="等线" w:eastAsia="等线" w:hAnsi="等线" w:cs="Times New Roman"/>
          <w:i/>
          <w:iCs/>
          <w:noProof/>
          <w:kern w:val="0"/>
          <w:sz w:val="20"/>
          <w:szCs w:val="24"/>
        </w:rPr>
        <w:t>J. Opt. Soc. Am. A</w:t>
      </w:r>
      <w:r w:rsidRPr="00985330">
        <w:rPr>
          <w:rFonts w:ascii="等线" w:eastAsia="等线" w:hAnsi="等线" w:cs="Times New Roman"/>
          <w:noProof/>
          <w:kern w:val="0"/>
          <w:sz w:val="20"/>
          <w:szCs w:val="24"/>
        </w:rPr>
        <w:t>, vol. 5, no. 7, p. 1127, 1988, doi: 10.1364/josaa.5.001127.</w:t>
      </w:r>
    </w:p>
    <w:p w14:paraId="492345C7" w14:textId="6141D591" w:rsidR="006D4797" w:rsidRDefault="006D4797">
      <w:r>
        <w:fldChar w:fldCharType="end"/>
      </w:r>
    </w:p>
    <w:sectPr w:rsidR="006D47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CB4"/>
    <w:rsid w:val="000427B3"/>
    <w:rsid w:val="000B4C67"/>
    <w:rsid w:val="001205F7"/>
    <w:rsid w:val="0014703B"/>
    <w:rsid w:val="001E1BA0"/>
    <w:rsid w:val="00334A66"/>
    <w:rsid w:val="00336CB4"/>
    <w:rsid w:val="00445D56"/>
    <w:rsid w:val="006B2EFE"/>
    <w:rsid w:val="006D4797"/>
    <w:rsid w:val="00710428"/>
    <w:rsid w:val="00786026"/>
    <w:rsid w:val="008833A5"/>
    <w:rsid w:val="00890070"/>
    <w:rsid w:val="008A3047"/>
    <w:rsid w:val="009149A8"/>
    <w:rsid w:val="00985330"/>
    <w:rsid w:val="009C6F4A"/>
    <w:rsid w:val="009E0687"/>
    <w:rsid w:val="009E40E3"/>
    <w:rsid w:val="00A00ACF"/>
    <w:rsid w:val="00B16C75"/>
    <w:rsid w:val="00B21BA5"/>
    <w:rsid w:val="00BA0C67"/>
    <w:rsid w:val="00C94E58"/>
    <w:rsid w:val="00CC4518"/>
    <w:rsid w:val="00D4382D"/>
    <w:rsid w:val="00DF471E"/>
    <w:rsid w:val="00E20260"/>
    <w:rsid w:val="00F05A87"/>
    <w:rsid w:val="00F34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12151"/>
  <w15:chartTrackingRefBased/>
  <w15:docId w15:val="{A06E3CBF-893C-41D9-AF49-80A5C23D0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4E58"/>
    <w:rPr>
      <w:color w:val="808080"/>
    </w:rPr>
  </w:style>
  <w:style w:type="paragraph" w:customStyle="1" w:styleId="MTDisplayEquation">
    <w:name w:val="MTDisplayEquation"/>
    <w:basedOn w:val="Normal"/>
    <w:next w:val="Normal"/>
    <w:link w:val="MTDisplayEquationChar"/>
    <w:rsid w:val="00D4382D"/>
    <w:pPr>
      <w:widowControl/>
      <w:tabs>
        <w:tab w:val="center" w:pos="4160"/>
        <w:tab w:val="right" w:pos="8300"/>
      </w:tabs>
      <w:jc w:val="left"/>
    </w:pPr>
  </w:style>
  <w:style w:type="character" w:customStyle="1" w:styleId="MTDisplayEquationChar">
    <w:name w:val="MTDisplayEquation Char"/>
    <w:basedOn w:val="DefaultParagraphFont"/>
    <w:link w:val="MTDisplayEquation"/>
    <w:rsid w:val="00D43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2.wmf"/><Relationship Id="rId50" Type="http://schemas.openxmlformats.org/officeDocument/2006/relationships/theme" Target="theme/theme1.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20.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8" Type="http://schemas.openxmlformats.org/officeDocument/2006/relationships/oleObject" Target="embeddings/oleObject2.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20" Type="http://schemas.openxmlformats.org/officeDocument/2006/relationships/oleObject" Target="embeddings/oleObject8.bin"/><Relationship Id="rId41" Type="http://schemas.openxmlformats.org/officeDocument/2006/relationships/image" Target="media/image19.wmf"/><Relationship Id="rId1" Type="http://schemas.openxmlformats.org/officeDocument/2006/relationships/customXml" Target="../customXml/item1.xml"/><Relationship Id="rId6"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08D00-9FFF-49F3-AE70-613B273A7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1525</TotalTime>
  <Pages>1</Pages>
  <Words>3087</Words>
  <Characters>17598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Shi</dc:creator>
  <cp:keywords/>
  <dc:description/>
  <cp:lastModifiedBy>Logan Shi</cp:lastModifiedBy>
  <cp:revision>4</cp:revision>
  <dcterms:created xsi:type="dcterms:W3CDTF">2021-11-21T08:37:00Z</dcterms:created>
  <dcterms:modified xsi:type="dcterms:W3CDTF">2021-11-22T10:14:00Z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14601dff-3575-3dc6-9936-2856a1ce1311</vt:lpwstr>
  </property>
  <property fmtid="{D5CDD505-2E9C-101B-9397-08002B2CF9AE}" pid="24" name="Mendeley Citation Style_1">
    <vt:lpwstr>http://www.zotero.org/styles/ieee</vt:lpwstr>
  </property>
  <property fmtid="{D5CDD505-2E9C-101B-9397-08002B2CF9AE}" pid="25" name="MTWinEqns">
    <vt:bool>true</vt:bool>
  </property>
</Properties>
</file>