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0" w:after="0"/>
        <w:jc w:val="center"/>
        <w:rPr>
          <w:color w:val="000000"/>
        </w:rPr>
      </w:pPr>
      <w:r>
        <w:rPr>
          <w:i w:val="false"/>
          <w:iCs w:val="false"/>
          <w:color w:val="000000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spacing w:lineRule="auto" w:line="276" w:before="0" w:after="0"/>
        <w:jc w:val="center"/>
        <w:rPr>
          <w:color w:val="000000"/>
        </w:rPr>
      </w:pPr>
      <w:r>
        <w:rPr>
          <w:i w:val="false"/>
          <w:iCs w:val="false"/>
          <w:color w:val="000000"/>
          <w:sz w:val="28"/>
          <w:szCs w:val="28"/>
        </w:rPr>
        <w:t>Учреждение образования</w:t>
      </w:r>
    </w:p>
    <w:p>
      <w:pPr>
        <w:pStyle w:val="Normal"/>
        <w:spacing w:lineRule="auto" w:line="276" w:before="0" w:after="0"/>
        <w:jc w:val="center"/>
        <w:rPr>
          <w:color w:val="000000"/>
        </w:rPr>
      </w:pPr>
      <w:r>
        <w:rPr>
          <w:i w:val="false"/>
          <w:iCs w:val="false"/>
          <w:color w:val="000000"/>
          <w:sz w:val="28"/>
          <w:szCs w:val="28"/>
        </w:rPr>
        <w:t>«Белорусский государственный университет</w:t>
      </w:r>
    </w:p>
    <w:p>
      <w:pPr>
        <w:pStyle w:val="Normal"/>
        <w:spacing w:lineRule="auto" w:line="276" w:before="0" w:after="0"/>
        <w:jc w:val="center"/>
        <w:rPr>
          <w:color w:val="000000"/>
        </w:rPr>
      </w:pPr>
      <w:r>
        <w:rPr>
          <w:i w:val="false"/>
          <w:iCs w:val="false"/>
          <w:color w:val="000000"/>
          <w:sz w:val="28"/>
          <w:szCs w:val="28"/>
        </w:rPr>
        <w:t>информатики и радиоэлектроники»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/>
          <w:i w:val="false"/>
          <w:i w:val="false"/>
          <w:iCs w:val="false"/>
          <w:color w:val="000000"/>
          <w:sz w:val="28"/>
          <w:szCs w:val="28"/>
        </w:rPr>
      </w:pPr>
      <w:r>
        <w:rPr>
          <w:i w:val="false"/>
          <w:iCs w:val="false"/>
          <w:color w:val="000000"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/>
          <w:i w:val="false"/>
          <w:i w:val="false"/>
          <w:iCs w:val="false"/>
          <w:color w:val="000000"/>
          <w:sz w:val="28"/>
          <w:szCs w:val="28"/>
        </w:rPr>
      </w:pPr>
      <w:r>
        <w:rPr>
          <w:i w:val="false"/>
          <w:iCs w:val="false"/>
          <w:color w:val="000000"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/>
          <w:i w:val="false"/>
          <w:i w:val="false"/>
          <w:iCs w:val="false"/>
          <w:color w:val="000000"/>
          <w:sz w:val="28"/>
          <w:szCs w:val="28"/>
        </w:rPr>
      </w:pPr>
      <w:r>
        <w:rPr>
          <w:i w:val="false"/>
          <w:iCs w:val="false"/>
          <w:color w:val="000000"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/>
          <w:i w:val="false"/>
          <w:i w:val="false"/>
          <w:iCs w:val="false"/>
          <w:color w:val="000000"/>
          <w:sz w:val="28"/>
          <w:szCs w:val="28"/>
        </w:rPr>
      </w:pPr>
      <w:r>
        <w:rPr>
          <w:i w:val="false"/>
          <w:iCs w:val="false"/>
          <w:color w:val="000000"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/>
          <w:i w:val="false"/>
          <w:i w:val="false"/>
          <w:iCs w:val="false"/>
          <w:color w:val="000000"/>
          <w:sz w:val="28"/>
          <w:szCs w:val="28"/>
        </w:rPr>
      </w:pPr>
      <w:r>
        <w:rPr>
          <w:i w:val="false"/>
          <w:iCs w:val="false"/>
          <w:color w:val="000000"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/>
          <w:i w:val="false"/>
          <w:i w:val="false"/>
          <w:iCs w:val="false"/>
          <w:color w:val="000000"/>
          <w:sz w:val="28"/>
          <w:szCs w:val="28"/>
        </w:rPr>
      </w:pPr>
      <w:r>
        <w:rPr>
          <w:i w:val="false"/>
          <w:iCs w:val="false"/>
          <w:color w:val="000000"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/>
          <w:i w:val="false"/>
          <w:i w:val="false"/>
          <w:iCs w:val="false"/>
          <w:color w:val="000000"/>
          <w:sz w:val="28"/>
          <w:szCs w:val="28"/>
        </w:rPr>
      </w:pPr>
      <w:r>
        <w:rPr>
          <w:i w:val="false"/>
          <w:iCs w:val="false"/>
          <w:color w:val="000000"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/>
          <w:i w:val="false"/>
          <w:i w:val="false"/>
          <w:iCs w:val="false"/>
          <w:color w:val="000000"/>
          <w:sz w:val="28"/>
          <w:szCs w:val="28"/>
        </w:rPr>
      </w:pPr>
      <w:r>
        <w:rPr>
          <w:i w:val="false"/>
          <w:iCs w:val="false"/>
          <w:color w:val="000000"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/>
          <w:i w:val="false"/>
          <w:i w:val="false"/>
          <w:iCs w:val="false"/>
          <w:color w:val="000000"/>
          <w:sz w:val="28"/>
          <w:szCs w:val="28"/>
        </w:rPr>
      </w:pPr>
      <w:r>
        <w:rPr>
          <w:i w:val="false"/>
          <w:iCs w:val="false"/>
          <w:color w:val="000000"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 w:eastAsia="Calibri" w:cs="Times New Roman"/>
          <w:b/>
          <w:b/>
          <w:i w:val="false"/>
          <w:i w:val="false"/>
          <w:iCs w:val="false"/>
          <w:color w:val="000000"/>
          <w:kern w:val="0"/>
          <w:sz w:val="28"/>
          <w:szCs w:val="28"/>
          <w:lang w:val="ru-RU" w:eastAsia="en-US" w:bidi="ar-SA"/>
        </w:rPr>
      </w:pPr>
      <w:r>
        <w:rPr>
          <w:rFonts w:eastAsia="Calibri" w:cs="Times New Roman"/>
          <w:b/>
          <w:i w:val="false"/>
          <w:iCs w:val="false"/>
          <w:color w:val="000000"/>
          <w:kern w:val="0"/>
          <w:sz w:val="28"/>
          <w:szCs w:val="28"/>
          <w:lang w:val="ru-RU" w:eastAsia="en-US" w:bidi="ar-SA"/>
        </w:rPr>
        <w:t>РЕФЕРАТ</w:t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/>
          <w:i w:val="false"/>
          <w:i w:val="false"/>
          <w:iCs w:val="false"/>
          <w:color w:val="000000"/>
          <w:sz w:val="28"/>
          <w:szCs w:val="28"/>
        </w:rPr>
      </w:pPr>
      <w:r>
        <w:rPr>
          <w:i w:val="false"/>
          <w:iCs w:val="false"/>
          <w:color w:val="000000"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/>
          <w:i w:val="false"/>
          <w:i w:val="false"/>
          <w:iCs w:val="false"/>
          <w:color w:val="000000"/>
          <w:sz w:val="28"/>
          <w:szCs w:val="28"/>
        </w:rPr>
      </w:pPr>
      <w:r>
        <w:rPr>
          <w:i w:val="false"/>
          <w:iCs w:val="false"/>
          <w:color w:val="000000"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/>
          <w:i w:val="false"/>
          <w:i w:val="false"/>
          <w:iCs w:val="false"/>
          <w:color w:val="000000"/>
          <w:sz w:val="28"/>
          <w:szCs w:val="28"/>
        </w:rPr>
      </w:pPr>
      <w:r>
        <w:rPr>
          <w:i w:val="false"/>
          <w:iCs w:val="false"/>
          <w:color w:val="000000"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/>
          <w:i w:val="false"/>
          <w:i w:val="false"/>
          <w:iCs w:val="false"/>
          <w:color w:val="000000"/>
          <w:sz w:val="28"/>
          <w:szCs w:val="28"/>
        </w:rPr>
      </w:pPr>
      <w:r>
        <w:rPr>
          <w:i w:val="false"/>
          <w:iCs w:val="false"/>
          <w:color w:val="000000"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/>
          <w:i w:val="false"/>
          <w:i w:val="false"/>
          <w:iCs w:val="false"/>
          <w:color w:val="000000"/>
          <w:sz w:val="28"/>
          <w:szCs w:val="28"/>
        </w:rPr>
      </w:pPr>
      <w:r>
        <w:rPr>
          <w:i w:val="false"/>
          <w:iCs w:val="false"/>
          <w:color w:val="000000"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/>
          <w:i w:val="false"/>
          <w:i w:val="false"/>
          <w:iCs w:val="false"/>
          <w:color w:val="000000"/>
          <w:sz w:val="28"/>
          <w:szCs w:val="28"/>
        </w:rPr>
      </w:pPr>
      <w:r>
        <w:rPr>
          <w:i w:val="false"/>
          <w:iCs w:val="false"/>
          <w:color w:val="000000"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/>
          <w:i w:val="false"/>
          <w:i w:val="false"/>
          <w:iCs w:val="false"/>
          <w:color w:val="000000"/>
          <w:sz w:val="28"/>
          <w:szCs w:val="28"/>
        </w:rPr>
      </w:pPr>
      <w:r>
        <w:rPr>
          <w:i w:val="false"/>
          <w:iCs w:val="false"/>
          <w:color w:val="000000"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/>
          <w:i w:val="false"/>
          <w:i w:val="false"/>
          <w:iCs w:val="false"/>
          <w:color w:val="000000"/>
          <w:sz w:val="28"/>
          <w:szCs w:val="28"/>
        </w:rPr>
      </w:pPr>
      <w:r>
        <w:rPr>
          <w:i w:val="false"/>
          <w:iCs w:val="false"/>
          <w:color w:val="000000"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/>
          <w:i w:val="false"/>
          <w:i w:val="false"/>
          <w:iCs w:val="false"/>
          <w:color w:val="000000"/>
          <w:sz w:val="28"/>
          <w:szCs w:val="28"/>
        </w:rPr>
      </w:pPr>
      <w:r>
        <w:rPr>
          <w:i w:val="false"/>
          <w:iCs w:val="false"/>
          <w:color w:val="000000"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/>
          <w:i w:val="false"/>
          <w:i w:val="false"/>
          <w:iCs w:val="false"/>
          <w:color w:val="000000"/>
          <w:sz w:val="28"/>
          <w:szCs w:val="28"/>
        </w:rPr>
      </w:pPr>
      <w:r>
        <w:rPr>
          <w:i w:val="false"/>
          <w:iCs w:val="false"/>
          <w:color w:val="000000"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/>
          <w:i w:val="false"/>
          <w:i w:val="false"/>
          <w:iCs w:val="false"/>
          <w:color w:val="000000"/>
          <w:sz w:val="28"/>
          <w:szCs w:val="28"/>
        </w:rPr>
      </w:pPr>
      <w:r>
        <w:rPr>
          <w:i w:val="false"/>
          <w:iCs w:val="false"/>
          <w:color w:val="000000"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/>
          <w:i w:val="false"/>
          <w:i w:val="false"/>
          <w:iCs w:val="false"/>
          <w:color w:val="000000"/>
          <w:sz w:val="28"/>
          <w:szCs w:val="28"/>
        </w:rPr>
      </w:pPr>
      <w:r>
        <w:rPr>
          <w:i w:val="false"/>
          <w:iCs w:val="false"/>
          <w:color w:val="000000"/>
          <w:sz w:val="28"/>
          <w:szCs w:val="28"/>
        </w:rPr>
      </w:r>
    </w:p>
    <w:p>
      <w:pPr>
        <w:pStyle w:val="Normal"/>
        <w:spacing w:lineRule="auto" w:line="276" w:before="0" w:after="0"/>
        <w:jc w:val="center"/>
        <w:rPr>
          <w:rFonts w:ascii="Times New Roman" w:hAnsi="Times New Roman"/>
          <w:i w:val="false"/>
          <w:i w:val="false"/>
          <w:iCs w:val="false"/>
          <w:color w:val="000000"/>
          <w:sz w:val="28"/>
          <w:szCs w:val="28"/>
        </w:rPr>
      </w:pPr>
      <w:r>
        <w:rPr>
          <w:i w:val="false"/>
          <w:iCs w:val="false"/>
          <w:color w:val="000000"/>
          <w:sz w:val="28"/>
          <w:szCs w:val="28"/>
        </w:rPr>
      </w:r>
    </w:p>
    <w:p>
      <w:pPr>
        <w:pStyle w:val="TextBody"/>
        <w:widowControl/>
        <w:suppressAutoHyphens w:val="false"/>
        <w:overflowPunct w:val="true"/>
        <w:bidi w:val="0"/>
        <w:spacing w:lineRule="auto" w:line="276" w:before="0" w:after="0"/>
        <w:ind w:left="0" w:right="0" w:hanging="0"/>
        <w:jc w:val="center"/>
        <w:rPr>
          <w:color w:val="000000"/>
        </w:rPr>
      </w:pPr>
      <w:r>
        <w:rPr/>
      </w:r>
    </w:p>
    <w:p>
      <w:pPr>
        <w:pStyle w:val="TextBody"/>
        <w:widowControl/>
        <w:suppressAutoHyphens w:val="false"/>
        <w:overflowPunct w:val="true"/>
        <w:bidi w:val="0"/>
        <w:spacing w:lineRule="auto" w:line="276" w:before="0" w:after="0"/>
        <w:ind w:left="0" w:right="0" w:hanging="0"/>
        <w:jc w:val="center"/>
        <w:rPr>
          <w:color w:val="000000"/>
        </w:rPr>
      </w:pPr>
      <w:r>
        <w:rPr/>
      </w:r>
    </w:p>
    <w:p>
      <w:pPr>
        <w:pStyle w:val="TextBody"/>
        <w:widowControl/>
        <w:suppressAutoHyphens w:val="false"/>
        <w:overflowPunct w:val="true"/>
        <w:bidi w:val="0"/>
        <w:spacing w:lineRule="auto" w:line="276" w:before="0" w:after="0"/>
        <w:ind w:left="0" w:right="0" w:hanging="0"/>
        <w:jc w:val="center"/>
        <w:rPr>
          <w:color w:val="000000"/>
        </w:rPr>
      </w:pPr>
      <w:r>
        <w:rPr/>
      </w:r>
    </w:p>
    <w:p>
      <w:pPr>
        <w:pStyle w:val="TextBody"/>
        <w:widowControl/>
        <w:suppressAutoHyphens w:val="false"/>
        <w:overflowPunct w:val="true"/>
        <w:bidi w:val="0"/>
        <w:spacing w:lineRule="auto" w:line="276" w:before="0" w:after="0"/>
        <w:ind w:left="0" w:right="0" w:hanging="0"/>
        <w:jc w:val="center"/>
        <w:rPr>
          <w:color w:val="000000"/>
        </w:rPr>
      </w:pPr>
      <w:r>
        <w:rPr/>
      </w:r>
    </w:p>
    <w:p>
      <w:pPr>
        <w:pStyle w:val="TextBody"/>
        <w:widowControl/>
        <w:suppressAutoHyphens w:val="false"/>
        <w:overflowPunct w:val="true"/>
        <w:bidi w:val="0"/>
        <w:spacing w:lineRule="auto" w:line="276" w:before="0" w:after="0"/>
        <w:ind w:left="0" w:right="0" w:hanging="0"/>
        <w:jc w:val="center"/>
        <w:rPr>
          <w:color w:val="000000"/>
        </w:rPr>
      </w:pPr>
      <w:r>
        <w:rPr/>
      </w:r>
    </w:p>
    <w:p>
      <w:pPr>
        <w:pStyle w:val="TextBody"/>
        <w:widowControl/>
        <w:suppressAutoHyphens w:val="false"/>
        <w:overflowPunct w:val="true"/>
        <w:bidi w:val="0"/>
        <w:spacing w:lineRule="auto" w:line="276" w:before="0" w:after="0"/>
        <w:ind w:left="0" w:right="0" w:hanging="0"/>
        <w:jc w:val="center"/>
        <w:rPr>
          <w:color w:val="000000"/>
        </w:rPr>
      </w:pPr>
      <w:r>
        <w:rPr/>
      </w:r>
    </w:p>
    <w:p>
      <w:pPr>
        <w:pStyle w:val="TextBody"/>
        <w:widowControl/>
        <w:suppressAutoHyphens w:val="false"/>
        <w:overflowPunct w:val="true"/>
        <w:bidi w:val="0"/>
        <w:spacing w:lineRule="auto" w:line="276" w:before="0" w:after="0"/>
        <w:ind w:left="0" w:right="0" w:hanging="0"/>
        <w:jc w:val="center"/>
        <w:rPr>
          <w:color w:val="000000"/>
        </w:rPr>
      </w:pPr>
      <w:r>
        <w:rPr/>
      </w:r>
    </w:p>
    <w:p>
      <w:pPr>
        <w:pStyle w:val="TextBody"/>
        <w:widowControl/>
        <w:suppressAutoHyphens w:val="false"/>
        <w:overflowPunct w:val="true"/>
        <w:bidi w:val="0"/>
        <w:spacing w:lineRule="auto" w:line="276" w:before="0" w:after="0"/>
        <w:ind w:left="0" w:right="0" w:hanging="0"/>
        <w:jc w:val="center"/>
        <w:rPr>
          <w:color w:val="000000"/>
        </w:rPr>
      </w:pPr>
      <w:r>
        <w:rPr/>
      </w:r>
    </w:p>
    <w:p>
      <w:pPr>
        <w:pStyle w:val="TextBody"/>
        <w:widowControl/>
        <w:suppressAutoHyphens w:val="false"/>
        <w:overflowPunct w:val="true"/>
        <w:bidi w:val="0"/>
        <w:spacing w:lineRule="auto" w:line="276" w:before="0" w:after="0"/>
        <w:ind w:left="0" w:right="0" w:hanging="0"/>
        <w:jc w:val="center"/>
        <w:rPr>
          <w:color w:val="000000"/>
        </w:rPr>
      </w:pPr>
      <w:r>
        <w:rPr/>
      </w:r>
    </w:p>
    <w:p>
      <w:pPr>
        <w:pStyle w:val="TextBody"/>
        <w:widowControl/>
        <w:suppressAutoHyphens w:val="false"/>
        <w:overflowPunct w:val="true"/>
        <w:bidi w:val="0"/>
        <w:spacing w:lineRule="auto" w:line="276" w:before="0" w:after="0"/>
        <w:ind w:left="0" w:right="0" w:hanging="0"/>
        <w:jc w:val="center"/>
        <w:rPr>
          <w:color w:val="000000"/>
        </w:rPr>
      </w:pPr>
      <w:r>
        <w:rPr/>
      </w:r>
    </w:p>
    <w:p>
      <w:pPr>
        <w:sectPr>
          <w:footerReference w:type="default" r:id="rId2"/>
          <w:type w:val="nextPage"/>
          <w:pgSz w:w="11906" w:h="16838"/>
          <w:pgMar w:left="1701" w:right="850" w:header="0" w:top="1134" w:footer="964" w:bottom="1530" w:gutter="0"/>
          <w:pgNumType w:fmt="decimal"/>
          <w:formProt w:val="false"/>
          <w:textDirection w:val="lrTb"/>
          <w:docGrid w:type="default" w:linePitch="360" w:charSpace="0"/>
        </w:sectPr>
        <w:pStyle w:val="TextBody"/>
        <w:widowControl/>
        <w:suppressAutoHyphens w:val="false"/>
        <w:overflowPunct w:val="true"/>
        <w:bidi w:val="0"/>
        <w:spacing w:lineRule="auto" w:line="276" w:before="0" w:after="0"/>
        <w:ind w:left="0" w:right="0" w:hanging="0"/>
        <w:jc w:val="center"/>
        <w:rPr>
          <w:color w:val="000000"/>
        </w:rPr>
      </w:pPr>
      <w:r>
        <w:rPr>
          <w:i w:val="false"/>
          <w:iCs w:val="false"/>
          <w:color w:val="000000"/>
          <w:sz w:val="28"/>
          <w:szCs w:val="28"/>
        </w:rPr>
        <w:t xml:space="preserve">Минск </w:t>
      </w:r>
      <w:r>
        <w:rPr>
          <w:rFonts w:eastAsia="Calibri"/>
          <w:i w:val="false"/>
          <w:iCs w:val="false"/>
          <w:color w:val="000000"/>
          <w:sz w:val="28"/>
          <w:szCs w:val="28"/>
          <w:lang w:eastAsia="en-US"/>
        </w:rPr>
        <w:t>2020</w:t>
      </w:r>
    </w:p>
    <w:p>
      <w:pPr>
        <w:pStyle w:val="Heading1"/>
        <w:pageBreakBefore w:val="false"/>
        <w:numPr>
          <w:ilvl w:val="0"/>
          <w:numId w:val="2"/>
        </w:numPr>
        <w:ind w:left="0" w:right="0" w:hanging="0"/>
        <w:jc w:val="center"/>
        <w:rPr>
          <w:color w:val="000000"/>
        </w:rPr>
      </w:pPr>
      <w:bookmarkStart w:id="0" w:name="__RefHeading___Toc848_2552853518"/>
      <w:bookmarkEnd w:id="0"/>
      <w:r>
        <w:rPr>
          <w:color w:val="000000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rPr/>
          </w:pPr>
          <w:r>
            <w:fldChar w:fldCharType="begin"/>
          </w:r>
          <w:r>
            <w:rPr>
              <w:rStyle w:val="IndexLink"/>
            </w:rPr>
            <w:instrText> TOC \f \o "1-9" \h</w:instrText>
          </w:r>
          <w:r>
            <w:rPr>
              <w:rStyle w:val="IndexLink"/>
            </w:rPr>
            <w:fldChar w:fldCharType="separate"/>
          </w:r>
          <w:hyperlink w:anchor="__RefHeading___Toc850_2552853518">
            <w:r>
              <w:rPr>
                <w:rStyle w:val="IndexLink"/>
              </w:rPr>
              <w:t xml:space="preserve"> </w:t>
            </w:r>
            <w:r>
              <w:rPr>
                <w:rStyle w:val="IndexLink"/>
              </w:rPr>
              <w:t xml:space="preserve">1 </w:t>
            </w:r>
            <w:r>
              <w:rPr>
                <w:rStyle w:val="IndexLink"/>
                <w:rFonts w:eastAsia="Calibri" w:cs="Mangal"/>
                <w:color w:val="auto"/>
                <w:kern w:val="0"/>
                <w:sz w:val="28"/>
                <w:szCs w:val="22"/>
                <w:lang w:val="ru-RU" w:eastAsia="en-US" w:bidi="ar-SA"/>
              </w:rPr>
              <w:t>Информация о компании</w:t>
            </w:r>
            <w:r>
              <w:rPr>
                <w:rStyle w:val="IndexLink"/>
              </w:rPr>
              <w:tab/>
              <w:t>4</w:t>
            </w:r>
          </w:hyperlink>
        </w:p>
        <w:p>
          <w:pPr>
            <w:pStyle w:val="Contents1"/>
            <w:rPr/>
          </w:pPr>
          <w:hyperlink w:anchor="__RefHeading___Toc852_2552853518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 xml:space="preserve">2 </w:t>
            </w:r>
            <w:r>
              <w:rPr>
                <w:rStyle w:val="IndexLink"/>
                <w:rFonts w:eastAsia="Calibri" w:cs="Mangal"/>
                <w:color w:val="auto"/>
                <w:kern w:val="0"/>
                <w:sz w:val="28"/>
                <w:szCs w:val="22"/>
                <w:lang w:val="ru-RU" w:eastAsia="en-US" w:bidi="ar-SA"/>
              </w:rPr>
              <w:t>Методы разработки программного обеспечения различного</w:t>
              <w:br/>
              <w:t>функционального назначения</w:t>
            </w:r>
            <w:r>
              <w:rPr>
                <w:rStyle w:val="IndexLink"/>
              </w:rPr>
              <w:tab/>
              <w:t>5</w:t>
            </w:r>
          </w:hyperlink>
        </w:p>
        <w:p>
          <w:pPr>
            <w:pStyle w:val="Contents2"/>
            <w:rPr/>
          </w:pPr>
          <w:hyperlink w:anchor="__RefHeading___Toc461_2430875167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2.1 Обзор методологий разработки ПО</w:t>
              <w:tab/>
              <w:t>5</w:t>
            </w:r>
          </w:hyperlink>
        </w:p>
        <w:p>
          <w:pPr>
            <w:pStyle w:val="Contents2"/>
            <w:rPr/>
          </w:pPr>
          <w:hyperlink w:anchor="__RefHeading___Toc463_2430875167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 xml:space="preserve">2.2 </w:t>
            </w:r>
            <w:r>
              <w:rPr>
                <w:rStyle w:val="IndexLink"/>
                <w:i w:val="false"/>
              </w:rPr>
              <w:t>Методы разработки ПО в компании Itransition</w:t>
            </w:r>
            <w:r>
              <w:rPr>
                <w:rStyle w:val="IndexLink"/>
              </w:rPr>
              <w:tab/>
              <w:t>6</w:t>
            </w:r>
          </w:hyperlink>
        </w:p>
        <w:p>
          <w:pPr>
            <w:pStyle w:val="Contents1"/>
            <w:rPr/>
          </w:pPr>
          <w:hyperlink w:anchor="__RefHeading___Toc854_2552853518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 xml:space="preserve">3 </w:t>
            </w:r>
            <w:r>
              <w:rPr>
                <w:rStyle w:val="IndexLink"/>
                <w:rFonts w:eastAsia="Calibri" w:cs="Mangal"/>
                <w:color w:val="auto"/>
                <w:kern w:val="0"/>
                <w:sz w:val="28"/>
                <w:szCs w:val="22"/>
                <w:lang w:val="ru-RU" w:eastAsia="en-US" w:bidi="ar-SA"/>
              </w:rPr>
              <w:t>Защита программного обеспечения от воздействия внешних угроз</w:t>
            </w:r>
            <w:r>
              <w:rPr>
                <w:rStyle w:val="IndexLink"/>
              </w:rPr>
              <w:tab/>
              <w:t>8</w:t>
            </w:r>
          </w:hyperlink>
        </w:p>
        <w:p>
          <w:pPr>
            <w:pStyle w:val="Contents2"/>
            <w:rPr/>
          </w:pPr>
          <w:hyperlink w:anchor="__RefHeading___Toc856_2552853518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3.1 Классификация уязвимостей по местоположению</w:t>
              <w:tab/>
              <w:t>8</w:t>
            </w:r>
          </w:hyperlink>
        </w:p>
        <w:p>
          <w:pPr>
            <w:pStyle w:val="Contents2"/>
            <w:rPr/>
          </w:pPr>
          <w:hyperlink w:anchor="__RefHeading___Toc858_2552853518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3.2 Классификация уязвимостей по причине возникновения</w:t>
              <w:tab/>
              <w:t>9</w:t>
            </w:r>
          </w:hyperlink>
        </w:p>
        <w:p>
          <w:pPr>
            <w:pStyle w:val="Contents2"/>
            <w:rPr/>
          </w:pPr>
          <w:hyperlink w:anchor="__RefHeading___Toc860_2552853518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3.3 Меры по предотвращению уязвимостей</w:t>
              <w:tab/>
              <w:t>10</w:t>
            </w:r>
          </w:hyperlink>
        </w:p>
        <w:p>
          <w:pPr>
            <w:pStyle w:val="Contents1"/>
            <w:rPr/>
          </w:pPr>
          <w:hyperlink w:anchor="__RefHeading___Toc862_2552853518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  <w:i w:val="false"/>
                <w:iCs w:val="false"/>
              </w:rPr>
              <w:t xml:space="preserve">4 </w:t>
            </w:r>
            <w:r>
              <w:rPr>
                <w:rStyle w:val="IndexLink"/>
                <w:rFonts w:eastAsia="Calibri" w:cs="Mangal"/>
                <w:i w:val="false"/>
                <w:iCs w:val="false"/>
                <w:color w:val="auto"/>
                <w:kern w:val="0"/>
                <w:sz w:val="28"/>
                <w:szCs w:val="22"/>
                <w:lang w:val="ru-RU" w:eastAsia="en-US" w:bidi="ar-SA"/>
              </w:rPr>
              <w:t>Программное обеспечение, используемое в компании</w:t>
            </w:r>
            <w:r>
              <w:rPr>
                <w:rStyle w:val="IndexLink"/>
              </w:rPr>
              <w:tab/>
              <w:t>11</w:t>
            </w:r>
          </w:hyperlink>
        </w:p>
        <w:p>
          <w:pPr>
            <w:pStyle w:val="Contents2"/>
            <w:rPr/>
          </w:pPr>
          <w:hyperlink w:anchor="__RefHeading___Toc864_2552853518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  <w:i w:val="false"/>
                <w:iCs w:val="false"/>
              </w:rPr>
              <w:t>4.1 ПО для разработки документации</w:t>
            </w:r>
            <w:r>
              <w:rPr>
                <w:rStyle w:val="IndexLink"/>
              </w:rPr>
              <w:tab/>
              <w:t>11</w:t>
            </w:r>
          </w:hyperlink>
        </w:p>
        <w:p>
          <w:pPr>
            <w:pStyle w:val="Contents2"/>
            <w:rPr/>
          </w:pPr>
          <w:hyperlink w:anchor="__RefHeading___Toc866_2552853518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  <w:i w:val="false"/>
                <w:iCs w:val="false"/>
              </w:rPr>
              <w:t>4.2 ПО для разработки программного продукта</w:t>
            </w:r>
            <w:r>
              <w:rPr>
                <w:rStyle w:val="IndexLink"/>
              </w:rPr>
              <w:tab/>
              <w:t>12</w:t>
            </w:r>
          </w:hyperlink>
        </w:p>
        <w:p>
          <w:pPr>
            <w:pStyle w:val="Contents2"/>
            <w:rPr/>
          </w:pPr>
          <w:hyperlink w:anchor="__RefHeading___Toc5048_3022863468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4.3 ПО для корпоративной коммуникации</w:t>
              <w:tab/>
              <w:t>14</w:t>
            </w:r>
          </w:hyperlink>
        </w:p>
        <w:p>
          <w:pPr>
            <w:pStyle w:val="Contents2"/>
            <w:rPr/>
          </w:pPr>
          <w:hyperlink w:anchor="__RefHeading___Toc870_2552853518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  <w:i w:val="false"/>
                <w:iCs w:val="false"/>
              </w:rPr>
              <w:t>4.4 ПО для управления проектами</w:t>
            </w:r>
            <w:r>
              <w:rPr>
                <w:rStyle w:val="IndexLink"/>
              </w:rPr>
              <w:tab/>
              <w:t>14</w:t>
            </w:r>
          </w:hyperlink>
        </w:p>
        <w:p>
          <w:pPr>
            <w:pStyle w:val="Contents1"/>
            <w:rPr/>
          </w:pPr>
          <w:hyperlink w:anchor="__RefHeading___Toc465_2430875167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 xml:space="preserve">5 </w:t>
            </w:r>
            <w:r>
              <w:rPr>
                <w:rStyle w:val="IndexLink"/>
                <w:rFonts w:eastAsia="Calibri" w:cs="Mangal"/>
                <w:color w:val="auto"/>
                <w:kern w:val="0"/>
                <w:sz w:val="28"/>
                <w:szCs w:val="22"/>
                <w:lang w:val="ru-RU" w:eastAsia="en-US" w:bidi="ar-SA"/>
              </w:rPr>
              <w:t>Требования ЕСПД, ГОСТ</w:t>
            </w:r>
            <w:r>
              <w:rPr>
                <w:rStyle w:val="IndexLink"/>
              </w:rPr>
              <w:t>, ISO, IEEE для оформления программной</w:t>
              <w:br/>
              <w:t>документации</w:t>
              <w:tab/>
              <w:t>15</w:t>
            </w:r>
          </w:hyperlink>
        </w:p>
        <w:p>
          <w:pPr>
            <w:pStyle w:val="Contents2"/>
            <w:rPr/>
          </w:pPr>
          <w:hyperlink w:anchor="__RefHeading___Toc467_2430875167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5.1 Требования ЕСПД и ГОСТ для оформления документации</w:t>
              <w:tab/>
              <w:t>15</w:t>
            </w:r>
          </w:hyperlink>
        </w:p>
        <w:p>
          <w:pPr>
            <w:pStyle w:val="Contents2"/>
            <w:rPr/>
          </w:pPr>
          <w:hyperlink w:anchor="__RefHeading___Toc471_2430875167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 xml:space="preserve">5.2 Требования </w:t>
            </w:r>
            <w:r>
              <w:rPr>
                <w:rStyle w:val="IndexLink"/>
                <w:i w:val="false"/>
              </w:rPr>
              <w:t>ISO и IEEE</w:t>
            </w:r>
            <w:r>
              <w:rPr>
                <w:rStyle w:val="IndexLink"/>
              </w:rPr>
              <w:t xml:space="preserve"> для оформления документации</w:t>
              <w:tab/>
              <w:t>16</w:t>
            </w:r>
          </w:hyperlink>
        </w:p>
        <w:p>
          <w:pPr>
            <w:pStyle w:val="Contents1"/>
            <w:rPr/>
          </w:pPr>
          <w:hyperlink w:anchor="__RefHeading___Toc473_2430875167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 xml:space="preserve">6 </w:t>
            </w:r>
            <w:r>
              <w:rPr>
                <w:rStyle w:val="IndexLink"/>
                <w:i w:val="false"/>
              </w:rPr>
              <w:t>Анализ</w:t>
            </w:r>
            <w:r>
              <w:rPr>
                <w:rStyle w:val="IndexLink"/>
              </w:rPr>
              <w:t xml:space="preserve"> программной документации</w:t>
              <w:tab/>
              <w:t>18</w:t>
            </w:r>
          </w:hyperlink>
        </w:p>
        <w:p>
          <w:pPr>
            <w:pStyle w:val="Contents2"/>
            <w:rPr/>
          </w:pPr>
          <w:hyperlink w:anchor="__RefHeading___Toc475_2430875167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6.1 Техническое задание на разработку программного продукта</w:t>
              <w:tab/>
              <w:t>18</w:t>
            </w:r>
          </w:hyperlink>
        </w:p>
        <w:p>
          <w:pPr>
            <w:pStyle w:val="Contents2"/>
            <w:rPr/>
          </w:pPr>
          <w:hyperlink w:anchor="__RefHeading___Toc477_2430875167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6.2 Графическая документация к программному продукту</w:t>
              <w:tab/>
              <w:t>18</w:t>
            </w:r>
          </w:hyperlink>
        </w:p>
        <w:p>
          <w:pPr>
            <w:pStyle w:val="Contents1"/>
            <w:rPr/>
          </w:pPr>
          <w:hyperlink w:anchor="__RefHeading___Toc872_2552853518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  <w:rFonts w:eastAsia="Calibri" w:cs="Mangal"/>
                <w:color w:val="auto"/>
                <w:kern w:val="0"/>
                <w:sz w:val="28"/>
                <w:szCs w:val="22"/>
                <w:lang w:val="ru-RU" w:eastAsia="en-US" w:bidi="ar-SA"/>
              </w:rPr>
              <w:t>Заключение</w:t>
            </w:r>
            <w:r>
              <w:rPr>
                <w:rStyle w:val="IndexLink"/>
              </w:rPr>
              <w:tab/>
              <w:t>20</w:t>
            </w:r>
          </w:hyperlink>
        </w:p>
        <w:p>
          <w:pPr>
            <w:pStyle w:val="Contents1"/>
            <w:rPr/>
          </w:pPr>
          <w:hyperlink w:anchor="__RefHeading___Toc479_2430875167">
            <w:r>
              <w:rPr>
                <w:rStyle w:val="IndexLink"/>
              </w:rPr>
              <w:t xml:space="preserve">​ </w:t>
            </w:r>
            <w:r>
              <w:rPr>
                <w:rStyle w:val="IndexLink"/>
              </w:rPr>
              <w:t>С</w:t>
            </w:r>
            <w:r>
              <w:rPr>
                <w:rStyle w:val="IndexLink"/>
                <w:rFonts w:eastAsia="Calibri" w:cs="Mangal"/>
                <w:color w:val="auto"/>
                <w:kern w:val="0"/>
                <w:sz w:val="28"/>
                <w:szCs w:val="22"/>
                <w:lang w:val="ru-RU" w:eastAsia="en-US" w:bidi="ar-SA"/>
              </w:rPr>
              <w:t xml:space="preserve">писок </w:t>
            </w:r>
            <w:r>
              <w:rPr>
                <w:rStyle w:val="IndexLink"/>
              </w:rPr>
              <w:t>использованных источников</w:t>
              <w:tab/>
              <w:t>21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TextBody"/>
        <w:ind w:left="0" w:right="0" w:hanging="0"/>
        <w:jc w:val="center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Heading1"/>
        <w:numPr>
          <w:ilvl w:val="0"/>
          <w:numId w:val="2"/>
        </w:numPr>
        <w:ind w:left="935" w:right="0" w:hanging="227"/>
        <w:rPr>
          <w:color w:val="000000"/>
        </w:rPr>
      </w:pPr>
      <w:bookmarkStart w:id="1" w:name="__RefHeading___Toc850_2552853518"/>
      <w:bookmarkEnd w:id="1"/>
      <w:r>
        <w:rPr>
          <w:color w:val="000000"/>
        </w:rPr>
        <w:t xml:space="preserve">1 </w:t>
      </w:r>
      <w:r>
        <w:rPr>
          <w:color w:val="000000"/>
        </w:rPr>
        <w:t>ОБЩие положения</w:t>
      </w:r>
    </w:p>
    <w:p>
      <w:pPr>
        <w:pStyle w:val="Heading2"/>
        <w:ind w:left="1134" w:right="0" w:hanging="425"/>
        <w:rPr>
          <w:color w:val="000000"/>
        </w:rPr>
      </w:pPr>
      <w:r>
        <w:rPr/>
        <w:t xml:space="preserve">1.1 </w:t>
      </w:r>
      <w:r>
        <w:rPr/>
        <w:t>Назначение концепции информационной безопасности</w:t>
      </w:r>
    </w:p>
    <w:p>
      <w:pPr>
        <w:pStyle w:val="TextBody"/>
        <w:rPr>
          <w:color w:val="000000"/>
        </w:rPr>
      </w:pPr>
      <w:r>
        <w:rPr/>
      </w:r>
    </w:p>
    <w:p>
      <w:pPr>
        <w:pStyle w:val="TextBody"/>
        <w:rPr>
          <w:color w:val="000000"/>
        </w:rPr>
      </w:pPr>
      <w:r>
        <w:rPr/>
      </w:r>
    </w:p>
    <w:p>
      <w:pPr>
        <w:pStyle w:val="Heading2"/>
        <w:ind w:left="1134" w:right="0" w:hanging="425"/>
        <w:rPr>
          <w:color w:val="000000"/>
        </w:rPr>
      </w:pPr>
      <w:r>
        <w:rPr/>
        <w:t>1.2 Цели и задачи системы информационной безопасности</w:t>
      </w:r>
    </w:p>
    <w:p>
      <w:pPr>
        <w:pStyle w:val="TextBody"/>
        <w:rPr>
          <w:color w:val="000000"/>
        </w:rPr>
      </w:pPr>
      <w:r>
        <w:rPr/>
      </w:r>
      <w:r>
        <w:br w:type="page"/>
      </w:r>
    </w:p>
    <w:p>
      <w:pPr>
        <w:pStyle w:val="Heading1"/>
        <w:ind w:left="935" w:right="0" w:hanging="227"/>
        <w:rPr/>
      </w:pPr>
      <w:r>
        <w:rPr/>
        <w:t>2 Проблемная ситуация в сфере</w:t>
        <w:br/>
        <w:t>информационной безопасности</w:t>
      </w:r>
    </w:p>
    <w:p>
      <w:pPr>
        <w:pStyle w:val="Heading2"/>
        <w:ind w:left="1134" w:right="0" w:hanging="425"/>
        <w:rPr/>
      </w:pPr>
      <w:r>
        <w:rPr/>
        <w:t>2.1 Объекты информационной безопасности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ind w:left="1134" w:right="0" w:hanging="425"/>
        <w:rPr/>
      </w:pPr>
      <w:r>
        <w:rPr/>
        <w:t>2.2 Определение вероятного нарушителя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keepNext w:val="true"/>
        <w:widowControl/>
        <w:suppressAutoHyphens w:val="false"/>
        <w:overflowPunct w:val="true"/>
        <w:bidi w:val="0"/>
        <w:spacing w:lineRule="auto" w:line="276" w:before="0" w:after="280"/>
        <w:ind w:left="1162" w:right="0" w:hanging="454"/>
        <w:jc w:val="left"/>
        <w:outlineLvl w:val="1"/>
        <w:rPr/>
      </w:pPr>
      <w:r>
        <w:rPr/>
        <w:t>2.3 Описание особенностей (профиля) каждой из групп вероятн</w:t>
      </w:r>
      <w:r>
        <w:rPr/>
        <w:t xml:space="preserve">ых </w:t>
      </w:r>
      <w:r>
        <w:rPr/>
        <w:t>нарушителей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ind w:left="1134" w:right="0" w:hanging="425"/>
        <w:rPr/>
      </w:pPr>
      <w:r>
        <w:rPr/>
        <w:t>2.4 Основные виды угроз информационной безопасности</w:t>
        <w:br/>
        <w:t>предприятия</w:t>
      </w:r>
    </w:p>
    <w:p>
      <w:pPr>
        <w:pStyle w:val="TextBody"/>
        <w:rPr/>
      </w:pPr>
      <w:r>
        <w:rPr/>
        <w:t xml:space="preserve">– </w:t>
      </w:r>
      <w:r>
        <w:rPr/>
        <w:t>Классификации угроз.</w:t>
      </w:r>
    </w:p>
    <w:p>
      <w:pPr>
        <w:pStyle w:val="TextBody"/>
        <w:rPr/>
      </w:pPr>
      <w:r>
        <w:rPr/>
        <w:t xml:space="preserve">– </w:t>
      </w:r>
      <w:r>
        <w:rPr/>
        <w:t>Основные непреднамеренные искусственные угрозы.</w:t>
      </w:r>
    </w:p>
    <w:p>
      <w:pPr>
        <w:pStyle w:val="TextBody"/>
        <w:rPr/>
      </w:pPr>
      <w:r>
        <w:rPr/>
        <w:t xml:space="preserve">– </w:t>
      </w:r>
      <w:r>
        <w:rPr/>
        <w:t>Основные преднамеренные искусственные угрозы.</w:t>
      </w:r>
    </w:p>
    <w:p>
      <w:pPr>
        <w:pStyle w:val="TextBody"/>
        <w:rPr/>
      </w:pPr>
      <w:r>
        <w:rPr/>
      </w:r>
    </w:p>
    <w:p>
      <w:pPr>
        <w:pStyle w:val="Heading2"/>
        <w:ind w:left="1134" w:right="0" w:hanging="425"/>
        <w:rPr/>
      </w:pPr>
      <w:r>
        <w:rPr/>
        <w:t>2.5 Общестатистическая информация по искусственным</w:t>
        <w:br/>
        <w:t>нарушениям информационной безопасности</w:t>
      </w:r>
    </w:p>
    <w:p>
      <w:pPr>
        <w:pStyle w:val="Heading2"/>
        <w:ind w:left="1134" w:right="0" w:hanging="425"/>
        <w:rPr/>
      </w:pPr>
      <w:r>
        <w:rPr/>
        <w:t>2.6 Оценка потенциального ущерба от реализации угрозы</w:t>
      </w:r>
    </w:p>
    <w:p>
      <w:pPr>
        <w:pStyle w:val="Heading1"/>
        <w:widowControl/>
        <w:numPr>
          <w:ilvl w:val="0"/>
          <w:numId w:val="0"/>
        </w:numPr>
        <w:suppressAutoHyphens w:val="false"/>
        <w:overflowPunct w:val="true"/>
        <w:spacing w:lineRule="auto" w:line="276"/>
        <w:ind w:left="935" w:right="0" w:hanging="227"/>
        <w:jc w:val="left"/>
        <w:outlineLvl w:val="0"/>
        <w:rPr/>
      </w:pPr>
      <w:r>
        <w:rPr/>
      </w:r>
      <w:r>
        <w:br w:type="page"/>
      </w:r>
    </w:p>
    <w:p>
      <w:pPr>
        <w:pStyle w:val="Heading1"/>
        <w:ind w:left="935" w:right="0" w:hanging="227"/>
        <w:rPr/>
      </w:pPr>
      <w:r>
        <w:rPr/>
        <w:t>3 Механизмы обеспечения информационно</w:t>
      </w:r>
      <w:r>
        <w:rPr/>
        <w:t>Й</w:t>
      </w:r>
      <w:r>
        <w:rPr/>
        <w:t xml:space="preserve"> безопасности предприятия</w:t>
      </w:r>
    </w:p>
    <w:p>
      <w:pPr>
        <w:pStyle w:val="Heading2"/>
        <w:ind w:left="1134" w:right="0" w:hanging="425"/>
        <w:rPr/>
      </w:pPr>
      <w:r>
        <w:rPr/>
        <w:t>3.1 Принципы, условия и требования к организации и</w:t>
        <w:br/>
        <w:t>функционированию системы информационной безопасности.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ind w:left="1134" w:right="0" w:hanging="425"/>
        <w:rPr/>
      </w:pPr>
      <w:r>
        <w:rPr/>
        <w:t>3.2 Основные направления политики в сфере информационной</w:t>
        <w:br/>
        <w:t>безопасности.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ind w:left="1134" w:right="0" w:hanging="425"/>
        <w:rPr/>
      </w:pPr>
      <w:r>
        <w:rPr/>
        <w:t>3.3 Планирование мероприятий по обеспечению информационно</w:t>
      </w:r>
      <w:r>
        <w:rPr/>
        <w:t>й</w:t>
        <w:br/>
      </w:r>
      <w:r>
        <w:rPr/>
        <w:t>безопасности предприятия.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2"/>
        <w:ind w:left="1134" w:right="0" w:hanging="425"/>
        <w:rPr/>
      </w:pPr>
      <w:r>
        <w:rPr/>
        <w:t>3.4 Критерии и показатели информационной безопасности</w:t>
        <w:br/>
        <w:t>предприятия.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Heading1"/>
        <w:ind w:left="935" w:right="0" w:hanging="227"/>
        <w:rPr/>
      </w:pPr>
      <w:r>
        <w:rPr/>
        <w:t>4. Мероприятия по реализации мер</w:t>
        <w:br/>
        <w:t>информационной безопасности предприятия</w:t>
      </w:r>
    </w:p>
    <w:p>
      <w:pPr>
        <w:pStyle w:val="Heading2"/>
        <w:ind w:left="1134" w:right="0" w:hanging="425"/>
        <w:rPr/>
      </w:pPr>
      <w:r>
        <w:rPr/>
        <w:t>4.1 Организационное обеспечение информационной безопасности</w:t>
      </w:r>
    </w:p>
    <w:p>
      <w:pPr>
        <w:pStyle w:val="TextBody"/>
        <w:rPr/>
      </w:pPr>
      <w:r>
        <w:rPr/>
        <w:t xml:space="preserve">– </w:t>
      </w:r>
      <w:r>
        <w:rPr/>
        <w:t>Задачи организационного обеспечения информационной безопасности.</w:t>
      </w:r>
    </w:p>
    <w:p>
      <w:pPr>
        <w:pStyle w:val="TextBody"/>
        <w:rPr/>
      </w:pPr>
      <w:r>
        <w:rPr/>
        <w:t xml:space="preserve">– </w:t>
      </w:r>
      <w:r>
        <w:rPr/>
        <w:t>Подразделения, занятые в обеспечении информационной безопасности.</w:t>
      </w:r>
    </w:p>
    <w:p>
      <w:pPr>
        <w:pStyle w:val="TextBody"/>
        <w:rPr/>
      </w:pPr>
      <w:r>
        <w:rPr/>
        <w:t xml:space="preserve">– </w:t>
      </w:r>
      <w:r>
        <w:rPr/>
        <w:t>Взаимодействие подразделений, занятых в обеспечении информационной</w:t>
      </w:r>
    </w:p>
    <w:p>
      <w:pPr>
        <w:pStyle w:val="TextBody"/>
        <w:rPr/>
      </w:pPr>
      <w:r>
        <w:rPr/>
        <w:t>безопасности.</w:t>
      </w:r>
    </w:p>
    <w:p>
      <w:pPr>
        <w:pStyle w:val="TextBody"/>
        <w:rPr/>
      </w:pPr>
      <w:r>
        <w:rPr/>
      </w:r>
    </w:p>
    <w:p>
      <w:pPr>
        <w:pStyle w:val="Heading2"/>
        <w:ind w:left="1134" w:right="0" w:hanging="425"/>
        <w:rPr/>
      </w:pPr>
      <w:r>
        <w:rPr/>
        <w:t>4.2 Техническое обеспечение информационной безопасности</w:t>
        <w:br/>
        <w:t>предприятия</w:t>
      </w:r>
    </w:p>
    <w:p>
      <w:pPr>
        <w:pStyle w:val="TextBody"/>
        <w:rPr/>
      </w:pPr>
      <w:r>
        <w:rPr/>
        <w:t xml:space="preserve">– </w:t>
      </w:r>
      <w:r>
        <w:rPr/>
        <w:t>Общие положения.</w:t>
      </w:r>
    </w:p>
    <w:p>
      <w:pPr>
        <w:pStyle w:val="TextBody"/>
        <w:rPr/>
      </w:pPr>
      <w:r>
        <w:rPr/>
        <w:t xml:space="preserve">– </w:t>
      </w:r>
      <w:r>
        <w:rPr/>
        <w:t>Защита информационных ресурсов от несанкционированного доступа.</w:t>
      </w:r>
    </w:p>
    <w:p>
      <w:pPr>
        <w:pStyle w:val="TextBody"/>
        <w:rPr/>
      </w:pPr>
      <w:r>
        <w:rPr/>
        <w:t xml:space="preserve">– </w:t>
      </w:r>
      <w:r>
        <w:rPr/>
        <w:t>Средства комплексной защиты от потенциальных угроз.</w:t>
      </w:r>
    </w:p>
    <w:p>
      <w:pPr>
        <w:pStyle w:val="TextBody"/>
        <w:rPr/>
      </w:pPr>
      <w:r>
        <w:rPr/>
        <w:t xml:space="preserve">– </w:t>
      </w:r>
      <w:r>
        <w:rPr/>
        <w:t>Обеспечение качества в системе безопасности.</w:t>
      </w:r>
    </w:p>
    <w:p>
      <w:pPr>
        <w:pStyle w:val="TextBody"/>
        <w:rPr/>
      </w:pPr>
      <w:r>
        <w:rPr/>
        <w:t xml:space="preserve">– </w:t>
      </w:r>
      <w:r>
        <w:rPr/>
        <w:t>Принципы организации работ обслуживающего персонала.</w:t>
      </w:r>
    </w:p>
    <w:p>
      <w:pPr>
        <w:pStyle w:val="Heading2"/>
        <w:ind w:left="1134" w:right="0" w:hanging="425"/>
        <w:rPr/>
      </w:pPr>
      <w:r>
        <w:rPr/>
        <w:t>4.3 Правовое обеспечение информационной безопасности</w:t>
        <w:br/>
        <w:t>предприятия</w:t>
      </w:r>
    </w:p>
    <w:p>
      <w:pPr>
        <w:pStyle w:val="TextBody"/>
        <w:rPr/>
      </w:pPr>
      <w:r>
        <w:rPr/>
        <w:t xml:space="preserve">– </w:t>
      </w:r>
      <w:r>
        <w:rPr/>
        <w:t>Правовое обеспечение юридических отношений с работниками</w:t>
      </w:r>
    </w:p>
    <w:p>
      <w:pPr>
        <w:pStyle w:val="TextBody"/>
        <w:rPr/>
      </w:pPr>
      <w:r>
        <w:rPr/>
        <w:t>предприятия.</w:t>
      </w:r>
    </w:p>
    <w:p>
      <w:pPr>
        <w:pStyle w:val="TextBody"/>
        <w:rPr/>
      </w:pPr>
      <w:r>
        <w:rPr/>
        <w:t xml:space="preserve">– </w:t>
      </w:r>
      <w:r>
        <w:rPr/>
        <w:t>Правовое обеспечение юридических отношений с партнерами</w:t>
      </w:r>
    </w:p>
    <w:p>
      <w:pPr>
        <w:pStyle w:val="TextBody"/>
        <w:rPr/>
      </w:pPr>
      <w:r>
        <w:rPr/>
        <w:t>предприятия.</w:t>
      </w:r>
    </w:p>
    <w:p>
      <w:pPr>
        <w:pStyle w:val="TextBody"/>
        <w:rPr/>
      </w:pPr>
      <w:r>
        <w:rPr/>
        <w:t xml:space="preserve">– </w:t>
      </w:r>
      <w:r>
        <w:rPr/>
        <w:t>Правовое обеспечение применения электронной цифровой подписи.</w:t>
      </w:r>
      <w:r>
        <w:br w:type="page"/>
      </w:r>
    </w:p>
    <w:p>
      <w:pPr>
        <w:pStyle w:val="Heading1"/>
        <w:ind w:left="935" w:right="0" w:hanging="227"/>
        <w:rPr/>
      </w:pPr>
      <w:r>
        <w:rPr/>
        <w:t>5 Оценка эффективности системы</w:t>
        <w:br/>
        <w:t>информационной безопасности предприятия</w:t>
      </w:r>
      <w:r>
        <w:br w:type="page"/>
      </w:r>
    </w:p>
    <w:p>
      <w:pPr>
        <w:pStyle w:val="Heading1"/>
        <w:ind w:left="0" w:right="0" w:hanging="0"/>
        <w:jc w:val="center"/>
        <w:rPr/>
      </w:pPr>
      <w:bookmarkStart w:id="2" w:name="__RefHeading___Toc479_2430875167"/>
      <w:bookmarkEnd w:id="2"/>
      <w:r>
        <w:rPr/>
        <w:t>СПИСОК использованных источников</w:t>
      </w:r>
    </w:p>
    <w:p>
      <w:pPr>
        <w:pStyle w:val="TextBody"/>
        <w:jc w:val="left"/>
        <w:rPr/>
      </w:pPr>
      <w:r>
        <w:rPr>
          <w:rStyle w:val="InternetLink"/>
          <w:rFonts w:cs="Times New Roman"/>
          <w:color w:val="000000"/>
          <w:sz w:val="28"/>
          <w:szCs w:val="28"/>
          <w:u w:val="none"/>
        </w:rPr>
        <w:t xml:space="preserve">[1] </w:t>
      </w:r>
      <w:r>
        <w:rPr>
          <w:rStyle w:val="InternetLink"/>
          <w:rFonts w:cs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u w:val="none"/>
        </w:rPr>
        <w:t xml:space="preserve">О нас | Itransition Software Development Company </w:t>
      </w:r>
      <w:r>
        <w:rPr>
          <w:rStyle w:val="InternetLink"/>
          <w:rFonts w:cs="Times New Roman"/>
          <w:color w:val="000000"/>
          <w:sz w:val="28"/>
          <w:szCs w:val="28"/>
          <w:u w:val="none"/>
        </w:rPr>
        <w:t xml:space="preserve">// </w:t>
      </w:r>
      <w:r>
        <w:rPr>
          <w:rStyle w:val="InternetLink"/>
          <w:rFonts w:eastAsia="Calibri" w:cs="Times New Roman"/>
          <w:color w:val="000000"/>
          <w:kern w:val="0"/>
          <w:sz w:val="28"/>
          <w:szCs w:val="28"/>
          <w:u w:val="none"/>
          <w:lang w:val="ru-RU" w:eastAsia="en-US" w:bidi="ar-SA"/>
        </w:rPr>
        <w:t xml:space="preserve">Itransition </w:t>
      </w:r>
      <w:r>
        <w:rPr>
          <w:rStyle w:val="InternetLink"/>
          <w:rFonts w:cs="Times New Roman"/>
          <w:color w:val="000000"/>
          <w:sz w:val="28"/>
          <w:szCs w:val="28"/>
          <w:u w:val="none"/>
        </w:rPr>
        <w:t xml:space="preserve">[Электронный ресурс]. – </w:t>
      </w:r>
      <w:r>
        <w:rPr>
          <w:rStyle w:val="InternetLink"/>
          <w:rFonts w:eastAsia="Calibri" w:cs="Times New Roman"/>
          <w:color w:val="000000"/>
          <w:kern w:val="0"/>
          <w:sz w:val="28"/>
          <w:szCs w:val="28"/>
          <w:u w:val="none"/>
          <w:lang w:val="ru-RU" w:eastAsia="en-US" w:bidi="ar-SA"/>
        </w:rPr>
        <w:t>2020</w:t>
      </w:r>
      <w:r>
        <w:rPr>
          <w:rStyle w:val="InternetLink"/>
          <w:rFonts w:cs="Times New Roman"/>
          <w:color w:val="000000"/>
          <w:sz w:val="28"/>
          <w:szCs w:val="28"/>
          <w:u w:val="none"/>
        </w:rPr>
        <w:t xml:space="preserve">. – Режим доступа: </w:t>
      </w:r>
      <w:r>
        <w:rPr>
          <w:rStyle w:val="InternetLink"/>
          <w:color w:val="000000"/>
          <w:u w:val="none"/>
        </w:rPr>
        <w:t>https://itransition.by/about</w:t>
      </w:r>
    </w:p>
    <w:p>
      <w:pPr>
        <w:pStyle w:val="TextBody"/>
        <w:jc w:val="left"/>
        <w:rPr>
          <w:rStyle w:val="InternetLink"/>
          <w:rFonts w:cs="Times New Roman"/>
          <w:color w:val="000000"/>
          <w:sz w:val="28"/>
          <w:szCs w:val="28"/>
          <w:u w:val="none"/>
        </w:rPr>
      </w:pPr>
      <w:r>
        <w:rPr/>
      </w:r>
    </w:p>
    <w:sectPr>
      <w:footerReference w:type="default" r:id="rId3"/>
      <w:type w:val="nextPage"/>
      <w:pgSz w:w="11906" w:h="16838"/>
      <w:pgMar w:left="1701" w:right="850" w:header="0" w:top="1134" w:footer="964" w:bottom="1530" w:gutter="0"/>
      <w:pgNumType w:start="3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swiss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9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false"/>
      <w:overflowPunct w:val="true"/>
      <w:bidi w:val="0"/>
      <w:spacing w:lineRule="auto" w:line="276" w:before="0" w:after="0"/>
      <w:jc w:val="left"/>
    </w:pPr>
    <w:rPr>
      <w:rFonts w:ascii="Times New Roman" w:hAnsi="Times New Roman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0" w:after="280"/>
      <w:ind w:left="935" w:right="0" w:hanging="227"/>
      <w:jc w:val="left"/>
      <w:outlineLvl w:val="0"/>
    </w:pPr>
    <w:rPr>
      <w:rFonts w:ascii="Times New Roman" w:hAnsi="Times New Roman"/>
      <w:b/>
      <w:bCs/>
      <w:i w:val="false"/>
      <w:caps/>
      <w:sz w:val="30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0" w:after="280"/>
      <w:ind w:left="1134" w:right="0" w:hanging="425"/>
      <w:outlineLvl w:val="1"/>
    </w:pPr>
    <w:rPr>
      <w:rFonts w:ascii="Times New Roman" w:hAnsi="Times New Roman"/>
      <w:b/>
      <w:bCs/>
      <w:i w:val="false"/>
      <w:sz w:val="28"/>
      <w:szCs w:val="28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tabs>
        <w:tab w:val="clear" w:pos="708"/>
      </w:tabs>
      <w:spacing w:before="0" w:after="0"/>
      <w:ind w:left="935" w:right="0" w:hanging="227"/>
      <w:outlineLvl w:val="2"/>
    </w:pPr>
    <w:rPr>
      <w:rFonts w:ascii="Times New Roman" w:hAnsi="Times New Roman" w:eastAsia="Segoe UI" w:cs="Tahoma"/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FootnoteCharacters">
    <w:name w:val="Footnote Characters"/>
    <w:basedOn w:val="DefaultParagraphFont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DefaultParagraphFont"/>
    <w:rPr>
      <w:color w:val="0000FF"/>
      <w:u w:val="single"/>
    </w:rPr>
  </w:style>
  <w:style w:type="character" w:styleId="Style11">
    <w:name w:val="Текст выноски Знак"/>
    <w:basedOn w:val="DefaultParagraphFont"/>
    <w:qFormat/>
    <w:rPr>
      <w:rFonts w:ascii="Tahoma" w:hAnsi="Tahoma" w:eastAsia="Calibri" w:cs="Tahoma"/>
      <w:sz w:val="16"/>
      <w:szCs w:val="16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Style12">
    <w:name w:val="Текст примечания Знак"/>
    <w:basedOn w:val="DefaultParagraphFont"/>
    <w:qFormat/>
    <w:rPr>
      <w:rFonts w:ascii="Calibri" w:hAnsi="Calibri" w:eastAsia="Calibri"/>
      <w:lang w:eastAsia="en-US"/>
    </w:rPr>
  </w:style>
  <w:style w:type="character" w:styleId="Style13">
    <w:name w:val="Тема примечания Знак"/>
    <w:basedOn w:val="Style12"/>
    <w:qFormat/>
    <w:rPr>
      <w:rFonts w:ascii="Calibri" w:hAnsi="Calibri" w:eastAsia="Calibri"/>
      <w:b/>
      <w:bCs/>
      <w:lang w:eastAsia="en-US"/>
    </w:rPr>
  </w:style>
  <w:style w:type="character" w:styleId="IndexLink">
    <w:name w:val="Index Link"/>
    <w:qFormat/>
    <w:rPr/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VisitedInternetLink">
    <w:name w:val="FollowedHyperlink"/>
    <w:basedOn w:val="DefaultParagraphFont"/>
    <w:rPr>
      <w:color w:val="954F72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0"/>
      <w:ind w:left="0" w:right="0" w:firstLine="709"/>
    </w:pPr>
    <w:rPr>
      <w:sz w:val="28"/>
    </w:rPr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1">
    <w:name w:val="Обычный1"/>
    <w:qFormat/>
    <w:pPr>
      <w:widowControl w:val="false"/>
      <w:suppressAutoHyphens w:val="true"/>
      <w:overflowPunct w:val="true"/>
      <w:bidi w:val="0"/>
      <w:spacing w:before="160" w:after="0"/>
      <w:ind w:left="0" w:right="0" w:firstLine="200"/>
      <w:jc w:val="both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ru-RU" w:eastAsia="ru-RU" w:bidi="ar-SA"/>
    </w:rPr>
  </w:style>
  <w:style w:type="paragraph" w:styleId="Footnote">
    <w:name w:val="Footnote Text"/>
    <w:basedOn w:val="Normal"/>
    <w:pPr/>
    <w:rPr>
      <w:sz w:val="20"/>
      <w:szCs w:val="20"/>
    </w:rPr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qFormat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Contents1">
    <w:name w:val="TOC 1"/>
    <w:basedOn w:val="Index"/>
    <w:pPr>
      <w:widowControl/>
      <w:suppressLineNumbers/>
      <w:tabs>
        <w:tab w:val="clear" w:pos="708"/>
        <w:tab w:val="right" w:pos="9355" w:leader="dot"/>
      </w:tabs>
      <w:suppressAutoHyphens w:val="false"/>
      <w:overflowPunct w:val="true"/>
      <w:bidi w:val="0"/>
      <w:spacing w:lineRule="auto" w:line="276" w:before="0" w:after="0"/>
      <w:ind w:left="283" w:right="0" w:hanging="283"/>
      <w:jc w:val="left"/>
    </w:pPr>
    <w:rPr>
      <w:sz w:val="28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2">
    <w:name w:val="TOC 2"/>
    <w:basedOn w:val="Index"/>
    <w:pPr>
      <w:widowControl/>
      <w:suppressLineNumbers/>
      <w:tabs>
        <w:tab w:val="clear" w:pos="708"/>
        <w:tab w:val="right" w:pos="9355" w:leader="dot"/>
      </w:tabs>
      <w:suppressAutoHyphens w:val="false"/>
      <w:overflowPunct w:val="true"/>
      <w:bidi w:val="0"/>
      <w:spacing w:lineRule="auto" w:line="276" w:before="0" w:after="0"/>
      <w:ind w:left="227" w:right="0" w:hanging="0"/>
      <w:jc w:val="left"/>
    </w:pPr>
    <w:rPr>
      <w:sz w:val="28"/>
    </w:rPr>
  </w:style>
  <w:style w:type="paragraph" w:styleId="Contents3">
    <w:name w:val="TOC 3"/>
    <w:basedOn w:val="Index"/>
    <w:pPr>
      <w:tabs>
        <w:tab w:val="clear" w:pos="708"/>
        <w:tab w:val="right" w:pos="8789" w:leader="dot"/>
      </w:tabs>
      <w:ind w:left="566" w:hanging="0"/>
    </w:pPr>
    <w:rPr/>
  </w:style>
  <w:style w:type="paragraph" w:styleId="Footer">
    <w:name w:val="Footer"/>
    <w:basedOn w:val="HeaderandFooter"/>
    <w:pPr>
      <w:suppressLineNumbers/>
    </w:pPr>
    <w:rPr>
      <w:sz w:val="28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Style14">
    <w:name w:val="Надпись"/>
    <w:basedOn w:val="Normal"/>
    <w:qFormat/>
    <w:pPr>
      <w:keepNext w:val="true"/>
      <w:spacing w:lineRule="auto" w:line="240" w:before="120" w:after="120"/>
      <w:jc w:val="both"/>
    </w:pPr>
    <w:rPr>
      <w:rFonts w:ascii="Times New Roman" w:hAnsi="Times New Roman" w:cs="Times New Roman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5023</TotalTime>
  <Application>LibreOffice/7.0.0.3$Linux_X86_64 LibreOffice_project/00$Build-3</Application>
  <Pages>9</Pages>
  <Words>385</Words>
  <Characters>3035</Characters>
  <CharactersWithSpaces>3431</CharactersWithSpaces>
  <Paragraphs>68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2018-11-22T03:30:00Z</dcterms:created>
  <dc:creator>Богатко И.Н.</dc:creator>
  <dc:description/>
  <dc:language>en-US</dc:language>
  <cp:lastModifiedBy/>
  <dcterms:modified xsi:type="dcterms:W3CDTF">2020-09-10T14:31:55Z</dcterms:modified>
  <cp:revision>927</cp:revision>
  <dc:subject/>
  <dc:title>Пример оформления титульного листа отчета по производсвенной практике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