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ИНФОРМАТИКИ И РАДИОЭЛЕКТРОНИКИ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компьютерного проектирования </w:t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szCs w:val="28"/>
        </w:rPr>
        <w:t xml:space="preserve">Кафедра </w:t>
      </w:r>
      <w:r>
        <w:rPr>
          <w:rFonts w:cs="Times New Roman"/>
          <w:color w:val="000000"/>
          <w:szCs w:val="28"/>
          <w:shd w:fill="FFFFFF" w:val="clear"/>
        </w:rPr>
        <w:t>проектирования информационно-компьютерных систем</w:t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Дисциплина: Мобильные вычислительные системы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курсовому проекту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МОБИЛЬНЫЙ ТЕПЛОВИЗОР НА БАЗЕ МИКРОКОНТРОЛЛЕРНОГО ЯДРА ARM CORTEX-M4 С WIFI-КАНАЛОМ СВЯЗИ</w:t>
        <w:br/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БГУИР КП 1-39 03 02 044 ПЗ</w:t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964" w:bottom="153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Руководители</w:t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br w:type="column"/>
      </w:r>
      <w:r>
        <w:rPr>
          <w:rFonts w:cs="Times New Roman"/>
          <w:szCs w:val="28"/>
        </w:rPr>
        <w:t>А. В. Синило</w:t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О. Ч. Ролич</w:t>
      </w:r>
    </w:p>
    <w:p>
      <w:pPr>
        <w:pStyle w:val="Normal"/>
        <w:spacing w:before="0" w:after="0"/>
        <w:ind w:hanging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В. С. Колбун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cols w:num="2" w:space="45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TextBody"/>
        <w:spacing w:before="0" w:after="0"/>
        <w:ind w:hanging="0"/>
        <w:contextualSpacing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spacing w:before="0" w:after="0"/>
        <w:ind w:hanging="0"/>
        <w:contextualSpacing/>
        <w:jc w:val="center"/>
        <w:rPr>
          <w:rFonts w:cs="Times New Roman"/>
        </w:rPr>
      </w:pPr>
      <w:r>
        <w:rPr/>
        <w:t>Минск 2020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32"/>
          <w:szCs w:val="32"/>
        </w:rPr>
        <w:t>СОДЕРЖАНИЕ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rPr>
          <w:rFonts w:cs="Times New Roman"/>
          <w:sz w:val="32"/>
        </w:rPr>
      </w:pPr>
      <w:r>
        <w:rPr/>
        <w:t>перечень условных обозначений,</w:t>
        <w:br/>
        <w:t>символов и терминов</w:t>
      </w:r>
    </w:p>
    <w:p>
      <w:pPr>
        <w:pStyle w:val="TextBody"/>
        <w:numPr>
          <w:ilvl w:val="0"/>
          <w:numId w:val="0"/>
        </w:numPr>
        <w:ind w:firstLine="709"/>
        <w:jc w:val="center"/>
        <w:outlineLvl w:val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numPr>
          <w:ilvl w:val="0"/>
          <w:numId w:val="3"/>
        </w:numPr>
        <w:rPr>
          <w:rFonts w:cs="Times New Roman"/>
          <w:sz w:val="32"/>
        </w:rPr>
      </w:pPr>
      <w:r>
        <w:rPr/>
        <w:t>ВВЕДЕНИЕ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hanging="227"/>
        <w:rPr>
          <w:rFonts w:cs="Times New Roman"/>
          <w:sz w:val="32"/>
        </w:rPr>
      </w:pPr>
      <w:r>
        <w:rPr/>
        <w:t>1 общетехническое обоснование разработки прибора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1.1 Анализ исходных данных</w:t>
      </w:r>
    </w:p>
    <w:p>
      <w:pPr>
        <w:pStyle w:val="TextBody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Heading3"/>
        <w:numPr>
          <w:ilvl w:val="2"/>
          <w:numId w:val="2"/>
        </w:numPr>
        <w:ind w:left="1134" w:hanging="425"/>
        <w:rPr/>
      </w:pPr>
      <w:r>
        <w:rPr/>
        <w:t>1.2 Теоретические сведения и принципы функционирования отдельных узлов прибора</w:t>
      </w:r>
    </w:p>
    <w:p>
      <w:pPr>
        <w:pStyle w:val="TextBody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>Обзор принципов действия, структурных решений и микропроцессорной базы современных тепловизоров</w:t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Современный тепловизор позволяет видеть тепловое (инфракрасное) излучение окружающих объектов и бесконтактно измерять температуру в любой точке на поверхности с точностью 0,1°С и выше. Основываясь на разнице температур, возможно создавать тепловые изображения, с которых с помощью алгоритмов возможно считать температурные значения. Разной температуре соответствует определенный цвет изображения. Самые низкие температурные значения имеют синий и чёрный цвета, высокие же – красный, жёлтый и оранжевый.</w:t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Принцип работы тепловизора основывается на регистрации и анализе температур поверхности объектов. Тепловизор чувствителен к инфракрасному излучению, которое прямо зависит от теплоты объекта: чем он теплее, тем больше инфракрасного излучения он испускает. По сути, тепловое излучение является источником инфракрасного. В отличие от человеческого глаза, инфракрасные детекторы способы фокусироваться на данном типе излучения, после чего передают сигнал в электронный блок для обработки и вывода изображения. После считывания информации с датчиков генерируется видеосигнал; шкала соответствия цвета точки на изображении к абсолютной температуре наблюдаемого объекта может быть выведена поверх кадра. Также возможно обозначить температуры наиболее холодной и горячей точек на выведенном изображении. Разные модели тепловизоров могут различаться по величине шага измеряемой температуры. Современная точность прибора составляет 0,05-0,1К.</w:t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Тепловизор состоит из дисплея, электронного блока (микропроцессора) и тепловизионной матрицы. Также в состав прибора входит объектив со специальной линзой, изготовленной с применением редких металлов (к примеру, германий), которые прозрачны для инфракрасного излучения. Благодаря им тепловое излучение проецируется на матрицу чувствительного к излучению датчика. Обычное стекло не подходит для линзы, так как оно не пропускает инфракрасное излучение в необходимой части спектра. Тепловизионная матрица характеризуется тем, что каждый пиксель состоит из отдельного терморезистора. При нагревании сопротивление внутри них меняется, благодаря чему возможно перевести тепло в видимое изображение – термограмму.</w:t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Микропроцессор необходим для того, чтобы непосредственно обрабатывать поступающую с матрицы информацию и пересчитывать её в температуры.</w:t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Кроме того, одним из элементов тепловизора может быть электронная карта памяти либо подобное ей устройство передачи и хранения информации. На них возможно сохранять цифровые электронные данные, содержащие изображения тепла и различные вспомогательные данные. К тому же обладающие возможностью сохранять данные тепловизоры позволяют производить видеозапись.</w:t>
      </w:r>
    </w:p>
    <w:p>
      <w:pPr>
        <w:pStyle w:val="TextBody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TextBody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>Принцип работы термостолбцовой матрицы</w:t>
      </w:r>
    </w:p>
    <w:p>
      <w:pPr>
        <w:pStyle w:val="TextBody"/>
        <w:rPr>
          <w:b/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НЕ НАШЛА, ХЗ, ЧТО ЭТО</w:t>
      </w:r>
    </w:p>
    <w:p>
      <w:pPr>
        <w:pStyle w:val="TextBody"/>
        <w:rPr>
          <w:b/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</w:r>
    </w:p>
    <w:p>
      <w:pPr>
        <w:pStyle w:val="TextBody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>Классификация цветовых моделей</w:t>
      </w:r>
    </w:p>
    <w:p>
      <w:pPr>
        <w:pStyle w:val="TextBody"/>
        <w:rPr/>
      </w:pPr>
      <w:r>
        <w:rPr/>
        <w:t xml:space="preserve">Цветовая модель </w:t>
      </w:r>
      <w:r>
        <w:rPr>
          <w:color w:val="000000"/>
          <w:sz w:val="27"/>
          <w:szCs w:val="27"/>
        </w:rPr>
        <w:t xml:space="preserve">– </w:t>
      </w:r>
      <w:r>
        <w:rPr/>
        <w:t xml:space="preserve">это абстрактная математическая модель, описывающая способ представления цветов в виде наборов чисел, обычно в виде трех или четырех значений или компонентов цвета. Когда эта модель связана с точным описанием того, как должны интерпретироваться компоненты (условия просмотра и тому подобное), результирующий набор цветов называется «цветовым пространством» </w:t>
      </w:r>
      <w:r>
        <w:rPr>
          <w:color w:val="000000"/>
          <w:sz w:val="27"/>
          <w:szCs w:val="27"/>
        </w:rPr>
        <w:t>–</w:t>
      </w:r>
      <w:r>
        <w:rPr/>
        <w:t xml:space="preserve"> моделью представления цвета, основанной на использовании цветовых координат. В цветовой модели каждому цвету ставится в соответствие строго определенная точка. Другими словами, такая цветовая модель является упрощенным геометрическим представлением, основанным на системе координатных осей и принятого масштаба.</w:t>
      </w:r>
    </w:p>
    <w:p>
      <w:pPr>
        <w:pStyle w:val="TextBody"/>
        <w:rPr>
          <w:lang w:val="en-US"/>
        </w:rPr>
      </w:pPr>
      <w:r>
        <w:rPr/>
        <w:t>Цветовые модели могут быть аппаратно-зависимыми (</w:t>
      </w:r>
      <w:r>
        <w:rPr>
          <w:lang w:val="en-US"/>
        </w:rPr>
        <w:t>RGB</w:t>
      </w:r>
      <w:r>
        <w:rPr/>
        <w:t xml:space="preserve">, </w:t>
      </w:r>
      <w:r>
        <w:rPr>
          <w:lang w:val="en-US"/>
        </w:rPr>
        <w:t>CMYK</w:t>
      </w:r>
      <w:r>
        <w:rPr/>
        <w:t>) и аппаратно-независимыми (</w:t>
      </w:r>
      <w:r>
        <w:rPr>
          <w:lang w:val="en-US"/>
        </w:rPr>
        <w:t>Lab</w:t>
      </w:r>
      <w:r>
        <w:rPr/>
        <w:t>).</w:t>
      </w:r>
    </w:p>
    <w:p>
      <w:pPr>
        <w:pStyle w:val="TextBody"/>
        <w:rPr/>
      </w:pPr>
      <w:r>
        <w:rPr/>
        <w:t>По принципу действия цветовые модели можно разбить на три вида:</w:t>
      </w:r>
    </w:p>
    <w:p>
      <w:pPr>
        <w:pStyle w:val="TextBody"/>
        <w:numPr>
          <w:ilvl w:val="1"/>
          <w:numId w:val="5"/>
        </w:numPr>
        <w:rPr/>
      </w:pPr>
      <w:r>
        <w:rPr/>
        <w:t>Аддитивные (</w:t>
      </w:r>
      <w:r>
        <w:rPr>
          <w:lang w:val="en-US"/>
        </w:rPr>
        <w:t>RGB</w:t>
      </w:r>
      <w:r>
        <w:rPr/>
        <w:t xml:space="preserve">) – основаны на сложении цветов. На основе законов Грассмана соединяются лучи разных цветов, образуя необходимый. Большинство цветов возможно получить путём смешивания в </w:t>
      </w:r>
      <w:r>
        <w:rPr>
          <w:i/>
          <w:iCs/>
        </w:rPr>
        <w:t>различных</w:t>
      </w:r>
      <w:r>
        <w:rPr/>
        <w:t xml:space="preserve"> пропорциях трёх основных цветовых компонент (первичные цвета) – красного, зелёного и синего (</w:t>
      </w:r>
      <w:r>
        <w:rPr>
          <w:b/>
          <w:bCs/>
          <w:lang w:val="en-US"/>
        </w:rPr>
        <w:t>R</w:t>
      </w:r>
      <w:r>
        <w:rPr>
          <w:lang w:val="en-US"/>
        </w:rPr>
        <w:t>ed</w:t>
      </w:r>
      <w:r>
        <w:rPr/>
        <w:t xml:space="preserve">, </w:t>
      </w:r>
      <w:r>
        <w:rPr>
          <w:b/>
          <w:bCs/>
          <w:lang w:val="en-US"/>
        </w:rPr>
        <w:t>G</w:t>
      </w:r>
      <w:r>
        <w:rPr>
          <w:lang w:val="en-US"/>
        </w:rPr>
        <w:t>reen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B</w:t>
      </w:r>
      <w:r>
        <w:rPr>
          <w:lang w:val="en-US"/>
        </w:rPr>
        <w:t>lue</w:t>
      </w:r>
      <w:r>
        <w:rPr/>
        <w:t xml:space="preserve">). При смешивании первичных цветов образуются </w:t>
      </w:r>
      <w:r>
        <w:rPr>
          <w:i/>
          <w:iCs/>
        </w:rPr>
        <w:t xml:space="preserve">вторичные </w:t>
      </w:r>
      <w:r>
        <w:rPr/>
        <w:t>– голубой, пурпурный и жёлтый (</w:t>
      </w:r>
      <w:r>
        <w:rPr>
          <w:b/>
          <w:bCs/>
          <w:lang w:val="en-US"/>
        </w:rPr>
        <w:t>C</w:t>
      </w:r>
      <w:r>
        <w:rPr>
          <w:lang w:val="en-US"/>
        </w:rPr>
        <w:t>yan</w:t>
      </w:r>
      <w:r>
        <w:rPr/>
        <w:t xml:space="preserve">, </w:t>
      </w:r>
      <w:r>
        <w:rPr>
          <w:b/>
          <w:bCs/>
          <w:lang w:val="en-US"/>
        </w:rPr>
        <w:t>M</w:t>
      </w:r>
      <w:r>
        <w:rPr>
          <w:lang w:val="en-US"/>
        </w:rPr>
        <w:t>agenta</w:t>
      </w:r>
      <w:r>
        <w:rPr/>
        <w:t xml:space="preserve">, </w:t>
      </w:r>
      <w:r>
        <w:rPr>
          <w:b/>
          <w:bCs/>
          <w:lang w:val="en-US"/>
        </w:rPr>
        <w:t>Y</w:t>
      </w:r>
      <w:r>
        <w:rPr>
          <w:lang w:val="en-US"/>
        </w:rPr>
        <w:t>ellow</w:t>
      </w:r>
      <w:r>
        <w:rPr/>
        <w:t>).</w:t>
      </w:r>
    </w:p>
    <w:p>
      <w:pPr>
        <w:pStyle w:val="TextBody"/>
        <w:numPr>
          <w:ilvl w:val="1"/>
          <w:numId w:val="5"/>
        </w:numPr>
        <w:rPr/>
      </w:pPr>
      <w:r>
        <w:rPr/>
        <w:t>Субтрактивные (</w:t>
      </w:r>
      <w:r>
        <w:rPr>
          <w:lang w:val="en-US"/>
        </w:rPr>
        <w:t>CMY</w:t>
      </w:r>
      <w:r>
        <w:rPr/>
        <w:t xml:space="preserve">, </w:t>
      </w:r>
      <w:r>
        <w:rPr>
          <w:lang w:val="en-US"/>
        </w:rPr>
        <w:t>CMYK</w:t>
      </w:r>
      <w:r>
        <w:rPr/>
        <w:t>) – основаны на вычитании цветов (субтрактивный синтез).</w:t>
      </w:r>
    </w:p>
    <w:p>
      <w:pPr>
        <w:pStyle w:val="TextBody"/>
        <w:numPr>
          <w:ilvl w:val="1"/>
          <w:numId w:val="5"/>
        </w:numPr>
        <w:rPr/>
      </w:pPr>
      <w:r>
        <w:rPr/>
        <w:t>Перцепционные (</w:t>
      </w:r>
      <w:r>
        <w:rPr>
          <w:lang w:val="en-US"/>
        </w:rPr>
        <w:t>HSB</w:t>
      </w:r>
      <w:r>
        <w:rPr/>
        <w:t xml:space="preserve">, </w:t>
      </w:r>
      <w:r>
        <w:rPr>
          <w:lang w:val="en-US"/>
        </w:rPr>
        <w:t>HLS</w:t>
      </w:r>
      <w:r>
        <w:rPr/>
        <w:t xml:space="preserve">, </w:t>
      </w:r>
      <w:r>
        <w:rPr>
          <w:lang w:val="en-US"/>
        </w:rPr>
        <w:t>Lab</w:t>
      </w:r>
      <w:r>
        <w:rPr/>
        <w:t xml:space="preserve">, </w:t>
      </w:r>
      <w:r>
        <w:rPr>
          <w:lang w:val="en-US"/>
        </w:rPr>
        <w:t>YCbCr</w:t>
      </w:r>
      <w:r>
        <w:rPr/>
        <w:t>) – базируются на восприятии.</w:t>
      </w:r>
    </w:p>
    <w:p>
      <w:pPr>
        <w:pStyle w:val="TextBody"/>
        <w:rPr/>
      </w:pPr>
      <w:r>
        <w:rPr/>
        <w:t>Основные цветовые модели:</w:t>
      </w:r>
    </w:p>
    <w:p>
      <w:pPr>
        <w:pStyle w:val="TextBody"/>
        <w:numPr>
          <w:ilvl w:val="0"/>
          <w:numId w:val="4"/>
        </w:numPr>
        <w:rPr/>
      </w:pPr>
      <w:r>
        <w:rPr/>
        <w:t>RGB;</w:t>
      </w:r>
    </w:p>
    <w:p>
      <w:pPr>
        <w:pStyle w:val="TextBody"/>
        <w:numPr>
          <w:ilvl w:val="0"/>
          <w:numId w:val="4"/>
        </w:numPr>
        <w:rPr/>
      </w:pPr>
      <w:r>
        <w:rPr/>
        <w:t>CMY (Cyan Magenta Yellow);</w:t>
      </w:r>
    </w:p>
    <w:p>
      <w:pPr>
        <w:pStyle w:val="TextBody"/>
        <w:numPr>
          <w:ilvl w:val="0"/>
          <w:numId w:val="4"/>
        </w:numPr>
        <w:rPr/>
      </w:pPr>
      <w:r>
        <w:rPr/>
        <w:t>CMYK (Cyan Magenta Yellow Key, причем Key означает черный цвет);</w:t>
      </w:r>
    </w:p>
    <w:p>
      <w:pPr>
        <w:pStyle w:val="TextBody"/>
        <w:numPr>
          <w:ilvl w:val="0"/>
          <w:numId w:val="4"/>
        </w:numPr>
        <w:rPr>
          <w:lang w:val="en-US"/>
        </w:rPr>
      </w:pPr>
      <w:r>
        <w:rPr>
          <w:lang w:val="en-US"/>
        </w:rPr>
        <w:t>HSB;</w:t>
      </w:r>
    </w:p>
    <w:p>
      <w:pPr>
        <w:pStyle w:val="TextBody"/>
        <w:numPr>
          <w:ilvl w:val="0"/>
          <w:numId w:val="4"/>
        </w:numPr>
        <w:rPr>
          <w:lang w:val="en-US"/>
        </w:rPr>
      </w:pPr>
      <w:r>
        <w:rPr>
          <w:lang w:val="en-US"/>
        </w:rPr>
        <w:t>YCbCr;</w:t>
      </w:r>
    </w:p>
    <w:p>
      <w:pPr>
        <w:pStyle w:val="TextBody"/>
        <w:numPr>
          <w:ilvl w:val="0"/>
          <w:numId w:val="4"/>
        </w:numPr>
        <w:rPr>
          <w:lang w:val="en-US"/>
        </w:rPr>
      </w:pPr>
      <w:r>
        <w:rPr>
          <w:lang w:val="en-US"/>
        </w:rPr>
        <w:t>Lab;</w:t>
      </w:r>
    </w:p>
    <w:p>
      <w:pPr>
        <w:pStyle w:val="TextBody"/>
        <w:numPr>
          <w:ilvl w:val="0"/>
          <w:numId w:val="4"/>
        </w:numPr>
        <w:rPr>
          <w:lang w:val="en-US"/>
        </w:rPr>
      </w:pPr>
      <w:r>
        <w:rPr>
          <w:lang w:val="en-US"/>
        </w:rPr>
        <w:t>HSV (Hue, Saturation, Value);</w:t>
      </w:r>
    </w:p>
    <w:p>
      <w:pPr>
        <w:pStyle w:val="TextBody"/>
        <w:numPr>
          <w:ilvl w:val="0"/>
          <w:numId w:val="4"/>
        </w:numPr>
        <w:rPr>
          <w:lang w:val="en-US"/>
        </w:rPr>
      </w:pPr>
      <w:r>
        <w:rPr>
          <w:lang w:val="en-US"/>
        </w:rPr>
        <w:t>HLS (Hue, Lightness, Saturation).</w:t>
      </w:r>
    </w:p>
    <w:p>
      <w:pPr>
        <w:pStyle w:val="TextBody"/>
        <w:ind w:left="709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709" w:hanging="0"/>
        <w:rPr>
          <w:u w:val="single"/>
          <w:lang w:val="en-US"/>
        </w:rPr>
      </w:pPr>
      <w:r>
        <w:rPr>
          <w:u w:val="single"/>
        </w:rPr>
        <w:t>Р</w:t>
      </w:r>
      <w:r>
        <w:rPr>
          <w:u w:val="single"/>
          <w:lang w:val="en-US"/>
        </w:rPr>
        <w:t>азновидности цветовой модели RGB</w:t>
      </w:r>
    </w:p>
    <w:p>
      <w:pPr>
        <w:pStyle w:val="TextBody"/>
        <w:ind w:left="709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TextBody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hanging="227"/>
        <w:rPr>
          <w:rFonts w:cs="Times New Roman"/>
          <w:sz w:val="32"/>
        </w:rPr>
      </w:pPr>
      <w:r>
        <w:rPr/>
        <w:t>2 Разработка структурной электрической схемы мобильного тепловизора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2.1 Обоснование базовых блоков структурной схемы тепловизора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2.2 Обоснование связей структурной схемы тепловизора</w:t>
      </w:r>
      <w:r>
        <w:br w:type="page"/>
      </w:r>
    </w:p>
    <w:p>
      <w:pPr>
        <w:pStyle w:val="Heading2"/>
        <w:numPr>
          <w:ilvl w:val="1"/>
          <w:numId w:val="2"/>
        </w:numPr>
        <w:ind w:left="935" w:hanging="227"/>
        <w:rPr>
          <w:rFonts w:cs="Times New Roman"/>
          <w:sz w:val="32"/>
        </w:rPr>
      </w:pPr>
      <w:r>
        <w:rPr/>
        <w:t>3 Разработка принципиальной электрической схемы тепловизора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3.1 Обоснование выбора САПР для разработки принципиальной схемы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3.2 Описание используемых библиотечных элементов и процесса их создания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3.3 Обоснование выбора базовых компонентов принципиальной схемы тепловизора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3.4 Обоснование связей принципиальной электрической схемы тепловизора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3.5 Анализ и обоснование принципиальной схемы зарядки аккумулятора</w:t>
      </w:r>
    </w:p>
    <w:p>
      <w:pPr>
        <w:pStyle w:val="Heading2"/>
        <w:numPr>
          <w:ilvl w:val="0"/>
          <w:numId w:val="0"/>
        </w:numPr>
        <w:ind w:left="935" w:hanging="227"/>
        <w:rPr>
          <w:rFonts w:cs="Times New Roman"/>
          <w:sz w:val="32"/>
        </w:rPr>
      </w:pPr>
      <w:r>
        <w:rPr>
          <w:rFonts w:cs="Times New Roman"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hanging="227"/>
        <w:rPr>
          <w:rFonts w:cs="Times New Roman"/>
          <w:sz w:val="32"/>
        </w:rPr>
      </w:pPr>
      <w:r>
        <w:rPr/>
        <w:t>4 Разработка модели и алгоритма функционирования тепловизора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4.1 Реализация алгоритмов наложения цветовой палитры на яркостную матрицу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4.2 Реализация алгоритмов обработки и визуализации кадров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4.3 Разработка диаграммы состояний тепловизора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4.4 Разработка схемы алгоритма функционирования тепловизора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4.5 Разработка пользовательского интерфейса приложения для работы с устройством</w:t>
      </w:r>
    </w:p>
    <w:p>
      <w:pPr>
        <w:pStyle w:val="Heading2"/>
        <w:numPr>
          <w:ilvl w:val="0"/>
          <w:numId w:val="0"/>
        </w:numPr>
        <w:ind w:left="935" w:hanging="227"/>
        <w:rPr>
          <w:rFonts w:cs="Times New Roman"/>
          <w:sz w:val="32"/>
        </w:rPr>
      </w:pPr>
      <w:r>
        <w:rPr>
          <w:rFonts w:cs="Times New Roman"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hanging="227"/>
        <w:rPr>
          <w:rFonts w:cs="Times New Roman"/>
          <w:sz w:val="32"/>
        </w:rPr>
      </w:pPr>
      <w:r>
        <w:rPr/>
        <w:t>5 Разработка конструкции проектируемого прибора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5.1 Выбор и обоснование элементной базы.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5.2 Выбор и обоснование конструктивных элементов и установочных изделий.</w:t>
      </w:r>
    </w:p>
    <w:p>
      <w:pPr>
        <w:pStyle w:val="Heading2"/>
        <w:numPr>
          <w:ilvl w:val="0"/>
          <w:numId w:val="0"/>
        </w:numPr>
        <w:ind w:left="935" w:hanging="227"/>
        <w:rPr>
          <w:rFonts w:cs="Times New Roman"/>
          <w:sz w:val="32"/>
        </w:rPr>
      </w:pPr>
      <w:r>
        <w:rPr>
          <w:rFonts w:cs="Times New Roman"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hanging="227"/>
        <w:rPr>
          <w:rFonts w:cs="Times New Roman"/>
          <w:sz w:val="32"/>
        </w:rPr>
      </w:pPr>
      <w:r>
        <w:rPr/>
        <w:t>6 Расчёт конструктивно-технологических параметров проектируемого прибора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6.1 Проектирование печатного модуля</w:t>
      </w:r>
    </w:p>
    <w:p>
      <w:pPr>
        <w:pStyle w:val="Heading4"/>
        <w:numPr>
          <w:ilvl w:val="3"/>
          <w:numId w:val="2"/>
        </w:numPr>
        <w:ind w:left="1247" w:hanging="539"/>
        <w:rPr>
          <w:rFonts w:cs="Times New Roman"/>
          <w:b/>
          <w:b/>
          <w:sz w:val="32"/>
        </w:rPr>
      </w:pPr>
      <w:r>
        <w:rPr>
          <w:b/>
        </w:rPr>
        <w:t>6.1.1</w:t>
      </w:r>
      <w:r>
        <w:rPr/>
        <w:t xml:space="preserve"> Выбор типа конструкции печатной платы, класса точности и шага координатной сетки</w:t>
      </w:r>
    </w:p>
    <w:p>
      <w:pPr>
        <w:pStyle w:val="Heading4"/>
        <w:numPr>
          <w:ilvl w:val="3"/>
          <w:numId w:val="2"/>
        </w:numPr>
        <w:ind w:left="1247" w:hanging="539"/>
        <w:rPr>
          <w:rFonts w:cs="Times New Roman"/>
          <w:b/>
          <w:b/>
          <w:sz w:val="32"/>
        </w:rPr>
      </w:pPr>
      <w:r>
        <w:rPr>
          <w:b/>
        </w:rPr>
        <w:t>6.1.2</w:t>
      </w:r>
      <w:r>
        <w:rPr/>
        <w:t xml:space="preserve"> Выбор и обоснование метода изготовления электронного модуля</w:t>
      </w:r>
    </w:p>
    <w:p>
      <w:pPr>
        <w:pStyle w:val="Heading4"/>
        <w:numPr>
          <w:ilvl w:val="3"/>
          <w:numId w:val="2"/>
        </w:numPr>
        <w:ind w:left="1247" w:hanging="539"/>
        <w:rPr>
          <w:rFonts w:cs="Times New Roman"/>
          <w:b/>
          <w:b/>
          <w:sz w:val="32"/>
        </w:rPr>
      </w:pPr>
      <w:r>
        <w:rPr>
          <w:b/>
        </w:rPr>
        <w:t>6.1.3</w:t>
      </w:r>
      <w:r>
        <w:rPr/>
        <w:t xml:space="preserve"> Расчёт конструктивно-технологических параметров электронного модуля</w:t>
      </w:r>
    </w:p>
    <w:p>
      <w:pPr>
        <w:pStyle w:val="Heading3"/>
        <w:numPr>
          <w:ilvl w:val="2"/>
          <w:numId w:val="2"/>
        </w:numPr>
        <w:ind w:left="1134" w:hanging="425"/>
        <w:rPr>
          <w:rFonts w:cs="Times New Roman"/>
          <w:sz w:val="32"/>
        </w:rPr>
      </w:pPr>
      <w:r>
        <w:rPr/>
        <w:t>6.2 Выбор и обоснование материалов конструкции и защитных покрытий, маркировки деталей и сборочных единиц</w:t>
      </w:r>
    </w:p>
    <w:p>
      <w:pPr>
        <w:pStyle w:val="Heading2"/>
        <w:numPr>
          <w:ilvl w:val="0"/>
          <w:numId w:val="0"/>
        </w:numPr>
        <w:ind w:left="935" w:hanging="227"/>
        <w:rPr>
          <w:rFonts w:cs="Times New Roman"/>
          <w:sz w:val="32"/>
        </w:rPr>
      </w:pPr>
      <w:r>
        <w:rPr>
          <w:rFonts w:cs="Times New Roman"/>
          <w:sz w:val="32"/>
        </w:rPr>
      </w:r>
      <w:r>
        <w:br w:type="page"/>
      </w:r>
    </w:p>
    <w:p>
      <w:pPr>
        <w:pStyle w:val="Heading2"/>
        <w:numPr>
          <w:ilvl w:val="1"/>
          <w:numId w:val="2"/>
        </w:numPr>
        <w:ind w:left="935" w:hanging="227"/>
        <w:rPr>
          <w:rFonts w:cs="Times New Roman"/>
          <w:sz w:val="32"/>
        </w:rPr>
      </w:pPr>
      <w:r>
        <w:rPr>
          <w:sz w:val="28"/>
          <w:szCs w:val="28"/>
        </w:rPr>
        <w:t xml:space="preserve">7 </w:t>
      </w:r>
      <w:r>
        <w:rPr/>
        <w:t>Применение средств автоматизированного проектирования при разработке прибора</w:t>
      </w:r>
      <w:r>
        <w:br w:type="page"/>
      </w:r>
    </w:p>
    <w:p>
      <w:pPr>
        <w:pStyle w:val="Heading1"/>
        <w:rPr>
          <w:rFonts w:cs="Times New Roman"/>
          <w:sz w:val="32"/>
        </w:rPr>
      </w:pPr>
      <w:r>
        <w:rPr/>
        <w:t>Заключение</w:t>
      </w:r>
    </w:p>
    <w:p>
      <w:pPr>
        <w:pStyle w:val="TextBody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Heading1"/>
        <w:rPr>
          <w:rFonts w:cs="Times New Roman"/>
          <w:sz w:val="32"/>
        </w:rPr>
      </w:pPr>
      <w:r>
        <w:rPr/>
        <w:t>список использованных источников</w:t>
      </w:r>
    </w:p>
    <w:p>
      <w:pPr>
        <w:pStyle w:val="TextBody"/>
        <w:rPr>
          <w:rFonts w:cs="Times New Roman"/>
          <w:sz w:val="32"/>
        </w:rPr>
      </w:pPr>
      <w:hyperlink r:id="rId3">
        <w:r>
          <w:rPr>
            <w:rStyle w:val="InternetLink"/>
          </w:rPr>
          <w:t>http</w:t>
        </w:r>
        <w:r>
          <w:rPr>
            <w:rStyle w:val="InternetLink"/>
          </w:rPr>
          <w:t>s</w:t>
        </w:r>
        <w:r>
          <w:rPr>
            <w:rStyle w:val="InternetLink"/>
          </w:rPr>
          <w:t>://dig.by/</w:t>
        </w:r>
        <w:r>
          <w:rPr>
            <w:rStyle w:val="InternetLink"/>
            <w:color w:val="000080"/>
            <w:sz w:val="28"/>
            <w:szCs w:val="28"/>
            <w:u w:val="single"/>
            <w:lang w:val="zxx" w:eastAsia="zxx" w:bidi="zxx"/>
          </w:rPr>
          <w:t>Конструкция_литий_ионного</w:t>
        </w:r>
      </w:hyperlink>
      <w:hyperlink r:id="rId4">
        <w:r>
          <w:rPr>
            <w:color w:val="000080"/>
            <w:sz w:val="28"/>
            <w:szCs w:val="28"/>
            <w:u w:val="single"/>
            <w:lang w:val="zxx" w:eastAsia="zxx" w:bidi="zxx"/>
          </w:rPr>
          <w:t xml:space="preserve"> аккумулятора</w:t>
        </w:r>
      </w:hyperlink>
    </w:p>
    <w:p>
      <w:pPr>
        <w:pStyle w:val="TextBody"/>
        <w:rPr>
          <w:rFonts w:cs="Times New Roman"/>
          <w:sz w:val="32"/>
        </w:rPr>
      </w:pPr>
      <w:r>
        <w:rPr/>
      </w:r>
      <w:r>
        <w:br w:type="page"/>
      </w:r>
    </w:p>
    <w:p>
      <w:pPr>
        <w:pStyle w:val="Heading1"/>
        <w:rPr>
          <w:rFonts w:cs="Times New Roman"/>
          <w:sz w:val="32"/>
        </w:rPr>
      </w:pPr>
      <w:r>
        <w:rPr/>
        <w:t>приложение а</w:t>
      </w:r>
    </w:p>
    <w:p>
      <w:pPr>
        <w:pStyle w:val="Heading1"/>
        <w:rPr>
          <w:rFonts w:cs="Times New Roman"/>
          <w:sz w:val="32"/>
        </w:rPr>
      </w:pPr>
      <w:r>
        <w:rPr>
          <w:caps w:val="false"/>
          <w:smallCaps w:val="false"/>
        </w:rPr>
        <w:t>(обязательное)</w:t>
        <w:br/>
        <w:t>Техническое задание</w:t>
      </w:r>
      <w:r>
        <w:br w:type="page"/>
      </w:r>
    </w:p>
    <w:p>
      <w:pPr>
        <w:pStyle w:val="Heading1"/>
        <w:rPr>
          <w:rFonts w:cs="Times New Roman"/>
          <w:sz w:val="32"/>
        </w:rPr>
      </w:pPr>
      <w:r>
        <w:rPr/>
        <w:t>приложение Б</w:t>
      </w:r>
    </w:p>
    <w:p>
      <w:pPr>
        <w:pStyle w:val="Heading1"/>
        <w:rPr>
          <w:rFonts w:cs="Times New Roman"/>
          <w:sz w:val="32"/>
        </w:rPr>
      </w:pPr>
      <w:r>
        <w:rPr>
          <w:caps w:val="false"/>
          <w:smallCaps w:val="false"/>
        </w:rPr>
        <w:t>(обязательное)</w:t>
        <w:br/>
        <w:t>Перечень элементов</w:t>
      </w:r>
      <w:r>
        <w:br w:type="page"/>
      </w:r>
    </w:p>
    <w:p>
      <w:pPr>
        <w:pStyle w:val="Heading1"/>
        <w:rPr>
          <w:rFonts w:cs="Times New Roman"/>
          <w:sz w:val="32"/>
        </w:rPr>
      </w:pPr>
      <w:r>
        <w:rPr/>
        <w:t>приложение В</w:t>
      </w:r>
    </w:p>
    <w:p>
      <w:pPr>
        <w:pStyle w:val="Heading1"/>
        <w:rPr>
          <w:rFonts w:cs="Times New Roman"/>
          <w:sz w:val="32"/>
        </w:rPr>
      </w:pPr>
      <w:r>
        <w:rPr>
          <w:caps w:val="false"/>
          <w:smallCaps w:val="false"/>
        </w:rPr>
        <w:t>(обязательное)</w:t>
        <w:br/>
        <w:t>Спецификация</w:t>
      </w:r>
      <w:r>
        <w:br w:type="page"/>
      </w:r>
    </w:p>
    <w:p>
      <w:pPr>
        <w:pStyle w:val="Heading1"/>
        <w:rPr>
          <w:rFonts w:cs="Times New Roman"/>
          <w:sz w:val="32"/>
        </w:rPr>
      </w:pPr>
      <w:r>
        <w:rPr/>
        <w:t>приложение Г</w:t>
      </w:r>
    </w:p>
    <w:p>
      <w:pPr>
        <w:pStyle w:val="Heading1"/>
        <w:rPr>
          <w:rFonts w:cs="Times New Roman"/>
          <w:sz w:val="32"/>
        </w:rPr>
      </w:pPr>
      <w:r>
        <w:rPr>
          <w:caps w:val="false"/>
          <w:smallCaps w:val="false"/>
        </w:rPr>
        <w:t>(обязательное)</w:t>
        <w:br/>
        <w:t>Визуализированная трёхмерная модель</w:t>
      </w:r>
      <w:r>
        <w:br w:type="page"/>
      </w:r>
    </w:p>
    <w:p>
      <w:pPr>
        <w:pStyle w:val="Heading1"/>
        <w:rPr>
          <w:rFonts w:cs="Times New Roman"/>
          <w:sz w:val="32"/>
        </w:rPr>
      </w:pPr>
      <w:r>
        <w:rPr/>
        <w:t>приложение Д</w:t>
      </w:r>
    </w:p>
    <w:p>
      <w:pPr>
        <w:pStyle w:val="Heading1"/>
        <w:rPr>
          <w:rFonts w:cs="Times New Roman"/>
          <w:sz w:val="32"/>
        </w:rPr>
      </w:pPr>
      <w:r>
        <w:rPr>
          <w:caps w:val="false"/>
          <w:smallCaps w:val="false"/>
        </w:rPr>
        <w:t>(обязательное)</w:t>
        <w:br/>
        <w:t>Текст программы</w:t>
      </w:r>
      <w:r>
        <w:br w:type="page"/>
      </w:r>
    </w:p>
    <w:p>
      <w:pPr>
        <w:pStyle w:val="Heading1"/>
        <w:rPr>
          <w:rFonts w:cs="Times New Roman"/>
          <w:sz w:val="32"/>
        </w:rPr>
      </w:pPr>
      <w:r>
        <w:rPr/>
        <w:t>приложение Е</w:t>
      </w:r>
    </w:p>
    <w:p>
      <w:pPr>
        <w:pStyle w:val="Heading1"/>
        <w:spacing w:before="0" w:after="280"/>
        <w:contextualSpacing/>
        <w:rPr>
          <w:rFonts w:cs="Times New Roman"/>
          <w:sz w:val="32"/>
        </w:rPr>
      </w:pPr>
      <w:r>
        <w:rPr>
          <w:caps w:val="false"/>
          <w:smallCaps w:val="false"/>
        </w:rPr>
        <w:t>(обязательное)</w:t>
        <w:br/>
        <w:t>Ведомость документов</w:t>
      </w:r>
    </w:p>
    <w:sectPr>
      <w:footerReference w:type="default" r:id="rId5"/>
      <w:type w:val="nextPage"/>
      <w:pgSz w:w="11906" w:h="16838"/>
      <w:pgMar w:left="1701" w:right="851" w:header="0" w:top="1134" w:footer="964" w:bottom="1530" w:gutter="0"/>
      <w:pgNumType w:start="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szCs w:val="28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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284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d7c"/>
    <w:pPr>
      <w:widowControl/>
      <w:suppressAutoHyphens w:val="false"/>
      <w:bidi w:val="0"/>
      <w:spacing w:lineRule="auto" w:line="276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keepNext w:val="false"/>
      <w:spacing w:before="0" w:after="280"/>
      <w:ind w:hanging="0"/>
      <w:contextualSpacing/>
      <w:jc w:val="center"/>
      <w:outlineLvl w:val="0"/>
    </w:pPr>
    <w:rPr>
      <w:rFonts w:ascii="Times New Roman" w:hAnsi="Times New Roman"/>
      <w:b/>
      <w:bCs/>
      <w:caps/>
      <w:sz w:val="30"/>
      <w:szCs w:val="30"/>
    </w:rPr>
  </w:style>
  <w:style w:type="paragraph" w:styleId="Heading2">
    <w:name w:val="Heading 2"/>
    <w:basedOn w:val="Heading"/>
    <w:next w:val="TextBody"/>
    <w:qFormat/>
    <w:pPr>
      <w:keepNext w:val="false"/>
      <w:numPr>
        <w:ilvl w:val="1"/>
        <w:numId w:val="1"/>
      </w:numPr>
      <w:suppressAutoHyphens w:val="true"/>
      <w:spacing w:before="0" w:after="280"/>
      <w:ind w:left="935" w:hanging="227"/>
      <w:contextualSpacing/>
      <w:jc w:val="left"/>
      <w:outlineLvl w:val="1"/>
    </w:pPr>
    <w:rPr>
      <w:rFonts w:ascii="Times New Roman" w:hAnsi="Times New Roman"/>
      <w:b/>
      <w:bCs/>
      <w:caps/>
      <w:sz w:val="30"/>
      <w:szCs w:val="30"/>
    </w:rPr>
  </w:style>
  <w:style w:type="paragraph" w:styleId="Heading3">
    <w:name w:val="Heading 3"/>
    <w:basedOn w:val="Heading"/>
    <w:next w:val="TextBody"/>
    <w:qFormat/>
    <w:pPr>
      <w:keepNext w:val="false"/>
      <w:numPr>
        <w:ilvl w:val="2"/>
        <w:numId w:val="1"/>
      </w:numPr>
      <w:suppressAutoHyphens w:val="true"/>
      <w:spacing w:before="0" w:after="280"/>
      <w:ind w:left="1134" w:hanging="425"/>
      <w:jc w:val="left"/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0" w:after="280"/>
      <w:ind w:left="1247" w:hanging="539"/>
      <w:jc w:val="left"/>
      <w:outlineLvl w:val="3"/>
    </w:pPr>
    <w:rPr>
      <w:rFonts w:ascii="Times New Roman" w:hAnsi="Times New Roman"/>
      <w:bCs/>
      <w:iCs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/>
    <w:rPr>
      <w:szCs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625c3"/>
    <w:pPr>
      <w:spacing w:before="0" w:after="20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4" w:leader="none"/>
      </w:tabs>
    </w:pPr>
    <w:rPr/>
  </w:style>
  <w:style w:type="paragraph" w:styleId="Footer">
    <w:name w:val="Footer"/>
    <w:basedOn w:val="HeaderandFooter"/>
    <w:pPr>
      <w:spacing w:before="0" w:after="20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://dig.by/&#1050;&#1086;&#1085;&#1089;&#1090;&#1088;&#1091;&#1082;&#1094;&#1080;&#1103;_&#1083;&#1080;&#1090;&#1080;&#1081;_&#1080;&#1086;&#1085;&#1085;&#1086;&#1075;&#1086;" TargetMode="External"/><Relationship Id="rId4" Type="http://schemas.openxmlformats.org/officeDocument/2006/relationships/hyperlink" Target="" TargetMode="Externa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LibreOffice/6.4.3.2$Linux_X86_64 LibreOffice_project/40$Build-2</Application>
  <Pages>21</Pages>
  <Words>868</Words>
  <Characters>6405</Characters>
  <CharactersWithSpaces>7184</CharactersWithSpaces>
  <Paragraphs>90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2018-10-16T18:48:00Z</dcterms:created>
  <dc:creator>RePack by Diakov</dc:creator>
  <dc:description/>
  <dc:language>en-US</dc:language>
  <cp:lastModifiedBy/>
  <dcterms:modified xsi:type="dcterms:W3CDTF">2020-05-12T15:34:14Z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