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5039E5" w14:textId="46DAF2FA" w:rsidR="000F346E" w:rsidRPr="000F346E" w:rsidRDefault="000F346E" w:rsidP="000F346E">
      <w:pPr>
        <w:rPr>
          <w:b/>
          <w:bCs/>
        </w:rPr>
      </w:pPr>
      <w:r w:rsidRPr="000F346E">
        <w:rPr>
          <w:b/>
          <w:bCs/>
        </w:rPr>
        <w:t>Task:</w:t>
      </w:r>
      <w:r>
        <w:rPr>
          <w:b/>
          <w:bCs/>
        </w:rPr>
        <w:t>5</w:t>
      </w:r>
      <w:r w:rsidRPr="000F346E">
        <w:rPr>
          <w:b/>
          <w:bCs/>
        </w:rPr>
        <w:t xml:space="preserve"> Compliance Strategy</w:t>
      </w:r>
    </w:p>
    <w:p w14:paraId="3DC9DB16" w14:textId="77777777" w:rsidR="000F346E" w:rsidRPr="000F346E" w:rsidRDefault="000F346E" w:rsidP="000F346E">
      <w:pPr>
        <w:rPr>
          <w:b/>
          <w:bCs/>
        </w:rPr>
      </w:pPr>
      <w:r w:rsidRPr="000F346E">
        <w:rPr>
          <w:b/>
          <w:bCs/>
        </w:rPr>
        <w:t>Objective:</w:t>
      </w:r>
    </w:p>
    <w:p w14:paraId="03E6AD1E" w14:textId="77777777" w:rsidR="000F346E" w:rsidRPr="000F346E" w:rsidRDefault="000F346E" w:rsidP="000F346E">
      <w:r w:rsidRPr="000F346E">
        <w:t>The objective of this task is to create a comprehensive Compliance Strategy document that outlines regulatory compliance, data protection measures, and compliance mechanisms. This strategy ensures the organization adheres to relevant laws, regulations, and industry standards to maintain ethical and lawful operations.</w:t>
      </w:r>
    </w:p>
    <w:p w14:paraId="438C0E5F" w14:textId="77777777" w:rsidR="000F346E" w:rsidRPr="000F346E" w:rsidRDefault="000F346E" w:rsidP="000F346E">
      <w:r w:rsidRPr="000F346E">
        <w:pict w14:anchorId="68F51BF0">
          <v:rect id="_x0000_i1049" style="width:0;height:1.5pt" o:hralign="center" o:hrstd="t" o:hr="t" fillcolor="#a0a0a0" stroked="f"/>
        </w:pict>
      </w:r>
    </w:p>
    <w:p w14:paraId="6F102E5F" w14:textId="77777777" w:rsidR="000F346E" w:rsidRPr="000F346E" w:rsidRDefault="000F346E" w:rsidP="000F346E">
      <w:pPr>
        <w:rPr>
          <w:b/>
          <w:bCs/>
        </w:rPr>
      </w:pPr>
      <w:r w:rsidRPr="000F346E">
        <w:rPr>
          <w:b/>
          <w:bCs/>
        </w:rPr>
        <w:t>1. Regulatory Compliance</w:t>
      </w:r>
    </w:p>
    <w:p w14:paraId="5ACFE6E0" w14:textId="77777777" w:rsidR="000F346E" w:rsidRPr="000F346E" w:rsidRDefault="000F346E" w:rsidP="000F346E">
      <w:r w:rsidRPr="000F346E">
        <w:t>Regulatory compliance involves adhering to rules and regulations set by governing bodies. These regulations ensure that financial institutions operate transparently, ethically, and securely.</w:t>
      </w:r>
    </w:p>
    <w:p w14:paraId="74D8FCA8" w14:textId="77777777" w:rsidR="000F346E" w:rsidRPr="000F346E" w:rsidRDefault="000F346E" w:rsidP="000F346E">
      <w:pPr>
        <w:numPr>
          <w:ilvl w:val="0"/>
          <w:numId w:val="1"/>
        </w:numPr>
      </w:pPr>
      <w:r w:rsidRPr="000F346E">
        <w:rPr>
          <w:b/>
          <w:bCs/>
        </w:rPr>
        <w:t>Banking Regulations:</w:t>
      </w:r>
    </w:p>
    <w:p w14:paraId="4361BEB4" w14:textId="77777777" w:rsidR="000F346E" w:rsidRPr="000F346E" w:rsidRDefault="000F346E" w:rsidP="000F346E">
      <w:pPr>
        <w:numPr>
          <w:ilvl w:val="1"/>
          <w:numId w:val="1"/>
        </w:numPr>
      </w:pPr>
      <w:r w:rsidRPr="000F346E">
        <w:rPr>
          <w:b/>
          <w:bCs/>
        </w:rPr>
        <w:t>Basel III Compliance:</w:t>
      </w:r>
    </w:p>
    <w:p w14:paraId="17DDDB08" w14:textId="77777777" w:rsidR="000F346E" w:rsidRPr="000F346E" w:rsidRDefault="000F346E" w:rsidP="000F346E">
      <w:pPr>
        <w:numPr>
          <w:ilvl w:val="2"/>
          <w:numId w:val="1"/>
        </w:numPr>
      </w:pPr>
      <w:r w:rsidRPr="000F346E">
        <w:t>Ensures adequate capital reserves to withstand financial stress.</w:t>
      </w:r>
    </w:p>
    <w:p w14:paraId="35287B01" w14:textId="77777777" w:rsidR="000F346E" w:rsidRPr="000F346E" w:rsidRDefault="000F346E" w:rsidP="000F346E">
      <w:pPr>
        <w:numPr>
          <w:ilvl w:val="2"/>
          <w:numId w:val="1"/>
        </w:numPr>
      </w:pPr>
      <w:r w:rsidRPr="000F346E">
        <w:t>Promotes financial stability and risk management.</w:t>
      </w:r>
    </w:p>
    <w:p w14:paraId="6D039892" w14:textId="77777777" w:rsidR="000F346E" w:rsidRPr="000F346E" w:rsidRDefault="000F346E" w:rsidP="000F346E">
      <w:pPr>
        <w:numPr>
          <w:ilvl w:val="1"/>
          <w:numId w:val="1"/>
        </w:numPr>
      </w:pPr>
      <w:r w:rsidRPr="000F346E">
        <w:rPr>
          <w:b/>
          <w:bCs/>
        </w:rPr>
        <w:t>Anti-Money Laundering (AML) Guidelines:</w:t>
      </w:r>
    </w:p>
    <w:p w14:paraId="3E01169F" w14:textId="77777777" w:rsidR="000F346E" w:rsidRPr="000F346E" w:rsidRDefault="000F346E" w:rsidP="000F346E">
      <w:pPr>
        <w:numPr>
          <w:ilvl w:val="2"/>
          <w:numId w:val="1"/>
        </w:numPr>
      </w:pPr>
      <w:r w:rsidRPr="000F346E">
        <w:t>Detects and prevents money laundering activities.</w:t>
      </w:r>
    </w:p>
    <w:p w14:paraId="4ACD95B9" w14:textId="77777777" w:rsidR="000F346E" w:rsidRPr="000F346E" w:rsidRDefault="000F346E" w:rsidP="000F346E">
      <w:pPr>
        <w:numPr>
          <w:ilvl w:val="2"/>
          <w:numId w:val="1"/>
        </w:numPr>
      </w:pPr>
      <w:r w:rsidRPr="000F346E">
        <w:t>Mandates Customer Due Diligence (CDD) and Enhanced Due Diligence (EDD).</w:t>
      </w:r>
    </w:p>
    <w:p w14:paraId="4BF5AA61" w14:textId="77777777" w:rsidR="000F346E" w:rsidRPr="000F346E" w:rsidRDefault="000F346E" w:rsidP="000F346E">
      <w:pPr>
        <w:numPr>
          <w:ilvl w:val="1"/>
          <w:numId w:val="1"/>
        </w:numPr>
      </w:pPr>
      <w:r w:rsidRPr="000F346E">
        <w:rPr>
          <w:b/>
          <w:bCs/>
        </w:rPr>
        <w:t>Know Your Customer (KYC) Regulations:</w:t>
      </w:r>
    </w:p>
    <w:p w14:paraId="2A9632B7" w14:textId="77777777" w:rsidR="000F346E" w:rsidRPr="000F346E" w:rsidRDefault="000F346E" w:rsidP="000F346E">
      <w:pPr>
        <w:numPr>
          <w:ilvl w:val="2"/>
          <w:numId w:val="1"/>
        </w:numPr>
      </w:pPr>
      <w:r w:rsidRPr="000F346E">
        <w:t>Verifies customer identity to prevent fraud.</w:t>
      </w:r>
    </w:p>
    <w:p w14:paraId="5F246A66" w14:textId="77777777" w:rsidR="000F346E" w:rsidRPr="000F346E" w:rsidRDefault="000F346E" w:rsidP="000F346E">
      <w:pPr>
        <w:numPr>
          <w:ilvl w:val="2"/>
          <w:numId w:val="1"/>
        </w:numPr>
      </w:pPr>
      <w:r w:rsidRPr="000F346E">
        <w:t>Periodic updates and risk assessments for customers.</w:t>
      </w:r>
    </w:p>
    <w:p w14:paraId="1312B5AE" w14:textId="77777777" w:rsidR="000F346E" w:rsidRPr="000F346E" w:rsidRDefault="000F346E" w:rsidP="000F346E">
      <w:r w:rsidRPr="000F346E">
        <w:pict w14:anchorId="1E3DB9F4">
          <v:rect id="_x0000_i1050" style="width:0;height:1.5pt" o:hralign="center" o:hrstd="t" o:hr="t" fillcolor="#a0a0a0" stroked="f"/>
        </w:pict>
      </w:r>
    </w:p>
    <w:p w14:paraId="4FD099E5" w14:textId="77777777" w:rsidR="000F346E" w:rsidRPr="000F346E" w:rsidRDefault="000F346E" w:rsidP="000F346E">
      <w:pPr>
        <w:rPr>
          <w:b/>
          <w:bCs/>
        </w:rPr>
      </w:pPr>
      <w:r w:rsidRPr="000F346E">
        <w:rPr>
          <w:b/>
          <w:bCs/>
        </w:rPr>
        <w:t>2. Data Protection</w:t>
      </w:r>
    </w:p>
    <w:p w14:paraId="10ACBD30" w14:textId="77777777" w:rsidR="000F346E" w:rsidRPr="000F346E" w:rsidRDefault="000F346E" w:rsidP="000F346E">
      <w:r w:rsidRPr="000F346E">
        <w:t>Data protection ensures personal and sensitive data is handled securely and in compliance with legal requirements.</w:t>
      </w:r>
    </w:p>
    <w:p w14:paraId="4DE2897E" w14:textId="77777777" w:rsidR="000F346E" w:rsidRPr="000F346E" w:rsidRDefault="000F346E" w:rsidP="000F346E">
      <w:pPr>
        <w:numPr>
          <w:ilvl w:val="0"/>
          <w:numId w:val="2"/>
        </w:numPr>
      </w:pPr>
      <w:r w:rsidRPr="000F346E">
        <w:rPr>
          <w:b/>
          <w:bCs/>
        </w:rPr>
        <w:t>GDPR (European Union):</w:t>
      </w:r>
    </w:p>
    <w:p w14:paraId="06C18350" w14:textId="77777777" w:rsidR="000F346E" w:rsidRPr="000F346E" w:rsidRDefault="000F346E" w:rsidP="000F346E">
      <w:pPr>
        <w:numPr>
          <w:ilvl w:val="1"/>
          <w:numId w:val="2"/>
        </w:numPr>
      </w:pPr>
      <w:r w:rsidRPr="000F346E">
        <w:t>Protects personal data and privacy of EU citizens.</w:t>
      </w:r>
    </w:p>
    <w:p w14:paraId="48D7540D" w14:textId="77777777" w:rsidR="000F346E" w:rsidRPr="000F346E" w:rsidRDefault="000F346E" w:rsidP="000F346E">
      <w:pPr>
        <w:numPr>
          <w:ilvl w:val="1"/>
          <w:numId w:val="2"/>
        </w:numPr>
      </w:pPr>
      <w:r w:rsidRPr="000F346E">
        <w:t xml:space="preserve">Grants data </w:t>
      </w:r>
      <w:proofErr w:type="gramStart"/>
      <w:r w:rsidRPr="000F346E">
        <w:t>subjects</w:t>
      </w:r>
      <w:proofErr w:type="gramEnd"/>
      <w:r w:rsidRPr="000F346E">
        <w:t xml:space="preserve"> rights like access, correction, and deletion.</w:t>
      </w:r>
    </w:p>
    <w:p w14:paraId="07C05536" w14:textId="77777777" w:rsidR="000F346E" w:rsidRPr="000F346E" w:rsidRDefault="000F346E" w:rsidP="000F346E">
      <w:pPr>
        <w:numPr>
          <w:ilvl w:val="0"/>
          <w:numId w:val="2"/>
        </w:numPr>
      </w:pPr>
      <w:r w:rsidRPr="000F346E">
        <w:rPr>
          <w:b/>
          <w:bCs/>
        </w:rPr>
        <w:t>CCPA (California):</w:t>
      </w:r>
    </w:p>
    <w:p w14:paraId="7891ADF7" w14:textId="77777777" w:rsidR="000F346E" w:rsidRPr="000F346E" w:rsidRDefault="000F346E" w:rsidP="000F346E">
      <w:pPr>
        <w:numPr>
          <w:ilvl w:val="1"/>
          <w:numId w:val="2"/>
        </w:numPr>
      </w:pPr>
      <w:r w:rsidRPr="000F346E">
        <w:lastRenderedPageBreak/>
        <w:t>Protects California residents' personal information.</w:t>
      </w:r>
    </w:p>
    <w:p w14:paraId="07CBC329" w14:textId="77777777" w:rsidR="000F346E" w:rsidRPr="000F346E" w:rsidRDefault="000F346E" w:rsidP="000F346E">
      <w:pPr>
        <w:numPr>
          <w:ilvl w:val="1"/>
          <w:numId w:val="2"/>
        </w:numPr>
      </w:pPr>
      <w:r w:rsidRPr="000F346E">
        <w:t>Offers rights to opt-out of data sales and request deletion.</w:t>
      </w:r>
    </w:p>
    <w:p w14:paraId="2F0ABB0F" w14:textId="77777777" w:rsidR="000F346E" w:rsidRPr="000F346E" w:rsidRDefault="000F346E" w:rsidP="000F346E">
      <w:pPr>
        <w:numPr>
          <w:ilvl w:val="0"/>
          <w:numId w:val="2"/>
        </w:numPr>
      </w:pPr>
      <w:r w:rsidRPr="000F346E">
        <w:rPr>
          <w:b/>
          <w:bCs/>
        </w:rPr>
        <w:t>Local Banking Regulatory Compliance:</w:t>
      </w:r>
    </w:p>
    <w:p w14:paraId="49B70D02" w14:textId="77777777" w:rsidR="000F346E" w:rsidRPr="000F346E" w:rsidRDefault="000F346E" w:rsidP="000F346E">
      <w:pPr>
        <w:numPr>
          <w:ilvl w:val="1"/>
          <w:numId w:val="2"/>
        </w:numPr>
      </w:pPr>
      <w:r w:rsidRPr="000F346E">
        <w:t>Complies with country-specific data protection regulations.</w:t>
      </w:r>
    </w:p>
    <w:p w14:paraId="0E7AE869" w14:textId="77777777" w:rsidR="000F346E" w:rsidRPr="000F346E" w:rsidRDefault="000F346E" w:rsidP="000F346E">
      <w:pPr>
        <w:numPr>
          <w:ilvl w:val="1"/>
          <w:numId w:val="2"/>
        </w:numPr>
      </w:pPr>
      <w:r w:rsidRPr="000F346E">
        <w:t>Ensures protection of customer data based on local laws.</w:t>
      </w:r>
    </w:p>
    <w:p w14:paraId="1C32C017" w14:textId="77777777" w:rsidR="000F346E" w:rsidRPr="000F346E" w:rsidRDefault="000F346E" w:rsidP="000F346E">
      <w:r w:rsidRPr="000F346E">
        <w:pict w14:anchorId="41139178">
          <v:rect id="_x0000_i1051" style="width:0;height:1.5pt" o:hralign="center" o:hrstd="t" o:hr="t" fillcolor="#a0a0a0" stroked="f"/>
        </w:pict>
      </w:r>
    </w:p>
    <w:p w14:paraId="61FFF1D1" w14:textId="77777777" w:rsidR="000F346E" w:rsidRPr="000F346E" w:rsidRDefault="000F346E" w:rsidP="000F346E">
      <w:pPr>
        <w:rPr>
          <w:b/>
          <w:bCs/>
        </w:rPr>
      </w:pPr>
      <w:r w:rsidRPr="000F346E">
        <w:rPr>
          <w:b/>
          <w:bCs/>
        </w:rPr>
        <w:t>3. Compliance Mechanisms</w:t>
      </w:r>
    </w:p>
    <w:p w14:paraId="32ECD95C" w14:textId="77777777" w:rsidR="000F346E" w:rsidRPr="000F346E" w:rsidRDefault="000F346E" w:rsidP="000F346E">
      <w:r w:rsidRPr="000F346E">
        <w:t>Compliance mechanisms establish processes and tools to ensure ongoing adherence to regulatory requirements.</w:t>
      </w:r>
    </w:p>
    <w:p w14:paraId="435B709E" w14:textId="77777777" w:rsidR="000F346E" w:rsidRPr="000F346E" w:rsidRDefault="000F346E" w:rsidP="000F346E">
      <w:pPr>
        <w:numPr>
          <w:ilvl w:val="0"/>
          <w:numId w:val="3"/>
        </w:numPr>
      </w:pPr>
      <w:r w:rsidRPr="000F346E">
        <w:rPr>
          <w:b/>
          <w:bCs/>
        </w:rPr>
        <w:t>Automated Transaction Monitoring:</w:t>
      </w:r>
    </w:p>
    <w:p w14:paraId="25FC4134" w14:textId="77777777" w:rsidR="000F346E" w:rsidRPr="000F346E" w:rsidRDefault="000F346E" w:rsidP="000F346E">
      <w:pPr>
        <w:numPr>
          <w:ilvl w:val="1"/>
          <w:numId w:val="3"/>
        </w:numPr>
      </w:pPr>
      <w:r w:rsidRPr="000F346E">
        <w:t>Detects unusual or suspicious financial transactions in real-time.</w:t>
      </w:r>
    </w:p>
    <w:p w14:paraId="595E3FA1" w14:textId="77777777" w:rsidR="000F346E" w:rsidRPr="000F346E" w:rsidRDefault="000F346E" w:rsidP="000F346E">
      <w:pPr>
        <w:numPr>
          <w:ilvl w:val="1"/>
          <w:numId w:val="3"/>
        </w:numPr>
      </w:pPr>
      <w:r w:rsidRPr="000F346E">
        <w:t>Generates alerts for review and investigation.</w:t>
      </w:r>
    </w:p>
    <w:p w14:paraId="0FBBF83B" w14:textId="77777777" w:rsidR="000F346E" w:rsidRPr="000F346E" w:rsidRDefault="000F346E" w:rsidP="000F346E">
      <w:pPr>
        <w:numPr>
          <w:ilvl w:val="0"/>
          <w:numId w:val="3"/>
        </w:numPr>
      </w:pPr>
      <w:r w:rsidRPr="000F346E">
        <w:rPr>
          <w:b/>
          <w:bCs/>
        </w:rPr>
        <w:t>Suspicious Activity Reporting (SAR):</w:t>
      </w:r>
    </w:p>
    <w:p w14:paraId="392EA2C3" w14:textId="77777777" w:rsidR="000F346E" w:rsidRPr="000F346E" w:rsidRDefault="000F346E" w:rsidP="000F346E">
      <w:pPr>
        <w:numPr>
          <w:ilvl w:val="1"/>
          <w:numId w:val="3"/>
        </w:numPr>
      </w:pPr>
      <w:r w:rsidRPr="000F346E">
        <w:t>Reports suspected money laundering and fraudulent activities.</w:t>
      </w:r>
    </w:p>
    <w:p w14:paraId="4D26D693" w14:textId="77777777" w:rsidR="000F346E" w:rsidRPr="000F346E" w:rsidRDefault="000F346E" w:rsidP="000F346E">
      <w:pPr>
        <w:numPr>
          <w:ilvl w:val="1"/>
          <w:numId w:val="3"/>
        </w:numPr>
      </w:pPr>
      <w:r w:rsidRPr="000F346E">
        <w:t>Ensures timely submission to regulatory bodies.</w:t>
      </w:r>
    </w:p>
    <w:p w14:paraId="6602A708" w14:textId="77777777" w:rsidR="000F346E" w:rsidRPr="000F346E" w:rsidRDefault="000F346E" w:rsidP="000F346E">
      <w:pPr>
        <w:numPr>
          <w:ilvl w:val="0"/>
          <w:numId w:val="3"/>
        </w:numPr>
      </w:pPr>
      <w:r w:rsidRPr="000F346E">
        <w:rPr>
          <w:b/>
          <w:bCs/>
        </w:rPr>
        <w:t>Regular Internal and External Audits:</w:t>
      </w:r>
    </w:p>
    <w:p w14:paraId="0ECED1C0" w14:textId="77777777" w:rsidR="000F346E" w:rsidRPr="000F346E" w:rsidRDefault="000F346E" w:rsidP="000F346E">
      <w:pPr>
        <w:numPr>
          <w:ilvl w:val="1"/>
          <w:numId w:val="3"/>
        </w:numPr>
      </w:pPr>
      <w:r w:rsidRPr="000F346E">
        <w:t>Internal audits assess compliance with internal policies and regulations.</w:t>
      </w:r>
    </w:p>
    <w:p w14:paraId="2F515F2F" w14:textId="77777777" w:rsidR="000F346E" w:rsidRPr="000F346E" w:rsidRDefault="000F346E" w:rsidP="000F346E">
      <w:pPr>
        <w:numPr>
          <w:ilvl w:val="1"/>
          <w:numId w:val="3"/>
        </w:numPr>
      </w:pPr>
      <w:r w:rsidRPr="000F346E">
        <w:t>External audits validate compliance with legal requirements.</w:t>
      </w:r>
    </w:p>
    <w:p w14:paraId="5FBD5CE6" w14:textId="77777777" w:rsidR="000F346E" w:rsidRPr="000F346E" w:rsidRDefault="000F346E" w:rsidP="000F346E">
      <w:pPr>
        <w:numPr>
          <w:ilvl w:val="0"/>
          <w:numId w:val="3"/>
        </w:numPr>
      </w:pPr>
      <w:r w:rsidRPr="000F346E">
        <w:rPr>
          <w:b/>
          <w:bCs/>
        </w:rPr>
        <w:t>Comprehensive Documentation of Compliance Processes:</w:t>
      </w:r>
    </w:p>
    <w:p w14:paraId="7EA1C0B0" w14:textId="77777777" w:rsidR="000F346E" w:rsidRPr="000F346E" w:rsidRDefault="000F346E" w:rsidP="000F346E">
      <w:pPr>
        <w:numPr>
          <w:ilvl w:val="1"/>
          <w:numId w:val="3"/>
        </w:numPr>
      </w:pPr>
      <w:r w:rsidRPr="000F346E">
        <w:t>Maintains detailed records of compliance activities and policies.</w:t>
      </w:r>
    </w:p>
    <w:p w14:paraId="1E6A17AD" w14:textId="77777777" w:rsidR="000F346E" w:rsidRPr="000F346E" w:rsidRDefault="000F346E" w:rsidP="000F346E">
      <w:pPr>
        <w:numPr>
          <w:ilvl w:val="1"/>
          <w:numId w:val="3"/>
        </w:numPr>
      </w:pPr>
      <w:r w:rsidRPr="000F346E">
        <w:t>Facilitates regulatory audits and inspections.</w:t>
      </w:r>
    </w:p>
    <w:p w14:paraId="671B0583" w14:textId="77777777" w:rsidR="000F346E" w:rsidRPr="000F346E" w:rsidRDefault="000F346E" w:rsidP="000F346E">
      <w:r w:rsidRPr="000F346E">
        <w:pict w14:anchorId="26C07B8B">
          <v:rect id="_x0000_i1052" style="width:0;height:1.5pt" o:hralign="center" o:hrstd="t" o:hr="t" fillcolor="#a0a0a0" stroked="f"/>
        </w:pict>
      </w:r>
    </w:p>
    <w:p w14:paraId="12AF5F3D" w14:textId="77777777" w:rsidR="000F346E" w:rsidRPr="000F346E" w:rsidRDefault="000F346E" w:rsidP="000F346E">
      <w:pPr>
        <w:rPr>
          <w:b/>
          <w:bCs/>
        </w:rPr>
      </w:pPr>
      <w:r w:rsidRPr="000F346E">
        <w:rPr>
          <w:b/>
          <w:bCs/>
        </w:rPr>
        <w:t>Conclusion:</w:t>
      </w:r>
    </w:p>
    <w:p w14:paraId="6CE5692B" w14:textId="77777777" w:rsidR="000F346E" w:rsidRPr="000F346E" w:rsidRDefault="000F346E" w:rsidP="000F346E">
      <w:r w:rsidRPr="000F346E">
        <w:t>A well-defined Compliance Strategy ensures organizations operate within legal and regulatory boundaries, protecting customers and maintaining trust. By implementing strong compliance mechanisms, the organization can reduce risks, enhance transparency, and ensure sustainable operations.</w:t>
      </w:r>
    </w:p>
    <w:p w14:paraId="3EEA6C6F" w14:textId="77777777" w:rsidR="00942CA0" w:rsidRDefault="00942CA0"/>
    <w:sectPr w:rsidR="00942C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06CAD"/>
    <w:multiLevelType w:val="multilevel"/>
    <w:tmpl w:val="0818F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D7735"/>
    <w:multiLevelType w:val="multilevel"/>
    <w:tmpl w:val="0BE24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5D021A"/>
    <w:multiLevelType w:val="multilevel"/>
    <w:tmpl w:val="9D869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9118977">
    <w:abstractNumId w:val="1"/>
  </w:num>
  <w:num w:numId="2" w16cid:durableId="613168599">
    <w:abstractNumId w:val="0"/>
  </w:num>
  <w:num w:numId="3" w16cid:durableId="209370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46E"/>
    <w:rsid w:val="000F346E"/>
    <w:rsid w:val="006404BD"/>
    <w:rsid w:val="00942CA0"/>
    <w:rsid w:val="00F72A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A1E98"/>
  <w15:chartTrackingRefBased/>
  <w15:docId w15:val="{0D46378F-0B59-431B-87C4-08689B02A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4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34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34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34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34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34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34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34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34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4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34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34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34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34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34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34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34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346E"/>
    <w:rPr>
      <w:rFonts w:eastAsiaTheme="majorEastAsia" w:cstheme="majorBidi"/>
      <w:color w:val="272727" w:themeColor="text1" w:themeTint="D8"/>
    </w:rPr>
  </w:style>
  <w:style w:type="paragraph" w:styleId="Title">
    <w:name w:val="Title"/>
    <w:basedOn w:val="Normal"/>
    <w:next w:val="Normal"/>
    <w:link w:val="TitleChar"/>
    <w:uiPriority w:val="10"/>
    <w:qFormat/>
    <w:rsid w:val="000F34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4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34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34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346E"/>
    <w:pPr>
      <w:spacing w:before="160"/>
      <w:jc w:val="center"/>
    </w:pPr>
    <w:rPr>
      <w:i/>
      <w:iCs/>
      <w:color w:val="404040" w:themeColor="text1" w:themeTint="BF"/>
    </w:rPr>
  </w:style>
  <w:style w:type="character" w:customStyle="1" w:styleId="QuoteChar">
    <w:name w:val="Quote Char"/>
    <w:basedOn w:val="DefaultParagraphFont"/>
    <w:link w:val="Quote"/>
    <w:uiPriority w:val="29"/>
    <w:rsid w:val="000F346E"/>
    <w:rPr>
      <w:i/>
      <w:iCs/>
      <w:color w:val="404040" w:themeColor="text1" w:themeTint="BF"/>
    </w:rPr>
  </w:style>
  <w:style w:type="paragraph" w:styleId="ListParagraph">
    <w:name w:val="List Paragraph"/>
    <w:basedOn w:val="Normal"/>
    <w:uiPriority w:val="34"/>
    <w:qFormat/>
    <w:rsid w:val="000F346E"/>
    <w:pPr>
      <w:ind w:left="720"/>
      <w:contextualSpacing/>
    </w:pPr>
  </w:style>
  <w:style w:type="character" w:styleId="IntenseEmphasis">
    <w:name w:val="Intense Emphasis"/>
    <w:basedOn w:val="DefaultParagraphFont"/>
    <w:uiPriority w:val="21"/>
    <w:qFormat/>
    <w:rsid w:val="000F346E"/>
    <w:rPr>
      <w:i/>
      <w:iCs/>
      <w:color w:val="0F4761" w:themeColor="accent1" w:themeShade="BF"/>
    </w:rPr>
  </w:style>
  <w:style w:type="paragraph" w:styleId="IntenseQuote">
    <w:name w:val="Intense Quote"/>
    <w:basedOn w:val="Normal"/>
    <w:next w:val="Normal"/>
    <w:link w:val="IntenseQuoteChar"/>
    <w:uiPriority w:val="30"/>
    <w:qFormat/>
    <w:rsid w:val="000F34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346E"/>
    <w:rPr>
      <w:i/>
      <w:iCs/>
      <w:color w:val="0F4761" w:themeColor="accent1" w:themeShade="BF"/>
    </w:rPr>
  </w:style>
  <w:style w:type="character" w:styleId="IntenseReference">
    <w:name w:val="Intense Reference"/>
    <w:basedOn w:val="DefaultParagraphFont"/>
    <w:uiPriority w:val="32"/>
    <w:qFormat/>
    <w:rsid w:val="000F34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5435145">
      <w:bodyDiv w:val="1"/>
      <w:marLeft w:val="0"/>
      <w:marRight w:val="0"/>
      <w:marTop w:val="0"/>
      <w:marBottom w:val="0"/>
      <w:divBdr>
        <w:top w:val="none" w:sz="0" w:space="0" w:color="auto"/>
        <w:left w:val="none" w:sz="0" w:space="0" w:color="auto"/>
        <w:bottom w:val="none" w:sz="0" w:space="0" w:color="auto"/>
        <w:right w:val="none" w:sz="0" w:space="0" w:color="auto"/>
      </w:divBdr>
    </w:div>
    <w:div w:id="106353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397</Words>
  <Characters>2269</Characters>
  <Application>Microsoft Office Word</Application>
  <DocSecurity>0</DocSecurity>
  <Lines>18</Lines>
  <Paragraphs>5</Paragraphs>
  <ScaleCrop>false</ScaleCrop>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logeshwarisneka@gmail.com</dc:creator>
  <cp:keywords/>
  <dc:description/>
  <cp:lastModifiedBy>logeshwarisneka@gmail.com</cp:lastModifiedBy>
  <cp:revision>1</cp:revision>
  <dcterms:created xsi:type="dcterms:W3CDTF">2025-04-01T12:54:00Z</dcterms:created>
  <dcterms:modified xsi:type="dcterms:W3CDTF">2025-04-01T12:57:00Z</dcterms:modified>
</cp:coreProperties>
</file>